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7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前端全局数据渲染规范"/>
      <w:r>
        <w:t xml:space="preserve">前端全局数据渲染规范</w:t>
      </w:r>
      <w:bookmarkEnd w:id="21"/>
    </w:p>
    <w:p>
      <w:pPr>
        <w:pStyle w:val="FirstParagraph"/>
      </w:pPr>
      <w:r>
        <w:rPr>
          <w:b/>
        </w:rPr>
        <w:t xml:space="preserve">文档版本：</w:t>
      </w:r>
      <w:r>
        <w:t xml:space="preserve"> V1.0</w:t>
        <w:br w:type="textWrapping"/>
      </w:r>
      <w:r>
        <w:rPr>
          <w:b/>
        </w:rPr>
        <w:t xml:space="preserve">发布日期：</w:t>
      </w:r>
      <w:r>
        <w:t xml:space="preserve"> 2026-07-30</w:t>
        <w:br w:type="textWrapping"/>
      </w:r>
      <w:r>
        <w:rPr>
          <w:b/>
        </w:rPr>
        <w:t xml:space="preserve">适用系统：</w:t>
      </w:r>
      <w:r>
        <w:t xml:space="preserve"> 精品货价监控数据看板及后续同类经营分析页面</w:t>
        <w:br w:type="textWrapping"/>
      </w:r>
      <w:r>
        <w:rPr>
          <w:b/>
        </w:rPr>
        <w:t xml:space="preserve">规范级别：</w:t>
      </w:r>
      <w:r>
        <w:t xml:space="preserve"> 强制执行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目的"/>
      <w:r>
        <w:t xml:space="preserve">1. 目的</w:t>
      </w:r>
      <w:bookmarkEnd w:id="22"/>
    </w:p>
    <w:p>
      <w:pPr>
        <w:pStyle w:val="FirstParagraph"/>
      </w:pPr>
      <w:r>
        <w:t xml:space="preserve">本规范用于统一数据看板的页面布局、表格结构、数值格式、颜色语义、总计行、条件状态、代码备份及发布验收规则，确保不同模块由不同人员或智能体维护时，仍保持一致的视觉语言和数据表达。</w:t>
      </w:r>
    </w:p>
    <w:p>
      <w:pPr>
        <w:pStyle w:val="BodyText"/>
      </w:pPr>
      <w:r>
        <w:t xml:space="preserve">核心原则：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数据准确优先于视觉效果。</w:t>
      </w:r>
      <w:r>
        <w:t xml:space="preserve"> 页面展示值必须可由原始数据重算。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全局一致优先于局部创新。</w:t>
      </w:r>
      <w:r>
        <w:t xml:space="preserve"> 新模块必须复用现有表格和状态组件。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颜色只传递业务语义。</w:t>
      </w:r>
      <w:r>
        <w:t xml:space="preserve"> 不因装饰需要随意使用红、绿、黄色。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总计行唯一高亮。</w:t>
      </w:r>
      <w:r>
        <w:t xml:space="preserve"> 精品总固定在最下方，其他小组不得使用总计行样式。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修改必须可回退。</w:t>
      </w:r>
      <w:r>
        <w:t xml:space="preserve"> 每次改代码前必须保存修改前快照，并记录基准提交。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参考视觉"/>
      <w:r>
        <w:t xml:space="preserve">2. 参考视觉</w:t>
      </w:r>
      <w:bookmarkEnd w:id="23"/>
    </w:p>
    <w:p>
      <w:pPr>
        <w:pStyle w:val="Heading3"/>
      </w:pPr>
      <w:bookmarkStart w:id="24" w:name="图一全局布局与表格形式"/>
      <w:r>
        <w:t xml:space="preserve">2.1 图一：全局布局与表格形式</w:t>
      </w:r>
      <w:bookmarkEnd w:id="24"/>
    </w:p>
    <w:p>
      <w:pPr>
        <w:pStyle w:val="CaptionedFigure"/>
      </w:pPr>
      <w:r>
        <w:drawing>
          <wp:inline>
            <wp:extent cx="5334000" cy="5173922"/>
            <wp:effectExtent b="0" l="0" r="0" t="0"/>
            <wp:docPr descr="图一：全局布局与表格形式" title="" id="1" name="Picture"/>
            <a:graphic>
              <a:graphicData uri="http://schemas.openxmlformats.org/drawingml/2006/picture">
                <pic:pic>
                  <pic:nvPicPr>
                    <pic:cNvPr descr="paste-image-1785397946099-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图一：全局布局与表格形式</w:t>
      </w:r>
    </w:p>
    <w:p>
      <w:pPr>
        <w:pStyle w:val="BodyText"/>
      </w:pPr>
      <w:r>
        <w:t xml:space="preserve">图一作为以下内容的主要视觉基准：</w:t>
      </w:r>
    </w:p>
    <w:p>
      <w:pPr>
        <w:pStyle w:val="Compact"/>
        <w:numPr>
          <w:ilvl w:val="0"/>
          <w:numId w:val="1002"/>
        </w:numPr>
      </w:pPr>
      <w:r>
        <w:t xml:space="preserve">浅蓝灰页面背景；</w:t>
      </w:r>
    </w:p>
    <w:p>
      <w:pPr>
        <w:pStyle w:val="Compact"/>
        <w:numPr>
          <w:ilvl w:val="0"/>
          <w:numId w:val="1002"/>
        </w:numPr>
      </w:pPr>
      <w:r>
        <w:t xml:space="preserve">顶部标题、导出、截止日期及操作区；</w:t>
      </w:r>
    </w:p>
    <w:p>
      <w:pPr>
        <w:pStyle w:val="Compact"/>
        <w:numPr>
          <w:ilvl w:val="0"/>
          <w:numId w:val="1002"/>
        </w:numPr>
      </w:pPr>
      <w:r>
        <w:t xml:space="preserve">横向胶囊式业务导航；</w:t>
      </w:r>
    </w:p>
    <w:p>
      <w:pPr>
        <w:pStyle w:val="Compact"/>
        <w:numPr>
          <w:ilvl w:val="0"/>
          <w:numId w:val="1002"/>
        </w:numPr>
      </w:pPr>
      <w:r>
        <w:t>“蓝色圆点 + 模块标题”的章节标题；</w:t>
      </w:r>
    </w:p>
    <w:p>
      <w:pPr>
        <w:pStyle w:val="Compact"/>
        <w:numPr>
          <w:ilvl w:val="0"/>
          <w:numId w:val="1002"/>
        </w:numPr>
      </w:pPr>
      <w:r>
        <w:t xml:space="preserve">白色圆角数据卡片；</w:t>
      </w:r>
    </w:p>
    <w:p>
      <w:pPr>
        <w:pStyle w:val="Compact"/>
        <w:numPr>
          <w:ilvl w:val="0"/>
          <w:numId w:val="1002"/>
        </w:numPr>
      </w:pPr>
      <w:r>
        <w:t xml:space="preserve">浅蓝表头、蓝灰网格线；</w:t>
      </w:r>
    </w:p>
    <w:p>
      <w:pPr>
        <w:pStyle w:val="Compact"/>
        <w:numPr>
          <w:ilvl w:val="0"/>
          <w:numId w:val="1002"/>
        </w:numPr>
      </w:pPr>
      <w:r>
        <w:t xml:space="preserve">首列固定、表格横向滚动；</w:t>
      </w:r>
    </w:p>
    <w:p>
      <w:pPr>
        <w:pStyle w:val="Compact"/>
        <w:numPr>
          <w:ilvl w:val="0"/>
          <w:numId w:val="1002"/>
        </w:numPr>
      </w:pPr>
      <w:r>
        <w:t xml:space="preserve">精品总位于表格最后并高亮。</w:t>
      </w:r>
    </w:p>
    <w:p>
      <w:pPr>
        <w:pStyle w:val="Heading3"/>
      </w:pPr>
      <w:bookmarkStart w:id="26" w:name="图二价格指数与差值表达"/>
      <w:r>
        <w:t xml:space="preserve">2.2 图二：价格指数与差值表达</w:t>
      </w:r>
      <w:bookmarkEnd w:id="26"/>
    </w:p>
    <w:p>
      <w:pPr>
        <w:pStyle w:val="CaptionedFigure"/>
      </w:pPr>
      <w:r>
        <w:drawing>
          <wp:inline>
            <wp:extent cx="3136900" cy="3302000"/>
            <wp:effectExtent b="0" l="0" r="0" t="0"/>
            <wp:docPr descr="图二：价格指数与差值表达" title="" id="1" name="Picture"/>
            <a:graphic>
              <a:graphicData uri="http://schemas.openxmlformats.org/drawingml/2006/picture">
                <pic:pic>
                  <pic:nvPicPr>
                    <pic:cNvPr descr="paste-image-1785398039963-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图二：价格指数与差值表达</w:t>
      </w:r>
    </w:p>
    <w:p>
      <w:pPr>
        <w:pStyle w:val="BodyText"/>
      </w:pPr>
      <w:r>
        <w:t xml:space="preserve">图二作为以下内容的主要视觉基准：</w:t>
      </w:r>
    </w:p>
    <w:p>
      <w:pPr>
        <w:pStyle w:val="Compact"/>
        <w:numPr>
          <w:ilvl w:val="0"/>
          <w:numId w:val="1003"/>
        </w:numPr>
      </w:pPr>
      <w:r>
        <w:t xml:space="preserve">多级分组表头；</w:t>
      </w:r>
    </w:p>
    <w:p>
      <w:pPr>
        <w:pStyle w:val="Compact"/>
        <w:numPr>
          <w:ilvl w:val="0"/>
          <w:numId w:val="1003"/>
        </w:numPr>
      </w:pPr>
      <w:r>
        <w:t xml:space="preserve">价格指数、目标值统一百分比展示；</w:t>
      </w:r>
    </w:p>
    <w:p>
      <w:pPr>
        <w:pStyle w:val="Compact"/>
        <w:numPr>
          <w:ilvl w:val="0"/>
          <w:numId w:val="1003"/>
        </w:numPr>
      </w:pPr>
      <w:r>
        <w:t xml:space="preserve">差值统一使用 </w:t>
      </w:r>
      <w:r>
        <w:rPr>
          <w:rStyle w:val="VerbatimChar"/>
        </w:rPr>
        <w:t xml:space="preserve">pp</w:t>
      </w:r>
      <w:r>
        <w:t xml:space="preserve">；</w:t>
      </w:r>
    </w:p>
    <w:p>
      <w:pPr>
        <w:pStyle w:val="Compact"/>
        <w:numPr>
          <w:ilvl w:val="0"/>
          <w:numId w:val="1003"/>
        </w:numPr>
      </w:pPr>
      <w:r>
        <w:t xml:space="preserve">正负号不可省略；</w:t>
      </w:r>
    </w:p>
    <w:p>
      <w:pPr>
        <w:pStyle w:val="Compact"/>
        <w:numPr>
          <w:ilvl w:val="0"/>
          <w:numId w:val="1003"/>
        </w:numPr>
      </w:pPr>
      <w:r>
        <w:t xml:space="preserve">高于基准为红色，低于基准为绿色；</w:t>
      </w:r>
    </w:p>
    <w:p>
      <w:pPr>
        <w:pStyle w:val="Compact"/>
        <w:numPr>
          <w:ilvl w:val="0"/>
          <w:numId w:val="1003"/>
        </w:numPr>
      </w:pPr>
      <w:r>
        <w:t xml:space="preserve">天猫、抖音等业务区块使用清晰分隔线。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全局页面布局"/>
      <w:r>
        <w:t xml:space="preserve">3. 全局页面布局</w:t>
      </w:r>
      <w:bookmarkEnd w:id="28"/>
    </w:p>
    <w:p>
      <w:pPr>
        <w:pStyle w:val="Heading3"/>
      </w:pPr>
      <w:bookmarkStart w:id="29" w:name="页面背景与内容区"/>
      <w:r>
        <w:t xml:space="preserve">3.1 页面背景与内容区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强制规范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页面背景</w:t>
            </w:r>
          </w:p>
        </w:tc>
        <w:tc>
          <w:p>
            <w:pPr>
              <w:pStyle w:val="Compact"/>
              <w:jc w:val="left"/>
            </w:pPr>
            <w:r>
              <w:t xml:space="preserve">浅蓝灰，建议 </w:t>
            </w:r>
            <w:r>
              <w:rPr>
                <w:rStyle w:val="VerbatimChar"/>
              </w:rPr>
              <w:t xml:space="preserve">#EEF5FC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主文字</w:t>
            </w:r>
          </w:p>
        </w:tc>
        <w:tc>
          <w:p>
            <w:pPr>
              <w:pStyle w:val="Compact"/>
              <w:jc w:val="left"/>
            </w:pPr>
            <w:r>
              <w:t xml:space="preserve">深蓝灰，建议 </w:t>
            </w:r>
            <w:r>
              <w:rPr>
                <w:rStyle w:val="VerbatimChar"/>
              </w:rPr>
              <w:t xml:space="preserve">#153B63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内容左右边距</w:t>
            </w:r>
          </w:p>
        </w:tc>
        <w:tc>
          <w:p>
            <w:pPr>
              <w:pStyle w:val="Compact"/>
              <w:jc w:val="left"/>
            </w:pPr>
            <w:r>
              <w:t xml:space="preserve">移动端 </w:t>
            </w:r>
            <w:r>
              <w:rPr>
                <w:rStyle w:val="VerbatimChar"/>
              </w:rPr>
              <w:t xml:space="preserve">12–16px</w:t>
            </w:r>
            <w:r>
              <w:t xml:space="preserve">，桌面端 </w:t>
            </w:r>
            <w:r>
              <w:rPr>
                <w:rStyle w:val="VerbatimChar"/>
              </w:rPr>
              <w:t xml:space="preserve">20–30px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模块间距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14–18px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页面最大宽度</w:t>
            </w:r>
          </w:p>
        </w:tc>
        <w:tc>
          <w:p>
            <w:pPr>
              <w:pStyle w:val="Compact"/>
              <w:jc w:val="left"/>
            </w:pPr>
            <w:r>
              <w:t xml:space="preserve">大屏可设置 </w:t>
            </w:r>
            <w:r>
              <w:rPr>
                <w:rStyle w:val="VerbatimChar"/>
              </w:rPr>
              <w:t xml:space="preserve">max-width</w:t>
            </w:r>
            <w:r>
              <w:t xml:space="preserve">，中小屏应充分利用宽度</w:t>
            </w:r>
          </w:p>
        </w:tc>
      </w:tr>
    </w:tbl>
    <w:p>
      <w:pPr>
        <w:pStyle w:val="Heading3"/>
      </w:pPr>
      <w:bookmarkStart w:id="30" w:name="顶部导航"/>
      <w:r>
        <w:t xml:space="preserve">3.2 顶部导航</w:t>
      </w:r>
      <w:bookmarkEnd w:id="30"/>
    </w:p>
    <w:p>
      <w:pPr>
        <w:pStyle w:val="Compact"/>
        <w:numPr>
          <w:ilvl w:val="0"/>
          <w:numId w:val="1004"/>
        </w:numPr>
      </w:pPr>
      <w:r>
        <w:t xml:space="preserve">页面标题置左；导出、截止日期、退出等操作置右。</w:t>
      </w:r>
    </w:p>
    <w:p>
      <w:pPr>
        <w:pStyle w:val="Compact"/>
        <w:numPr>
          <w:ilvl w:val="0"/>
          <w:numId w:val="1004"/>
        </w:numPr>
      </w:pPr>
      <w:r>
        <w:t xml:space="preserve">一级业务导航使用胶囊按钮。</w:t>
      </w:r>
    </w:p>
    <w:p>
      <w:pPr>
        <w:pStyle w:val="Compact"/>
        <w:numPr>
          <w:ilvl w:val="0"/>
          <w:numId w:val="1004"/>
        </w:numPr>
      </w:pPr>
      <w:r>
        <w:t xml:space="preserve">激活项：蓝底白字；未激活项：浅蓝灰底、灰蓝文字。</w:t>
      </w:r>
    </w:p>
    <w:p>
      <w:pPr>
        <w:pStyle w:val="Compact"/>
        <w:numPr>
          <w:ilvl w:val="0"/>
          <w:numId w:val="1004"/>
        </w:numPr>
      </w:pPr>
      <w:r>
        <w:t xml:space="preserve">导航不得自动换行；空间不足时横向滚动。</w:t>
      </w:r>
    </w:p>
    <w:p>
      <w:pPr>
        <w:pStyle w:val="Compact"/>
        <w:numPr>
          <w:ilvl w:val="0"/>
          <w:numId w:val="1004"/>
        </w:numPr>
      </w:pPr>
      <w:r>
        <w:t xml:space="preserve">激活态不得只依赖阴影，必须有明显的背景和文字反差。</w:t>
      </w:r>
    </w:p>
    <w:p>
      <w:pPr>
        <w:pStyle w:val="FirstParagraph"/>
      </w:pPr>
      <w:r>
        <w:t xml:space="preserve">建议值：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--bi-page-bg: </w:t>
      </w:r>
      <w:r>
        <w:rPr>
          <w:rStyle w:val="DecValTok"/>
        </w:rPr>
        <w:t xml:space="preserve">#eef5fc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--bi-card-bg: </w:t>
      </w:r>
      <w:r>
        <w:rPr>
          <w:rStyle w:val="DecValTok"/>
        </w:rPr>
        <w:t xml:space="preserve">#ffffff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--bi-primary: </w:t>
      </w:r>
      <w:r>
        <w:rPr>
          <w:rStyle w:val="DecValTok"/>
        </w:rPr>
        <w:t xml:space="preserve">#2468e8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--bi-primary-text: </w:t>
      </w:r>
      <w:r>
        <w:rPr>
          <w:rStyle w:val="DecValTok"/>
        </w:rPr>
        <w:t xml:space="preserve">#ffffff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--bi-text: </w:t>
      </w:r>
      <w:r>
        <w:rPr>
          <w:rStyle w:val="DecValTok"/>
        </w:rPr>
        <w:t xml:space="preserve">#153b63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--bi-muted: </w:t>
      </w:r>
      <w:r>
        <w:rPr>
          <w:rStyle w:val="DecValTok"/>
        </w:rPr>
        <w:t xml:space="preserve">#6b849e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--bi-header-bg: </w:t>
      </w:r>
      <w:r>
        <w:rPr>
          <w:rStyle w:val="DecValTok"/>
        </w:rPr>
        <w:t xml:space="preserve">#dcebf9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--bi-border: </w:t>
      </w:r>
      <w:r>
        <w:rPr>
          <w:rStyle w:val="DecValTok"/>
        </w:rPr>
        <w:t xml:space="preserve">#c7d8e9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--bi-positive-high: </w:t>
      </w:r>
      <w:r>
        <w:rPr>
          <w:rStyle w:val="DecValTok"/>
        </w:rPr>
        <w:t xml:space="preserve">#dc2626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--bi-negative-low: </w:t>
      </w:r>
      <w:r>
        <w:rPr>
          <w:rStyle w:val="DecValTok"/>
        </w:rPr>
        <w:t xml:space="preserve">#059669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--bi-neutral: </w:t>
      </w:r>
      <w:r>
        <w:rPr>
          <w:rStyle w:val="DecValTok"/>
        </w:rPr>
        <w:t xml:space="preserve">#6b849e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  <w:br w:type="textWrapping"/>
      </w:r>
      <w:r>
        <w:rPr>
          <w:rStyle w:val="FunctionTok"/>
        </w:rPr>
        <w:t xml:space="preserve">.mobile-tabs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flex;</w:t>
      </w:r>
      <w:r>
        <w:br w:type="textWrapping"/>
      </w:r>
      <w:r>
        <w:rPr>
          <w:rStyle w:val="NormalTok"/>
        </w:rPr>
        <w:t xml:space="preserve">  gap: </w:t>
      </w:r>
      <w:r>
        <w:rPr>
          <w:rStyle w:val="DecValTok"/>
        </w:rPr>
        <w:t xml:space="preserve">8px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auto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  <w:br w:type="textWrapping"/>
      </w:r>
      <w:r>
        <w:rPr>
          <w:rStyle w:val="FunctionTok"/>
        </w:rPr>
        <w:t xml:space="preserve">.tab-btn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#e8f1fa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#66819d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  <w:br w:type="textWrapping"/>
      </w:r>
      <w:r>
        <w:rPr>
          <w:rStyle w:val="FunctionTok"/>
        </w:rPr>
        <w:t xml:space="preserve">.tab-btn.active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var(--bi-primary);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var(--bi-primary-text);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31" w:name="模块标题"/>
      <w:r>
        <w:t xml:space="preserve">3.3 模块标题</w:t>
      </w:r>
      <w:bookmarkEnd w:id="31"/>
    </w:p>
    <w:p>
      <w:pPr>
        <w:pStyle w:val="FirstParagraph"/>
      </w:pPr>
      <w:r>
        <w:t>统一使用“蓝色圆点 + 标题 + 可选说明”的结构：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"section-title"</w:t>
      </w:r>
      <w:r>
        <w:rPr>
          <w:rStyle w:val="KeywordTok"/>
        </w:rPr>
        <w:t xml:space="preserve">&gt;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&lt;span&gt;&lt;/span&gt;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&lt;b&gt;</w:t>
      </w:r>
      <w:r>
        <w:rPr>
          <w:rStyle w:val="NormalTok"/>
        </w:rPr>
        <w:t xml:space="preserve">外网价指 · MTD</w:t>
      </w:r>
      <w:r>
        <w:rPr>
          <w:rStyle w:val="KeywordTok"/>
        </w:rPr>
        <w:t xml:space="preserve">&lt;/b&gt;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&lt;small&gt;</w:t>
      </w:r>
      <w:r>
        <w:rPr>
          <w:rStyle w:val="NormalTok"/>
        </w:rPr>
        <w:t xml:space="preserve">数据截至 2026-07-29</w:t>
      </w:r>
      <w:r>
        <w:rPr>
          <w:rStyle w:val="KeywordTok"/>
        </w:rPr>
        <w:t xml:space="preserve">&lt;/small&gt;</w:t>
      </w:r>
      <w:r>
        <w:br w:type="textWrapping"/>
      </w:r>
      <w:r>
        <w:rPr>
          <w:rStyle w:val="KeywordTok"/>
        </w:rPr>
        <w:t xml:space="preserve">&lt;/div&gt;</w:t>
      </w:r>
    </w:p>
    <w:p>
      <w:pPr>
        <w:pStyle w:val="Compact"/>
        <w:numPr>
          <w:ilvl w:val="0"/>
          <w:numId w:val="1005"/>
        </w:numPr>
      </w:pPr>
      <w:r>
        <w:t xml:space="preserve">标题字号建议 </w:t>
      </w:r>
      <w:r>
        <w:rPr>
          <w:rStyle w:val="VerbatimChar"/>
        </w:rPr>
        <w:t xml:space="preserve">12–14px</w:t>
      </w:r>
      <w:r>
        <w:t xml:space="preserve">，字重 </w:t>
      </w:r>
      <w:r>
        <w:rPr>
          <w:rStyle w:val="VerbatimChar"/>
        </w:rPr>
        <w:t xml:space="preserve">700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日期、口径说明使用弱化文字，不得与主标题争夺视觉层级。</w:t>
      </w:r>
    </w:p>
    <w:p>
      <w:pPr>
        <w:pStyle w:val="Compact"/>
        <w:numPr>
          <w:ilvl w:val="0"/>
          <w:numId w:val="1005"/>
        </w:numPr>
      </w:pPr>
      <w:r>
        <w:t xml:space="preserve">禁止为单个模块创造不同形状的标题装饰。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数据卡片与表格"/>
      <w:r>
        <w:t xml:space="preserve">4. 数据卡片与表格</w:t>
      </w:r>
      <w:bookmarkEnd w:id="32"/>
    </w:p>
    <w:p>
      <w:pPr>
        <w:pStyle w:val="Heading3"/>
      </w:pPr>
      <w:bookmarkStart w:id="33" w:name="数据卡片"/>
      <w:r>
        <w:t xml:space="preserve">4.1 数据卡片</w:t>
      </w:r>
      <w:bookmarkEnd w:id="33"/>
    </w:p>
    <w:p>
      <w:pPr>
        <w:pStyle w:val="SourceCode"/>
      </w:pPr>
      <w:r>
        <w:rPr>
          <w:rStyle w:val="FunctionTok"/>
        </w:rPr>
        <w:t xml:space="preserve">.data-card</w:t>
      </w:r>
      <w:r>
        <w:rPr>
          <w:rStyle w:val="NormalTok"/>
        </w:rPr>
        <w:t xml:space="preserve">,</w:t>
      </w:r>
      <w:r>
        <w:br w:type="textWrapping"/>
      </w:r>
      <w:r>
        <w:rPr>
          <w:rStyle w:val="FunctionTok"/>
        </w:rPr>
        <w:t xml:space="preserve">.bi-card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#fff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12%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表格横向滚动容器应位于卡片内部。</w:t>
      </w:r>
    </w:p>
    <w:p>
      <w:pPr>
        <w:pStyle w:val="Compact"/>
        <w:numPr>
          <w:ilvl w:val="0"/>
          <w:numId w:val="1006"/>
        </w:numPr>
      </w:pPr>
      <w:r>
        <w:t xml:space="preserve">圆角、阴影必须克制，不使用重阴影、发光或渐变描边。</w:t>
      </w:r>
    </w:p>
    <w:p>
      <w:pPr>
        <w:pStyle w:val="Compact"/>
        <w:numPr>
          <w:ilvl w:val="0"/>
          <w:numId w:val="1006"/>
        </w:numPr>
      </w:pPr>
      <w:r>
        <w:t xml:space="preserve">同一页面所有表格卡片圆角保持一致。</w:t>
      </w:r>
    </w:p>
    <w:p>
      <w:pPr>
        <w:pStyle w:val="Heading3"/>
      </w:pPr>
      <w:bookmarkStart w:id="34" w:name="表格基础结构"/>
      <w:r>
        <w:t xml:space="preserve">4.2 表格基础结构</w:t>
      </w:r>
      <w:bookmarkEnd w:id="34"/>
    </w:p>
    <w:p>
      <w:pPr>
        <w:pStyle w:val="Compact"/>
        <w:numPr>
          <w:ilvl w:val="0"/>
          <w:numId w:val="1007"/>
        </w:numPr>
      </w:pPr>
      <w:r>
        <w:t xml:space="preserve">必须采用语义化表格：</w:t>
      </w:r>
      <w:r>
        <w:rPr>
          <w:rStyle w:val="VerbatimChar"/>
        </w:rPr>
        <w:t xml:space="preserve">table / thead / tbody</w:t>
      </w:r>
      <w:r>
        <w:t xml:space="preserve">；总计行可置于 </w:t>
      </w:r>
      <w:r>
        <w:rPr>
          <w:rStyle w:val="VerbatimChar"/>
        </w:rPr>
        <w:t xml:space="preserve">tbody</w:t>
      </w:r>
      <w:r>
        <w:t xml:space="preserve"> 最后一行或 </w:t>
      </w:r>
      <w:r>
        <w:rPr>
          <w:rStyle w:val="VerbatimChar"/>
        </w:rPr>
        <w:t xml:space="preserve">tfoot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分组表头必须使用真实 </w:t>
      </w:r>
      <w:r>
        <w:rPr>
          <w:rStyle w:val="VerbatimChar"/>
        </w:rPr>
        <w:t xml:space="preserve">rowspan / colspan</w:t>
      </w:r>
      <w:r>
        <w:t xml:space="preserve">，不得通过绝对定位伪造。</w:t>
      </w:r>
    </w:p>
    <w:p>
      <w:pPr>
        <w:pStyle w:val="Compact"/>
        <w:numPr>
          <w:ilvl w:val="0"/>
          <w:numId w:val="1007"/>
        </w:numPr>
      </w:pPr>
      <w:r>
        <w:t xml:space="preserve">首列为行维度列，左对齐并在横向滚动时保持可识别。</w:t>
      </w:r>
    </w:p>
    <w:p>
      <w:pPr>
        <w:pStyle w:val="Compact"/>
        <w:numPr>
          <w:ilvl w:val="0"/>
          <w:numId w:val="1007"/>
        </w:numPr>
      </w:pPr>
      <w:r>
        <w:t xml:space="preserve">数字列右对齐或居中，但同一张表必须一致。</w:t>
      </w:r>
    </w:p>
    <w:p>
      <w:pPr>
        <w:pStyle w:val="Compact"/>
        <w:numPr>
          <w:ilvl w:val="0"/>
          <w:numId w:val="1007"/>
        </w:numPr>
      </w:pPr>
      <w:r>
        <w:t xml:space="preserve">数字采用等宽数字：</w:t>
      </w:r>
      <w:r>
        <w:rPr>
          <w:rStyle w:val="VerbatimChar"/>
        </w:rPr>
        <w:t xml:space="preserve">font-variant-numeric: tabular-nums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单元格原则上不换行；表头较长时应调整列宽或使用明确简称。</w:t>
      </w:r>
    </w:p>
    <w:p>
      <w:pPr>
        <w:pStyle w:val="SourceCode"/>
      </w:pPr>
      <w:r>
        <w:rPr>
          <w:rStyle w:val="FunctionTok"/>
        </w:rPr>
        <w:t xml:space="preserve">.excel-table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border-collapse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separate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table-layout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font-variant-numeric</w:t>
      </w:r>
      <w:r>
        <w:rPr>
          <w:rStyle w:val="NormalTok"/>
        </w:rPr>
        <w:t xml:space="preserve">: tabular-nums;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  <w:br w:type="textWrapping"/>
      </w:r>
      <w:r>
        <w:rPr>
          <w:rStyle w:val="FunctionTok"/>
        </w:rPr>
        <w:t xml:space="preserve">.excel-cell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var(--bi-border);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var(--bi-border);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#fff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  <w:br w:type="textWrapping"/>
      </w:r>
      <w:r>
        <w:rPr>
          <w:rStyle w:val="FunctionTok"/>
        </w:rPr>
        <w:t xml:space="preserve">.excel-cell.is-header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var(--bi-header-bg);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#27557f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  <w:br w:type="textWrapping"/>
      </w:r>
      <w:r>
        <w:rPr>
          <w:rStyle w:val="FunctionTok"/>
        </w:rPr>
        <w:t xml:space="preserve">.excel-cell.is-row-label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35" w:name="多级表头与业务分区"/>
      <w:r>
        <w:t xml:space="preserve">4.3 多级表头与业务分区</w:t>
      </w:r>
      <w:bookmarkEnd w:id="35"/>
    </w:p>
    <w:p>
      <w:pPr>
        <w:pStyle w:val="FirstParagraph"/>
      </w:pPr>
      <w:r>
        <w:t>以“考核结果 / 天猫 / 抖音”或“整体调价率 / 六高商品调价率”为例：</w:t>
      </w:r>
    </w:p>
    <w:p>
      <w:pPr>
        <w:pStyle w:val="Compact"/>
        <w:numPr>
          <w:ilvl w:val="0"/>
          <w:numId w:val="1008"/>
        </w:numPr>
      </w:pPr>
      <w:r>
        <w:t xml:space="preserve">一级表头：业务分组名称；</w:t>
      </w:r>
    </w:p>
    <w:p>
      <w:pPr>
        <w:pStyle w:val="Compact"/>
        <w:numPr>
          <w:ilvl w:val="0"/>
          <w:numId w:val="1008"/>
        </w:numPr>
      </w:pPr>
      <w:r>
        <w:t xml:space="preserve">二级表头：指标名称；</w:t>
      </w:r>
    </w:p>
    <w:p>
      <w:pPr>
        <w:pStyle w:val="Compact"/>
        <w:numPr>
          <w:ilvl w:val="0"/>
          <w:numId w:val="1008"/>
        </w:numPr>
      </w:pPr>
      <w:r>
        <w:t xml:space="preserve">每个业务分组第一列增加 </w:t>
      </w:r>
      <w:r>
        <w:rPr>
          <w:rStyle w:val="VerbatimChar"/>
        </w:rPr>
        <w:t xml:space="preserve">2px</w:t>
      </w:r>
      <w:r>
        <w:t xml:space="preserve"> 蓝灰分隔线；</w:t>
      </w:r>
    </w:p>
    <w:p>
      <w:pPr>
        <w:pStyle w:val="Compact"/>
        <w:numPr>
          <w:ilvl w:val="0"/>
          <w:numId w:val="1008"/>
        </w:numPr>
      </w:pPr>
      <w:r>
        <w:t xml:space="preserve">分组表头的 </w:t>
      </w:r>
      <w:r>
        <w:rPr>
          <w:rStyle w:val="VerbatimChar"/>
        </w:rPr>
        <w:t xml:space="preserve">colspan</w:t>
      </w:r>
      <w:r>
        <w:t xml:space="preserve"> 必须与实际子列数完全一致；</w:t>
      </w:r>
    </w:p>
    <w:p>
      <w:pPr>
        <w:pStyle w:val="Compact"/>
        <w:numPr>
          <w:ilvl w:val="0"/>
          <w:numId w:val="1008"/>
        </w:numPr>
      </w:pPr>
      <w:r>
        <w:t xml:space="preserve">删除或增加列时，必须同步调整 </w:t>
      </w:r>
      <w:r>
        <w:rPr>
          <w:rStyle w:val="VerbatimChar"/>
        </w:rPr>
        <w:t xml:space="preserve">colspan</w:t>
      </w:r>
      <w:r>
        <w:t xml:space="preserve">，并执行浏览器验收。</w:t>
      </w:r>
    </w:p>
    <w:p>
      <w:pPr>
        <w:pStyle w:val="SourceCode"/>
      </w:pPr>
      <w:r>
        <w:rPr>
          <w:rStyle w:val="FunctionTok"/>
        </w:rPr>
        <w:t xml:space="preserve">.section-divider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var(--bi-border) </w:t>
      </w:r>
      <w:r>
        <w:rPr>
          <w:rStyle w:val="AttributeTok"/>
        </w:rPr>
        <w:t xml:space="preserve">!important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36" w:name="横向滚动"/>
      <w:r>
        <w:t xml:space="preserve">4.4 横向滚动</w:t>
      </w:r>
      <w:bookmarkEnd w:id="36"/>
    </w:p>
    <w:p>
      <w:pPr>
        <w:pStyle w:val="Compact"/>
        <w:numPr>
          <w:ilvl w:val="0"/>
          <w:numId w:val="1009"/>
        </w:numPr>
      </w:pPr>
      <w:r>
        <w:t xml:space="preserve">移动端优先保证字段完整，不强制压缩到一屏。</w:t>
      </w:r>
    </w:p>
    <w:p>
      <w:pPr>
        <w:pStyle w:val="Compact"/>
        <w:numPr>
          <w:ilvl w:val="0"/>
          <w:numId w:val="1009"/>
        </w:numPr>
      </w:pPr>
      <w:r>
        <w:t xml:space="preserve">表格可横向滚动，导航也可独立横向滚动。</w:t>
      </w:r>
    </w:p>
    <w:p>
      <w:pPr>
        <w:pStyle w:val="Compact"/>
        <w:numPr>
          <w:ilvl w:val="0"/>
          <w:numId w:val="1009"/>
        </w:numPr>
      </w:pPr>
      <w:r>
        <w:t xml:space="preserve">禁止缩小文字到不可读尺寸来避免滚动。</w:t>
      </w:r>
    </w:p>
    <w:p>
      <w:pPr>
        <w:pStyle w:val="Compact"/>
        <w:numPr>
          <w:ilvl w:val="0"/>
          <w:numId w:val="1009"/>
        </w:numPr>
      </w:pPr>
      <w:r>
        <w:t xml:space="preserve">首列可使用粘性定位，但不得遮挡边框或总计行背景。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行顺序与精品总规则"/>
      <w:r>
        <w:t>5. 行顺序与“精品总”规则</w:t>
      </w:r>
      <w:bookmarkEnd w:id="37"/>
    </w:p>
    <w:p>
      <w:pPr>
        <w:pStyle w:val="Heading3"/>
      </w:pPr>
      <w:bookmarkStart w:id="38" w:name="强制顺序"/>
      <w:r>
        <w:t xml:space="preserve">5.1 强制顺序</w:t>
      </w:r>
      <w:bookmarkEnd w:id="38"/>
    </w:p>
    <w:p>
      <w:pPr>
        <w:pStyle w:val="FirstParagraph"/>
      </w:pPr>
      <w:r>
        <w:t xml:space="preserve">所有小组级表格必须遵循：</w:t>
      </w:r>
    </w:p>
    <w:p>
      <w:pPr>
        <w:pStyle w:val="Compact"/>
        <w:numPr>
          <w:ilvl w:val="0"/>
          <w:numId w:val="1010"/>
        </w:numPr>
      </w:pPr>
      <w:r>
        <w:t xml:space="preserve">普通小组行；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 xml:space="preserve">精品总</w:t>
      </w:r>
      <w:r>
        <w:t xml:space="preserve">；</w:t>
      </w:r>
    </w:p>
    <w:p>
      <w:pPr>
        <w:pStyle w:val="Compact"/>
        <w:numPr>
          <w:ilvl w:val="0"/>
          <w:numId w:val="1010"/>
        </w:numPr>
      </w:pPr>
      <w:r>
        <w:t xml:space="preserve">精品总必须是最后一行。</w:t>
      </w:r>
    </w:p>
    <w:p>
      <w:pPr>
        <w:pStyle w:val="FirstParagraph"/>
      </w:pPr>
      <w:r>
        <w:t xml:space="preserve">默认小组顺序建议固定为：</w:t>
      </w:r>
    </w:p>
    <w:p>
      <w:pPr>
        <w:pStyle w:val="SourceCode"/>
      </w:pPr>
      <w:r>
        <w:rPr>
          <w:rStyle w:val="VerbatimChar"/>
        </w:rPr>
        <w:t xml:space="preserve">饰品1组</w:t>
      </w:r>
      <w:r>
        <w:br w:type="textWrapping"/>
      </w:r>
      <w:r>
        <w:rPr>
          <w:rStyle w:val="VerbatimChar"/>
        </w:rPr>
        <w:t xml:space="preserve">饰品2组</w:t>
      </w:r>
      <w:r>
        <w:br w:type="textWrapping"/>
      </w:r>
      <w:r>
        <w:rPr>
          <w:rStyle w:val="VerbatimChar"/>
        </w:rPr>
        <w:t xml:space="preserve">海淘组</w:t>
      </w:r>
      <w:r>
        <w:br w:type="textWrapping"/>
      </w:r>
      <w:r>
        <w:rPr>
          <w:rStyle w:val="VerbatimChar"/>
        </w:rPr>
        <w:t xml:space="preserve">珠宝1组</w:t>
      </w:r>
      <w:r>
        <w:br w:type="textWrapping"/>
      </w:r>
      <w:r>
        <w:rPr>
          <w:rStyle w:val="VerbatimChar"/>
        </w:rPr>
        <w:t xml:space="preserve">珠宝2组</w:t>
      </w:r>
      <w:r>
        <w:br w:type="textWrapping"/>
      </w:r>
      <w:r>
        <w:rPr>
          <w:rStyle w:val="VerbatimChar"/>
        </w:rPr>
        <w:t xml:space="preserve">珠宝3组</w:t>
      </w:r>
      <w:r>
        <w:br w:type="textWrapping"/>
      </w:r>
      <w:r>
        <w:rPr>
          <w:rStyle w:val="VerbatimChar"/>
        </w:rPr>
        <w:t xml:space="preserve">精品总</w:t>
      </w:r>
    </w:p>
    <w:p>
      <w:pPr>
        <w:pStyle w:val="FirstParagraph"/>
      </w:pPr>
      <w:r>
        <w:t>如业务另有固定顺序，可调整普通小组顺序，但“精品总最后”不可调整。</w:t>
      </w:r>
    </w:p>
    <w:p>
      <w:pPr>
        <w:pStyle w:val="Heading3"/>
      </w:pPr>
      <w:bookmarkStart w:id="39" w:name="唯一高亮"/>
      <w:r>
        <w:t xml:space="preserve">5.2 唯一高亮</w:t>
      </w:r>
      <w:bookmarkEnd w:id="39"/>
    </w:p>
    <w:p>
      <w:pPr>
        <w:pStyle w:val="Compact"/>
        <w:numPr>
          <w:ilvl w:val="0"/>
          <w:numId w:val="1011"/>
        </w:numPr>
      </w:pPr>
      <w:r>
        <w:t xml:space="preserve">只有“精品总”允许使用 </w:t>
      </w:r>
      <w:r>
        <w:rPr>
          <w:rStyle w:val="VerbatimChar"/>
        </w:rPr>
        <w:t xml:space="preserve">total-row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普通小组不得因排名、达标、异常等原因使用总计行背景。</w:t>
      </w:r>
    </w:p>
    <w:p>
      <w:pPr>
        <w:pStyle w:val="Compact"/>
        <w:numPr>
          <w:ilvl w:val="0"/>
          <w:numId w:val="1011"/>
        </w:numPr>
      </w:pPr>
      <w:r>
        <w:t xml:space="preserve">条件状态只能作用于具体指标文字或状态胶囊，不能整行染色。</w:t>
      </w:r>
    </w:p>
    <w:p>
      <w:pPr>
        <w:pStyle w:val="Compact"/>
        <w:numPr>
          <w:ilvl w:val="0"/>
          <w:numId w:val="1011"/>
        </w:numPr>
      </w:pPr>
      <w:r>
        <w:t>“总”“精品”“精品总计”等源名称进入前端前统一标准化为“精品总”。</w:t>
      </w:r>
    </w:p>
    <w:p>
      <w:pPr>
        <w:pStyle w:val="SourceCode"/>
      </w:pPr>
      <w:r>
        <w:rPr>
          <w:rStyle w:val="FunctionTok"/>
        </w:rPr>
        <w:t xml:space="preserve">.excel-table</w:t>
      </w:r>
      <w:r>
        <w:rPr>
          <w:rStyle w:val="NormalTok"/>
        </w:rPr>
        <w:t xml:space="preserve"> tr</w:t>
      </w:r>
      <w:r>
        <w:rPr>
          <w:rStyle w:val="FunctionTok"/>
        </w:rPr>
        <w:t xml:space="preserve">.total-row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.excel-cell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#eaf3ff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#153b63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normalizeGroupName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</w:t>
      </w:r>
      <w:r>
        <w:rPr>
          <w:rStyle w:val="SpecialStringTok"/>
        </w:rPr>
        <w:t xml:space="preserve">总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精品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精品总计</w:t>
      </w:r>
      <w:r>
        <w:rPr>
          <w:rStyle w:val="SpecialCharTok"/>
        </w:rPr>
        <w:t xml:space="preserve">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test</w:t>
      </w:r>
      <w:r>
        <w:rPr>
          <w:rStyle w:val="NormalTok"/>
        </w:rPr>
        <w:t xml:space="preserve">(name)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"精品总"</w:t>
      </w:r>
      <w:r>
        <w:rPr>
          <w:rStyle w:val="NormalTok"/>
        </w:rPr>
        <w:t xml:space="preserve"> : name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</w:t>
      </w:r>
      <w:r>
        <w:br w:type="textWrapping"/>
        <w:br w:type="textWrapping"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sortRowsWithTotalLast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slice</w:t>
      </w:r>
      <w:r>
        <w:rPr>
          <w:rStyle w:val="NormalTok"/>
        </w:rPr>
        <w:t xml:space="preserve">().</w:t>
      </w:r>
      <w:r>
        <w:rPr>
          <w:rStyle w:val="AttributeTok"/>
        </w:rPr>
        <w:t xml:space="preserve">sort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normalizeGroupName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"精品总"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 w:type="textWrapping"/>
      </w:r>
      <w:r>
        <w:rPr>
          <w:rStyle w:val="NormalTok"/>
        </w:rPr>
        <w:t xml:space="preserve">           (</w:t>
      </w:r>
      <w:r>
        <w:rPr>
          <w:rStyle w:val="AttributeTok"/>
        </w:rPr>
        <w:t xml:space="preserve">normalizeGroupName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b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"精品总"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Heading3"/>
      </w:pPr>
      <w:bookmarkStart w:id="40" w:name="总计计算"/>
      <w:r>
        <w:t xml:space="preserve">5.3 总计计算</w:t>
      </w:r>
      <w:bookmarkEnd w:id="40"/>
    </w:p>
    <w:p>
      <w:pPr>
        <w:pStyle w:val="Compact"/>
        <w:numPr>
          <w:ilvl w:val="0"/>
          <w:numId w:val="1012"/>
        </w:numPr>
      </w:pPr>
      <w:r>
        <w:t>比率类总计必须使用“总分子 ÷ 总分母”。</w:t>
      </w:r>
    </w:p>
    <w:p>
      <w:pPr>
        <w:pStyle w:val="Compact"/>
        <w:numPr>
          <w:ilvl w:val="0"/>
          <w:numId w:val="1012"/>
        </w:numPr>
      </w:pPr>
      <w:r>
        <w:t xml:space="preserve">禁止对小组比率做简单算术平均。</w:t>
      </w:r>
    </w:p>
    <w:p>
      <w:pPr>
        <w:pStyle w:val="Compact"/>
        <w:numPr>
          <w:ilvl w:val="0"/>
          <w:numId w:val="1012"/>
        </w:numPr>
      </w:pPr>
      <w:r>
        <w:t xml:space="preserve">精品总展示值必须能通过各小组原始计数求和重算。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数值格式规范"/>
      <w:r>
        <w:t xml:space="preserve">6. 数值格式规范</w:t>
      </w:r>
      <w:bookmarkEnd w:id="41"/>
    </w:p>
    <w:p>
      <w:pPr>
        <w:pStyle w:val="Heading3"/>
      </w:pPr>
      <w:bookmarkStart w:id="42" w:name="通用规则"/>
      <w:r>
        <w:t xml:space="preserve">6.1 通用规则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p>
            <w:pPr>
              <w:pStyle w:val="Compact"/>
              <w:jc w:val="left"/>
            </w:pPr>
            <w:r>
              <w:t xml:space="preserve">千分位，无小数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12,323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普通小数</w:t>
            </w:r>
          </w:p>
        </w:tc>
        <w:tc>
          <w:p>
            <w:pPr>
              <w:pStyle w:val="Compact"/>
              <w:jc w:val="left"/>
            </w:pPr>
            <w:r>
              <w:t xml:space="preserve">按业务要求，默认1位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1,408.5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p>
            <w:pPr>
              <w:pStyle w:val="Compact"/>
              <w:jc w:val="left"/>
            </w:pPr>
            <w:r>
              <w:t xml:space="preserve">使用统一单位，最多2位小数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1.25亿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比率</w:t>
            </w:r>
          </w:p>
        </w:tc>
        <w:tc>
          <w:p>
            <w:pPr>
              <w:pStyle w:val="Compact"/>
              <w:jc w:val="left"/>
            </w:pPr>
            <w:r>
              <w:t xml:space="preserve">百分比，1位小数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百分点差</w:t>
            </w:r>
          </w:p>
        </w:tc>
        <w:tc>
          <w:p>
            <w:pPr>
              <w:pStyle w:val="Compact"/>
              <w:jc w:val="left"/>
            </w:pPr>
            <w:r>
              <w:t xml:space="preserve">1位小数 + </w:t>
            </w:r>
            <w:r>
              <w:rPr>
                <w:rStyle w:val="VerbatimChar"/>
              </w:rPr>
              <w:t xml:space="preserve">pp</w:t>
            </w:r>
            <w:r>
              <w:t xml:space="preserve">，保留正负号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+2.8pp</w:t>
            </w:r>
            <w:r>
              <w:t xml:space="preserve">、</w:t>
            </w:r>
            <w:r>
              <w:rPr>
                <w:rStyle w:val="VerbatimChar"/>
              </w:rPr>
              <w:t xml:space="preserve">-4.6pp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无数据</w:t>
            </w:r>
          </w:p>
        </w:tc>
        <w:tc>
          <w:p>
            <w:pPr>
              <w:pStyle w:val="Compact"/>
              <w:jc w:val="left"/>
            </w:pPr>
            <w:r>
              <w:t xml:space="preserve">长破折号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零值</w:t>
            </w:r>
          </w:p>
        </w:tc>
        <w:tc>
          <w:p>
            <w:pPr>
              <w:pStyle w:val="Compact"/>
              <w:jc w:val="left"/>
            </w:pPr>
            <w:r>
              <w:t xml:space="preserve">显示真实零，不当作无数据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、</w:t>
            </w:r>
            <w:r>
              <w:rPr>
                <w:rStyle w:val="VerbatimChar"/>
              </w:rPr>
              <w:t xml:space="preserve">0.0%</w:t>
            </w:r>
            <w:r>
              <w:t xml:space="preserve">、</w:t>
            </w:r>
            <w:r>
              <w:rPr>
                <w:rStyle w:val="VerbatimChar"/>
              </w:rPr>
              <w:t xml:space="preserve">0.0pp</w:t>
            </w:r>
          </w:p>
        </w:tc>
      </w:tr>
    </w:tbl>
    <w:p>
      <w:pPr>
        <w:pStyle w:val="Heading3"/>
      </w:pPr>
      <w:bookmarkStart w:id="43" w:name="价格指数"/>
      <w:r>
        <w:t xml:space="preserve">6.2 价格指数</w:t>
      </w:r>
      <w:bookmarkEnd w:id="43"/>
    </w:p>
    <w:p>
      <w:pPr>
        <w:pStyle w:val="FirstParagraph"/>
      </w:pPr>
      <w:r>
        <w:t xml:space="preserve">价格指数、对标值、目标值统一：</w:t>
      </w:r>
    </w:p>
    <w:p>
      <w:pPr>
        <w:pStyle w:val="Compact"/>
        <w:numPr>
          <w:ilvl w:val="0"/>
          <w:numId w:val="1013"/>
        </w:numPr>
      </w:pPr>
      <w:r>
        <w:t xml:space="preserve">源值为比例时，乘以100；</w:t>
      </w:r>
    </w:p>
    <w:p>
      <w:pPr>
        <w:pStyle w:val="Compact"/>
        <w:numPr>
          <w:ilvl w:val="0"/>
          <w:numId w:val="1013"/>
        </w:numPr>
      </w:pPr>
      <w:r>
        <w:t xml:space="preserve">百分比后保留1位小数；</w:t>
      </w:r>
    </w:p>
    <w:p>
      <w:pPr>
        <w:pStyle w:val="Compact"/>
        <w:numPr>
          <w:ilvl w:val="0"/>
          <w:numId w:val="1013"/>
        </w:numPr>
      </w:pPr>
      <w:r>
        <w:t xml:space="preserve">必须带 </w:t>
      </w:r>
      <w:r>
        <w:rPr>
          <w:rStyle w:val="VerbatimChar"/>
        </w:rPr>
        <w:t xml:space="preserve">%</w:t>
      </w:r>
      <w:r>
        <w:t xml:space="preserve">；</w:t>
      </w:r>
    </w:p>
    <w:p>
      <w:pPr>
        <w:pStyle w:val="Compact"/>
        <w:numPr>
          <w:ilvl w:val="0"/>
          <w:numId w:val="1013"/>
        </w:numPr>
      </w:pPr>
      <w:r>
        <w:t xml:space="preserve">不展示原始 </w:t>
      </w:r>
      <w:r>
        <w:rPr>
          <w:rStyle w:val="VerbatimChar"/>
        </w:rPr>
        <w:t xml:space="preserve">0.8</w:t>
      </w:r>
      <w:r>
        <w:t xml:space="preserve">，应展示 </w:t>
      </w:r>
      <w:r>
        <w:rPr>
          <w:rStyle w:val="VerbatimChar"/>
        </w:rPr>
        <w:t xml:space="preserve">80.0%</w:t>
      </w:r>
      <w:r>
        <w:t xml:space="preserve">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formatPriceIndex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"(NULL)"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Attribute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Heading3"/>
      </w:pPr>
      <w:bookmarkStart w:id="44" w:name="差值与百分点"/>
      <w:r>
        <w:t xml:space="preserve">6.3 差值与百分点</w:t>
      </w:r>
      <w:bookmarkEnd w:id="44"/>
    </w:p>
    <w:p>
      <w:pPr>
        <w:pStyle w:val="FirstParagraph"/>
      </w:pPr>
      <w:r>
        <w:t xml:space="preserve">差值必须保留方向：</w:t>
      </w:r>
    </w:p>
    <w:p>
      <w:pPr>
        <w:pStyle w:val="Compact"/>
        <w:numPr>
          <w:ilvl w:val="0"/>
          <w:numId w:val="1014"/>
        </w:numPr>
      </w:pPr>
      <w:r>
        <w:t xml:space="preserve">正值：</w:t>
      </w:r>
      <w:r>
        <w:rPr>
          <w:rStyle w:val="VerbatimChar"/>
        </w:rPr>
        <w:t xml:space="preserve">+x.xpp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负值：</w:t>
      </w:r>
      <w:r>
        <w:rPr>
          <w:rStyle w:val="VerbatimChar"/>
        </w:rPr>
        <w:t xml:space="preserve">-x.xpp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零值：</w:t>
      </w:r>
      <w:r>
        <w:rPr>
          <w:rStyle w:val="VerbatimChar"/>
        </w:rPr>
        <w:t xml:space="preserve">0.0pp</w:t>
      </w:r>
      <w:r>
        <w:t xml:space="preserve">；</w:t>
      </w:r>
    </w:p>
    <w:p>
      <w:pPr>
        <w:pStyle w:val="Compact"/>
        <w:numPr>
          <w:ilvl w:val="0"/>
          <w:numId w:val="1014"/>
        </w:numPr>
      </w:pPr>
      <w:r>
        <w:t xml:space="preserve">禁止使用绝对值后丢失正负方向；</w:t>
      </w:r>
    </w:p>
    <w:p>
      <w:pPr>
        <w:pStyle w:val="Compact"/>
        <w:numPr>
          <w:ilvl w:val="0"/>
          <w:numId w:val="1014"/>
        </w:numPr>
      </w:pPr>
      <w:r>
        <w:t xml:space="preserve">禁止把比例差直接当作 pp，须确认源字段单位。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formatPp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sourceIsRatio)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"(NULL)"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(sourceIsRatio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: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Math</w:t>
      </w:r>
      <w:r>
        <w:rPr>
          <w:rStyle w:val="NormalTok"/>
        </w:rPr>
        <w:t xml:space="preserve">.</w:t>
      </w:r>
      <w:r>
        <w:rPr>
          <w:rStyle w:val="AttributeTok"/>
        </w:rPr>
        <w:t xml:space="preserve">abs</w:t>
      </w:r>
      <w:r>
        <w:rPr>
          <w:rStyle w:val="NormalTok"/>
        </w:rPr>
        <w:t xml:space="preserve">(n).</w:t>
      </w:r>
      <w:r>
        <w:rPr>
          <w:rStyle w:val="Attribute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"pp"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Heading3"/>
      </w:pPr>
      <w:bookmarkStart w:id="45" w:name="单位不得重复"/>
      <w:r>
        <w:t xml:space="preserve">6.4 单位不得重复</w:t>
      </w:r>
      <w:bookmarkEnd w:id="45"/>
    </w:p>
    <w:p>
      <w:pPr>
        <w:pStyle w:val="Compact"/>
        <w:numPr>
          <w:ilvl w:val="0"/>
          <w:numId w:val="1015"/>
        </w:numPr>
      </w:pPr>
      <w:r>
        <w:t xml:space="preserve">数据层推荐拆分为 </w:t>
      </w:r>
      <w:r>
        <w:rPr>
          <w:rStyle w:val="VerbatimChar"/>
        </w:rPr>
        <w:t xml:space="preserve">text</w:t>
      </w:r>
      <w:r>
        <w:t xml:space="preserve"> 与 </w:t>
      </w:r>
      <w:r>
        <w:rPr>
          <w:rStyle w:val="VerbatimChar"/>
        </w:rPr>
        <w:t xml:space="preserve">unit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若 </w:t>
      </w:r>
      <w:r>
        <w:rPr>
          <w:rStyle w:val="VerbatimChar"/>
        </w:rPr>
        <w:t xml:space="preserve">text</w:t>
      </w:r>
      <w:r>
        <w:t xml:space="preserve"> 已包含 </w:t>
      </w:r>
      <w:r>
        <w:rPr>
          <w:rStyle w:val="VerbatimChar"/>
        </w:rPr>
        <w:t xml:space="preserve">%</w:t>
      </w:r>
      <w:r>
        <w:t xml:space="preserve"> 或 </w:t>
      </w:r>
      <w:r>
        <w:rPr>
          <w:rStyle w:val="VerbatimChar"/>
        </w:rPr>
        <w:t xml:space="preserve">pp</w:t>
      </w:r>
      <w:r>
        <w:t xml:space="preserve">，渲染层不得再次追加。</w:t>
      </w:r>
    </w:p>
    <w:p>
      <w:pPr>
        <w:pStyle w:val="Compact"/>
        <w:numPr>
          <w:ilvl w:val="0"/>
          <w:numId w:val="1015"/>
        </w:numPr>
      </w:pPr>
      <w:r>
        <w:t xml:space="preserve">发布前检查 </w:t>
      </w:r>
      <w:r>
        <w:rPr>
          <w:rStyle w:val="VerbatimChar"/>
        </w:rPr>
        <w:t xml:space="preserve">%%</w:t>
      </w:r>
      <w:r>
        <w:t xml:space="preserve">、</w:t>
      </w:r>
      <w:r>
        <w:rPr>
          <w:rStyle w:val="VerbatimChar"/>
        </w:rPr>
        <w:t xml:space="preserve">pppp</w:t>
      </w:r>
      <w:r>
        <w:t xml:space="preserve">、缺失单位等异常。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红绿颜色语义"/>
      <w:r>
        <w:t xml:space="preserve">7. 红绿颜色语义</w:t>
      </w:r>
      <w:bookmarkEnd w:id="46"/>
    </w:p>
    <w:p>
      <w:pPr>
        <w:pStyle w:val="Heading3"/>
      </w:pPr>
      <w:bookmarkStart w:id="47" w:name="价格指数及差值"/>
      <w:r>
        <w:t xml:space="preserve">7.1 价格指数及差值</w:t>
      </w:r>
      <w:bookmarkEnd w:id="47"/>
    </w:p>
    <w:p>
      <w:pPr>
        <w:pStyle w:val="FirstParagraph"/>
      </w:pPr>
      <w:r>
        <w:t>本系统统一采用“</w:t>
      </w:r>
      <w:r>
        <w:rPr>
          <w:b/>
        </w:rPr>
        <w:t xml:space="preserve">红高、绿低</w:t>
      </w:r>
      <w:r>
        <w:t>”：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建议色值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高于基准 / 正差</w:t>
            </w:r>
          </w:p>
        </w:tc>
        <w:tc>
          <w:p>
            <w:pPr>
              <w:pStyle w:val="Compact"/>
              <w:jc w:val="left"/>
            </w:pPr>
            <w:r>
              <w:t xml:space="preserve">红色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+7.6pp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低于基准 / 负差</w:t>
            </w:r>
          </w:p>
        </w:tc>
        <w:tc>
          <w:p>
            <w:pPr>
              <w:pStyle w:val="Compact"/>
              <w:jc w:val="left"/>
            </w:pPr>
            <w:r>
              <w:t xml:space="preserve">绿色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#059669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-2.1pp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等于基准 / 零差</w:t>
            </w:r>
          </w:p>
        </w:tc>
        <w:tc>
          <w:p>
            <w:pPr>
              <w:pStyle w:val="Compact"/>
              <w:jc w:val="left"/>
            </w:pPr>
            <w:r>
              <w:t xml:space="preserve">中性灰蓝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#6B849E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无数据</w:t>
            </w:r>
          </w:p>
        </w:tc>
        <w:tc>
          <w:p>
            <w:pPr>
              <w:pStyle w:val="Compact"/>
              <w:jc w:val="left"/>
            </w:pPr>
            <w:r>
              <w:t xml:space="preserve">浅灰蓝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#8AA0B6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—</w:t>
            </w:r>
          </w:p>
        </w:tc>
      </w:tr>
    </w:tbl>
    <w:p>
      <w:pPr>
        <w:pStyle w:val="BlockText"/>
      </w:pPr>
      <w:r>
        <w:t>说明：这里的颜色表达的是“价格高低/差值方向”，不等同于通用财务图表的“红涨绿跌”。代码必须依据字段业务语义选择颜色，不能仅依据正负号套用到所有指标。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priceDiffClass</w:t>
      </w:r>
      <w:r>
        <w:rPr>
          <w:rStyle w:val="NormalTok"/>
        </w:rPr>
        <w:t xml:space="preserve">(raw)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"price-high"</w:t>
      </w:r>
      <w:r>
        <w:rPr>
          <w:rStyle w:val="NormalTok"/>
        </w:rPr>
        <w:t xml:space="preserve"> :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"price-low"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"price-flat"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.price-high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#dc2626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; }</w:t>
      </w:r>
      <w:r>
        <w:br w:type="textWrapping"/>
      </w:r>
      <w:r>
        <w:rPr>
          <w:rStyle w:val="FunctionTok"/>
        </w:rPr>
        <w:t xml:space="preserve">.price-low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#059669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; }</w:t>
      </w:r>
      <w:r>
        <w:br w:type="textWrapping"/>
      </w:r>
      <w:r>
        <w:rPr>
          <w:rStyle w:val="FunctionTok"/>
        </w:rPr>
        <w:t xml:space="preserve">.price-flat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#6b849e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NormalTok"/>
        </w:rPr>
        <w:t xml:space="preserve">; }</w:t>
      </w:r>
    </w:p>
    <w:p>
      <w:pPr>
        <w:pStyle w:val="Heading3"/>
      </w:pPr>
      <w:bookmarkStart w:id="48" w:name="同比指标"/>
      <w:r>
        <w:t xml:space="preserve">7.2 同比指标</w:t>
      </w:r>
      <w:bookmarkEnd w:id="48"/>
    </w:p>
    <w:p>
      <w:pPr>
        <w:pStyle w:val="FirstParagraph"/>
      </w:pPr>
      <w:r>
        <w:t xml:space="preserve">同比指标必须单独定义语义，不能直接复用价格高低类：</w:t>
      </w:r>
    </w:p>
    <w:p>
      <w:pPr>
        <w:pStyle w:val="Compact"/>
        <w:numPr>
          <w:ilvl w:val="0"/>
          <w:numId w:val="1016"/>
        </w:numPr>
      </w:pPr>
      <w:r>
        <w:t xml:space="preserve">增长/正向同比：红色或系统定义的正向色；</w:t>
      </w:r>
    </w:p>
    <w:p>
      <w:pPr>
        <w:pStyle w:val="Compact"/>
        <w:numPr>
          <w:ilvl w:val="0"/>
          <w:numId w:val="1016"/>
        </w:numPr>
      </w:pPr>
      <w:r>
        <w:t xml:space="preserve">下跌/负向同比：绿色或系统定义的负向色；</w:t>
      </w:r>
    </w:p>
    <w:p>
      <w:pPr>
        <w:pStyle w:val="Compact"/>
        <w:numPr>
          <w:ilvl w:val="0"/>
          <w:numId w:val="1016"/>
        </w:numPr>
      </w:pPr>
      <w:r>
        <w:t xml:space="preserve">使用箭头与颜色双重表达，避免只靠颜色。</w:t>
      </w:r>
    </w:p>
    <w:p>
      <w:pPr>
        <w:pStyle w:val="Heading3"/>
      </w:pPr>
      <w:bookmarkStart w:id="49" w:name="目标达成状态"/>
      <w:r>
        <w:t xml:space="preserve">7.3 目标达成状态</w:t>
      </w:r>
      <w:bookmarkEnd w:id="49"/>
    </w:p>
    <w:p>
      <w:pPr>
        <w:pStyle w:val="Compact"/>
        <w:numPr>
          <w:ilvl w:val="0"/>
          <w:numId w:val="1017"/>
        </w:numPr>
      </w:pPr>
      <w:r>
        <w:t>不达标：红色数值 + 轻量“未达标”胶囊；</w:t>
      </w:r>
    </w:p>
    <w:p>
      <w:pPr>
        <w:pStyle w:val="Compact"/>
        <w:numPr>
          <w:ilvl w:val="0"/>
          <w:numId w:val="1017"/>
        </w:numPr>
      </w:pPr>
      <w:r>
        <w:t>达标：系统蓝色数值，默认不增加“达标”胶囊；</w:t>
      </w:r>
    </w:p>
    <w:p>
      <w:pPr>
        <w:pStyle w:val="Compact"/>
        <w:numPr>
          <w:ilvl w:val="0"/>
          <w:numId w:val="1017"/>
        </w:numPr>
      </w:pPr>
      <w:r>
        <w:t xml:space="preserve">无样本：</w:t>
      </w:r>
      <w:r>
        <w:rPr>
          <w:rStyle w:val="VerbatimChar"/>
        </w:rPr>
        <w:t xml:space="preserve">—</w:t>
      </w:r>
      <w:r>
        <w:t xml:space="preserve">，不判定为未达标；</w:t>
      </w:r>
    </w:p>
    <w:p>
      <w:pPr>
        <w:pStyle w:val="Compact"/>
        <w:numPr>
          <w:ilvl w:val="0"/>
          <w:numId w:val="1017"/>
        </w:numPr>
      </w:pPr>
      <w:r>
        <w:t xml:space="preserve">禁止使用黄色整格或整行底色；</w:t>
      </w:r>
    </w:p>
    <w:p>
      <w:pPr>
        <w:pStyle w:val="Compact"/>
        <w:numPr>
          <w:ilvl w:val="0"/>
          <w:numId w:val="1017"/>
        </w:numPr>
      </w:pPr>
      <w:r>
        <w:t xml:space="preserve">条件格式不得覆盖精品总的总计行背景。</w:t>
      </w:r>
    </w:p>
    <w:p>
      <w:pPr>
        <w:pStyle w:val="SourceCode"/>
      </w:pPr>
      <w:r>
        <w:rPr>
          <w:rStyle w:val="FunctionTok"/>
        </w:rPr>
        <w:t xml:space="preserve">.status-rate.fail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#dc2626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; }</w:t>
      </w:r>
      <w:r>
        <w:br w:type="textWrapping"/>
      </w:r>
      <w:r>
        <w:rPr>
          <w:rStyle w:val="FunctionTok"/>
        </w:rPr>
        <w:t xml:space="preserve">.status-rate.fail</w:t>
      </w:r>
      <w:r>
        <w:rPr>
          <w:rStyle w:val="NormalTok"/>
        </w:rPr>
        <w:t xml:space="preserve"> em 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18%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11%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#dc2626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9px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font-style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normal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数据层与渲染层职责"/>
      <w:r>
        <w:t xml:space="preserve">8. 数据层与渲染层职责</w:t>
      </w:r>
      <w:bookmarkEnd w:id="50"/>
    </w:p>
    <w:p>
      <w:pPr>
        <w:pStyle w:val="Heading3"/>
      </w:pPr>
      <w:bookmarkStart w:id="51" w:name="数据层"/>
      <w:r>
        <w:t xml:space="preserve">8.1 数据层</w:t>
      </w:r>
      <w:bookmarkEnd w:id="51"/>
    </w:p>
    <w:p>
      <w:pPr>
        <w:pStyle w:val="FirstParagraph"/>
      </w:pPr>
      <w:r>
        <w:t xml:space="preserve">数据层必须输出：</w:t>
      </w:r>
    </w:p>
    <w:p>
      <w:pPr>
        <w:pStyle w:val="Compact"/>
        <w:numPr>
          <w:ilvl w:val="0"/>
          <w:numId w:val="1018"/>
        </w:numPr>
      </w:pPr>
      <w:r>
        <w:t xml:space="preserve">原始值 </w:t>
      </w:r>
      <w:r>
        <w:rPr>
          <w:rStyle w:val="VerbatimChar"/>
        </w:rPr>
        <w:t xml:space="preserve">raw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t xml:space="preserve">展示上下文 </w:t>
      </w:r>
      <w:r>
        <w:rPr>
          <w:rStyle w:val="VerbatimChar"/>
        </w:rPr>
        <w:t xml:space="preserve">context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t xml:space="preserve">数据日期 </w:t>
      </w:r>
      <w:r>
        <w:rPr>
          <w:rStyle w:val="VerbatimChar"/>
        </w:rPr>
        <w:t xml:space="preserve">source_date</w:t>
      </w:r>
      <w:r>
        <w:t xml:space="preserve">；</w:t>
      </w:r>
    </w:p>
    <w:p>
      <w:pPr>
        <w:pStyle w:val="Compact"/>
        <w:numPr>
          <w:ilvl w:val="0"/>
          <w:numId w:val="1018"/>
        </w:numPr>
      </w:pPr>
      <w:r>
        <w:t xml:space="preserve">分子、分母、目标等可重算字段；</w:t>
      </w:r>
    </w:p>
    <w:p>
      <w:pPr>
        <w:pStyle w:val="Compact"/>
        <w:numPr>
          <w:ilvl w:val="0"/>
          <w:numId w:val="1018"/>
        </w:numPr>
      </w:pPr>
      <w:r>
        <w:t xml:space="preserve">空值使用 </w:t>
      </w:r>
      <w:r>
        <w:rPr>
          <w:rStyle w:val="VerbatimChar"/>
        </w:rPr>
        <w:t xml:space="preserve">null</w:t>
      </w:r>
      <w:r>
        <w:t xml:space="preserve">，不得用 </w:t>
      </w:r>
      <w:r>
        <w:rPr>
          <w:rStyle w:val="VerbatimChar"/>
        </w:rPr>
        <w:t xml:space="preserve">0</w:t>
      </w:r>
      <w:r>
        <w:t xml:space="preserve"> 冒充无数据；</w:t>
      </w:r>
    </w:p>
    <w:p>
      <w:pPr>
        <w:pStyle w:val="Compact"/>
        <w:numPr>
          <w:ilvl w:val="0"/>
          <w:numId w:val="1018"/>
        </w:numPr>
      </w:pPr>
      <w:r>
        <w:t xml:space="preserve">发布校验结果。</w:t>
      </w:r>
    </w:p>
    <w:p>
      <w:pPr>
        <w:pStyle w:val="FirstParagraph"/>
      </w:pPr>
      <w:r>
        <w:t xml:space="preserve">推荐结构：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"珠宝3组"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0.6666666667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"denominator"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"2026-07-28"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3"/>
      </w:pPr>
      <w:bookmarkStart w:id="52" w:name="渲染层"/>
      <w:r>
        <w:t xml:space="preserve">8.2 渲染层</w:t>
      </w:r>
      <w:bookmarkEnd w:id="52"/>
    </w:p>
    <w:p>
      <w:pPr>
        <w:pStyle w:val="FirstParagraph"/>
      </w:pPr>
      <w:r>
        <w:t xml:space="preserve">渲染层负责：</w:t>
      </w:r>
    </w:p>
    <w:p>
      <w:pPr>
        <w:pStyle w:val="Compact"/>
        <w:numPr>
          <w:ilvl w:val="0"/>
          <w:numId w:val="1019"/>
        </w:numPr>
      </w:pPr>
      <w:r>
        <w:t xml:space="preserve">单位转换；</w:t>
      </w:r>
    </w:p>
    <w:p>
      <w:pPr>
        <w:pStyle w:val="Compact"/>
        <w:numPr>
          <w:ilvl w:val="0"/>
          <w:numId w:val="1019"/>
        </w:numPr>
      </w:pPr>
      <w:r>
        <w:t xml:space="preserve">小数位控制；</w:t>
      </w:r>
    </w:p>
    <w:p>
      <w:pPr>
        <w:pStyle w:val="Compact"/>
        <w:numPr>
          <w:ilvl w:val="0"/>
          <w:numId w:val="1019"/>
        </w:numPr>
      </w:pPr>
      <w:r>
        <w:t xml:space="preserve">正负号；</w:t>
      </w:r>
    </w:p>
    <w:p>
      <w:pPr>
        <w:pStyle w:val="Compact"/>
        <w:numPr>
          <w:ilvl w:val="0"/>
          <w:numId w:val="1019"/>
        </w:numPr>
      </w:pPr>
      <w:r>
        <w:t xml:space="preserve">颜色与状态胶囊；</w:t>
      </w:r>
    </w:p>
    <w:p>
      <w:pPr>
        <w:pStyle w:val="Compact"/>
        <w:numPr>
          <w:ilvl w:val="0"/>
          <w:numId w:val="1019"/>
        </w:numPr>
      </w:pPr>
      <w:r>
        <w:t xml:space="preserve">小组排序；</w:t>
      </w:r>
    </w:p>
    <w:p>
      <w:pPr>
        <w:pStyle w:val="Compact"/>
        <w:numPr>
          <w:ilvl w:val="0"/>
          <w:numId w:val="1019"/>
        </w:numPr>
      </w:pPr>
      <w:r>
        <w:t xml:space="preserve">精品总置底和唯一高亮；</w:t>
      </w:r>
    </w:p>
    <w:p>
      <w:pPr>
        <w:pStyle w:val="Compact"/>
        <w:numPr>
          <w:ilvl w:val="0"/>
          <w:numId w:val="1019"/>
        </w:numPr>
      </w:pPr>
      <w:r>
        <w:t xml:space="preserve">响应式表格。</w:t>
      </w:r>
    </w:p>
    <w:p>
      <w:pPr>
        <w:pStyle w:val="FirstParagraph"/>
      </w:pPr>
      <w:r>
        <w:t xml:space="preserve">渲染层不得：</w:t>
      </w:r>
    </w:p>
    <w:p>
      <w:pPr>
        <w:pStyle w:val="Compact"/>
        <w:numPr>
          <w:ilvl w:val="0"/>
          <w:numId w:val="1020"/>
        </w:numPr>
      </w:pPr>
      <w:r>
        <w:t xml:space="preserve">猜测缺失数据；</w:t>
      </w:r>
    </w:p>
    <w:p>
      <w:pPr>
        <w:pStyle w:val="Compact"/>
        <w:numPr>
          <w:ilvl w:val="0"/>
          <w:numId w:val="1020"/>
        </w:numPr>
      </w:pPr>
      <w:r>
        <w:t xml:space="preserve">用格式化文本反推原始数值；</w:t>
      </w:r>
    </w:p>
    <w:p>
      <w:pPr>
        <w:pStyle w:val="Compact"/>
        <w:numPr>
          <w:ilvl w:val="0"/>
          <w:numId w:val="1020"/>
        </w:numPr>
      </w:pPr>
      <w:r>
        <w:t xml:space="preserve">修改业务目标；</w:t>
      </w:r>
    </w:p>
    <w:p>
      <w:pPr>
        <w:pStyle w:val="Compact"/>
        <w:numPr>
          <w:ilvl w:val="0"/>
          <w:numId w:val="1020"/>
        </w:numPr>
      </w:pPr>
      <w:r>
        <w:t xml:space="preserve">对总计比率做小组平均；</w:t>
      </w:r>
    </w:p>
    <w:p>
      <w:pPr>
        <w:pStyle w:val="Compact"/>
        <w:numPr>
          <w:ilvl w:val="0"/>
          <w:numId w:val="1020"/>
        </w:numPr>
      </w:pPr>
      <w:r>
        <w:t xml:space="preserve">静默混用不同日期的数据。</w:t>
      </w:r>
    </w:p>
    <w:p>
      <w:pPr>
        <w:pStyle w:val="Heading3"/>
      </w:pPr>
      <w:bookmarkStart w:id="53" w:name="多源日期"/>
      <w:r>
        <w:t xml:space="preserve">8.3 多源日期</w:t>
      </w:r>
      <w:bookmarkEnd w:id="53"/>
    </w:p>
    <w:p>
      <w:pPr>
        <w:pStyle w:val="FirstParagraph"/>
      </w:pPr>
      <w:r>
        <w:t xml:space="preserve">当同一模块使用多个数据源时：</w:t>
      </w:r>
    </w:p>
    <w:p>
      <w:pPr>
        <w:pStyle w:val="Compact"/>
        <w:numPr>
          <w:ilvl w:val="0"/>
          <w:numId w:val="1021"/>
        </w:numPr>
      </w:pPr>
      <w:r>
        <w:t xml:space="preserve">每个数据源必须显示独立截止日期；</w:t>
      </w:r>
    </w:p>
    <w:p>
      <w:pPr>
        <w:pStyle w:val="Compact"/>
        <w:numPr>
          <w:ilvl w:val="0"/>
          <w:numId w:val="1021"/>
        </w:numPr>
      </w:pPr>
      <w:r>
        <w:t xml:space="preserve">日期不一致时不得只显示较新的日期；</w:t>
      </w:r>
    </w:p>
    <w:p>
      <w:pPr>
        <w:pStyle w:val="Compact"/>
        <w:numPr>
          <w:ilvl w:val="0"/>
          <w:numId w:val="1021"/>
        </w:numPr>
      </w:pPr>
      <w:r>
        <w:t xml:space="preserve">日期差超过允许阈值时，应触发数据门禁或明确警示。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修改前代码备份规范"/>
      <w:r>
        <w:t xml:space="preserve">9. 修改前代码备份规范</w:t>
      </w:r>
      <w:bookmarkEnd w:id="54"/>
    </w:p>
    <w:p>
      <w:pPr>
        <w:pStyle w:val="Heading3"/>
      </w:pPr>
      <w:bookmarkStart w:id="55" w:name="强制要求"/>
      <w:r>
        <w:t xml:space="preserve">9.1 强制要求</w:t>
      </w:r>
      <w:bookmarkEnd w:id="55"/>
    </w:p>
    <w:p>
      <w:pPr>
        <w:pStyle w:val="FirstParagraph"/>
      </w:pPr>
      <w:r>
        <w:t xml:space="preserve">每次修改前必须保存一份可恢复的修改前代码。未完成备份不得开始编辑。</w:t>
      </w:r>
    </w:p>
    <w:p>
      <w:pPr>
        <w:pStyle w:val="Heading3"/>
      </w:pPr>
      <w:bookmarkStart w:id="56" w:name="标准备份流程"/>
      <w:r>
        <w:t xml:space="preserve">9.2 标准备份流程</w:t>
      </w:r>
      <w:bookmarkEnd w:id="56"/>
    </w:p>
    <w:p>
      <w:pPr>
        <w:pStyle w:val="Compact"/>
        <w:numPr>
          <w:ilvl w:val="0"/>
          <w:numId w:val="1022"/>
        </w:numPr>
      </w:pPr>
      <w:r>
        <w:t xml:space="preserve">查看当前分支和工作区状态；</w:t>
      </w:r>
    </w:p>
    <w:p>
      <w:pPr>
        <w:pStyle w:val="Compact"/>
        <w:numPr>
          <w:ilvl w:val="0"/>
          <w:numId w:val="1022"/>
        </w:numPr>
      </w:pPr>
      <w:r>
        <w:t xml:space="preserve">记录修改前 Git Commit；</w:t>
      </w:r>
    </w:p>
    <w:p>
      <w:pPr>
        <w:pStyle w:val="Compact"/>
        <w:numPr>
          <w:ilvl w:val="0"/>
          <w:numId w:val="1022"/>
        </w:numPr>
      </w:pPr>
      <w:r>
        <w:t xml:space="preserve">将计划修改的文件复制到时间戳目录；</w:t>
      </w:r>
    </w:p>
    <w:p>
      <w:pPr>
        <w:pStyle w:val="Compact"/>
        <w:numPr>
          <w:ilvl w:val="0"/>
          <w:numId w:val="1022"/>
        </w:numPr>
      </w:pPr>
      <w:r>
        <w:t xml:space="preserve">生成备份清单，记录文件路径、SHA-256、基准 Commit、修改目的；</w:t>
      </w:r>
    </w:p>
    <w:p>
      <w:pPr>
        <w:pStyle w:val="Compact"/>
        <w:numPr>
          <w:ilvl w:val="0"/>
          <w:numId w:val="1022"/>
        </w:numPr>
      </w:pPr>
      <w:r>
        <w:t xml:space="preserve">确认备份可读后再修改。</w:t>
      </w:r>
    </w:p>
    <w:p>
      <w:pPr>
        <w:pStyle w:val="FirstParagraph"/>
      </w:pPr>
      <w:r>
        <w:t xml:space="preserve">建议目录：</w:t>
      </w:r>
    </w:p>
    <w:p>
      <w:pPr>
        <w:pStyle w:val="SourceCode"/>
      </w:pPr>
      <w:r>
        <w:rPr>
          <w:rStyle w:val="VerbatimChar"/>
        </w:rPr>
        <w:t xml:space="preserve">backups/frontend/YYYYMMDD-HHmmss/</w:t>
      </w:r>
      <w:r>
        <w:br w:type="textWrapping"/>
      </w:r>
      <w:r>
        <w:rPr>
          <w:rStyle w:val="VerbatimChar"/>
        </w:rPr>
        <w:t xml:space="preserve">├── app.js</w:t>
      </w:r>
      <w:r>
        <w:br w:type="textWrapping"/>
      </w:r>
      <w:r>
        <w:rPr>
          <w:rStyle w:val="VerbatimChar"/>
        </w:rPr>
        <w:t xml:space="preserve">├── styles.css</w:t>
      </w:r>
      <w:r>
        <w:br w:type="textWrapping"/>
      </w:r>
      <w:r>
        <w:rPr>
          <w:rStyle w:val="VerbatimChar"/>
        </w:rPr>
        <w:t xml:space="preserve">├── index.html</w:t>
      </w:r>
      <w:r>
        <w:br w:type="textWrapping"/>
      </w:r>
      <w:r>
        <w:rPr>
          <w:rStyle w:val="VerbatimChar"/>
        </w:rPr>
        <w:t xml:space="preserve">└── BACKUP_MANIFEST.json</w:t>
      </w:r>
    </w:p>
    <w:p>
      <w:pPr>
        <w:pStyle w:val="FirstParagraph"/>
      </w:pPr>
      <w:r>
        <w:t xml:space="preserve">建议命令：</w:t>
      </w:r>
    </w:p>
    <w:p>
      <w:pPr>
        <w:pStyle w:val="SourceCode"/>
      </w:pPr>
      <w:r>
        <w:rPr>
          <w:rStyle w:val="VariableTok"/>
        </w:rPr>
        <w:t xml:space="preserve">STAMP=$(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br w:type="textWrapping"/>
      </w:r>
      <w:r>
        <w:rPr>
          <w:rStyle w:val="VariableTok"/>
        </w:rPr>
        <w:t xml:space="preserve">BACKUP=</w:t>
      </w:r>
      <w:r>
        <w:rPr>
          <w:rStyle w:val="StringTok"/>
        </w:rPr>
        <w:t xml:space="preserve">"backups/frontend/</w:t>
      </w:r>
      <w:r>
        <w:rPr>
          <w:rStyle w:val="VariableTok"/>
        </w:rPr>
        <w:t xml:space="preserve">$STAMP</w:t>
      </w:r>
      <w:r>
        <w:rPr>
          <w:rStyle w:val="StringTok"/>
        </w:rPr>
        <w:t xml:space="preserve">"</w:t>
      </w:r>
      <w:r>
        <w:br w:type="textWrapping"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--short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/BASE_COMMIT.txt"</w:t>
      </w:r>
      <w:r>
        <w:br w:type="textWrapping"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app.js styles.css index.html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/"</w:t>
      </w:r>
      <w:r>
        <w:br w:type="textWrapping"/>
      </w:r>
      <w:r>
        <w:rPr>
          <w:rStyle w:val="Extens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/app.js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/styles.css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/index.html \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/SHA256SUMS.txt"</w:t>
      </w:r>
    </w:p>
    <w:p>
      <w:pPr>
        <w:pStyle w:val="Heading3"/>
      </w:pPr>
      <w:bookmarkStart w:id="57" w:name="备份约束"/>
      <w:r>
        <w:t xml:space="preserve">9.3 备份约束</w:t>
      </w:r>
      <w:bookmarkEnd w:id="57"/>
    </w:p>
    <w:p>
      <w:pPr>
        <w:pStyle w:val="Compact"/>
        <w:numPr>
          <w:ilvl w:val="0"/>
          <w:numId w:val="1023"/>
        </w:numPr>
      </w:pPr>
      <w:r>
        <w:t xml:space="preserve">备份目录只新增，不覆盖历史备份；</w:t>
      </w:r>
    </w:p>
    <w:p>
      <w:pPr>
        <w:pStyle w:val="Compact"/>
        <w:numPr>
          <w:ilvl w:val="0"/>
          <w:numId w:val="1023"/>
        </w:numPr>
      </w:pPr>
      <w:r>
        <w:t xml:space="preserve">禁止把新代码复制到旧备份目录；</w:t>
      </w:r>
    </w:p>
    <w:p>
      <w:pPr>
        <w:pStyle w:val="Compact"/>
        <w:numPr>
          <w:ilvl w:val="0"/>
          <w:numId w:val="1023"/>
        </w:numPr>
      </w:pPr>
      <w:r>
        <w:t xml:space="preserve">若修改生成脚本，脚本也必须进入备份；</w:t>
      </w:r>
    </w:p>
    <w:p>
      <w:pPr>
        <w:pStyle w:val="Compact"/>
        <w:numPr>
          <w:ilvl w:val="0"/>
          <w:numId w:val="1023"/>
        </w:numPr>
      </w:pPr>
      <w:r>
        <w:t xml:space="preserve">若工作区本来有未提交修改，必须先区分并保存，不得误覆盖；</w:t>
      </w:r>
    </w:p>
    <w:p>
      <w:pPr>
        <w:pStyle w:val="Compact"/>
        <w:numPr>
          <w:ilvl w:val="0"/>
          <w:numId w:val="1023"/>
        </w:numPr>
      </w:pPr>
      <w:r>
        <w:t xml:space="preserve">备份不能替代 Git 提交，两者共同使用。</w:t>
      </w:r>
    </w:p>
    <w:p>
      <w:pPr>
        <w:pStyle w:val="Heading3"/>
      </w:pPr>
      <w:bookmarkStart w:id="58" w:name="回退方式"/>
      <w:r>
        <w:t xml:space="preserve">9.4 回退方式</w:t>
      </w:r>
      <w:bookmarkEnd w:id="58"/>
    </w:p>
    <w:p>
      <w:pPr>
        <w:pStyle w:val="FirstParagraph"/>
      </w:pPr>
      <w:r>
        <w:t xml:space="preserve">优先级：</w:t>
      </w:r>
    </w:p>
    <w:p>
      <w:pPr>
        <w:pStyle w:val="Compact"/>
        <w:numPr>
          <w:ilvl w:val="0"/>
          <w:numId w:val="1024"/>
        </w:numPr>
      </w:pPr>
      <w:r>
        <w:t xml:space="preserve">从备份目录恢复指定文件；</w:t>
      </w:r>
    </w:p>
    <w:p>
      <w:pPr>
        <w:pStyle w:val="Compact"/>
        <w:numPr>
          <w:ilvl w:val="0"/>
          <w:numId w:val="1024"/>
        </w:numPr>
      </w:pPr>
      <w:r>
        <w:t xml:space="preserve">使用 Git 恢复到 </w:t>
      </w:r>
      <w:r>
        <w:rPr>
          <w:rStyle w:val="VerbatimChar"/>
        </w:rPr>
        <w:t xml:space="preserve">BASE_COMMIT</w:t>
      </w:r>
      <w:r>
        <w:t xml:space="preserve">；</w:t>
      </w:r>
    </w:p>
    <w:p>
      <w:pPr>
        <w:pStyle w:val="Compact"/>
        <w:numPr>
          <w:ilvl w:val="0"/>
          <w:numId w:val="1024"/>
        </w:numPr>
      </w:pPr>
      <w:r>
        <w:t xml:space="preserve">已发布版本出现故障时，回退 gh-pages 到上一发布提交。</w:t>
      </w:r>
    </w:p>
    <w:p>
      <w:pPr>
        <w:pStyle w:val="FirstParagraph"/>
      </w:pPr>
      <w:r>
        <w:t xml:space="preserve">回退后必须重新执行构建和浏览器验收，不得只恢复文件后直接宣布完成。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修改与发布门禁"/>
      <w:r>
        <w:t xml:space="preserve">10. 修改与发布门禁</w:t>
      </w:r>
      <w:bookmarkEnd w:id="59"/>
    </w:p>
    <w:p>
      <w:pPr>
        <w:pStyle w:val="Heading3"/>
      </w:pPr>
      <w:bookmarkStart w:id="60" w:name="修改前门禁"/>
      <w:r>
        <w:t xml:space="preserve">10.1 修改前门禁</w:t>
      </w:r>
      <w:bookmarkEnd w:id="60"/>
    </w:p>
    <w:p>
      <w:pPr>
        <w:pStyle w:val="Compact"/>
        <w:numPr>
          <w:ilvl w:val="0"/>
          <w:numId w:val="1025"/>
        </w:numPr>
      </w:pPr>
      <w:r>
        <w:t xml:space="preserve">[ ] 已记录当前分支和 Commit；</w:t>
      </w:r>
    </w:p>
    <w:p>
      <w:pPr>
        <w:pStyle w:val="Compact"/>
        <w:numPr>
          <w:ilvl w:val="0"/>
          <w:numId w:val="1025"/>
        </w:numPr>
      </w:pPr>
      <w:r>
        <w:t xml:space="preserve">[ ] 已检查工作区未提交修改；</w:t>
      </w:r>
    </w:p>
    <w:p>
      <w:pPr>
        <w:pStyle w:val="Compact"/>
        <w:numPr>
          <w:ilvl w:val="0"/>
          <w:numId w:val="1025"/>
        </w:numPr>
      </w:pPr>
      <w:r>
        <w:t xml:space="preserve">[ ] 已生成修改前文件备份；</w:t>
      </w:r>
    </w:p>
    <w:p>
      <w:pPr>
        <w:pStyle w:val="Compact"/>
        <w:numPr>
          <w:ilvl w:val="0"/>
          <w:numId w:val="1025"/>
        </w:numPr>
      </w:pPr>
      <w:r>
        <w:t xml:space="preserve">[ ] 已明确本次影响的模块、字段和数据源；</w:t>
      </w:r>
    </w:p>
    <w:p>
      <w:pPr>
        <w:pStyle w:val="Compact"/>
        <w:numPr>
          <w:ilvl w:val="0"/>
          <w:numId w:val="1025"/>
        </w:numPr>
      </w:pPr>
      <w:r>
        <w:t xml:space="preserve">[ ] 已确认数值单位与颜色语义。</w:t>
      </w:r>
    </w:p>
    <w:p>
      <w:pPr>
        <w:pStyle w:val="Heading3"/>
      </w:pPr>
      <w:bookmarkStart w:id="61" w:name="数据门禁"/>
      <w:r>
        <w:t xml:space="preserve">10.2 数据门禁</w:t>
      </w:r>
      <w:bookmarkEnd w:id="61"/>
    </w:p>
    <w:p>
      <w:pPr>
        <w:pStyle w:val="Compact"/>
        <w:numPr>
          <w:ilvl w:val="0"/>
          <w:numId w:val="1026"/>
        </w:numPr>
      </w:pPr>
      <w:r>
        <w:t xml:space="preserve">[ ] 原始值、格式化值可相互核验；</w:t>
      </w:r>
    </w:p>
    <w:p>
      <w:pPr>
        <w:pStyle w:val="Compact"/>
        <w:numPr>
          <w:ilvl w:val="0"/>
          <w:numId w:val="1026"/>
        </w:numPr>
      </w:pPr>
      <w:r>
        <w:t xml:space="preserve">[ ] 分子不得大于分母；</w:t>
      </w:r>
    </w:p>
    <w:p>
      <w:pPr>
        <w:pStyle w:val="Compact"/>
        <w:numPr>
          <w:ilvl w:val="0"/>
          <w:numId w:val="1026"/>
        </w:numPr>
      </w:pPr>
      <w:r>
        <w:t xml:space="preserve">[ ] 比率等于分子 ÷ 分母；</w:t>
      </w:r>
    </w:p>
    <w:p>
      <w:pPr>
        <w:pStyle w:val="Compact"/>
        <w:numPr>
          <w:ilvl w:val="0"/>
          <w:numId w:val="1026"/>
        </w:numPr>
      </w:pPr>
      <w:r>
        <w:t xml:space="preserve">[ ] 精品总等于各小组原始值合计；</w:t>
      </w:r>
    </w:p>
    <w:p>
      <w:pPr>
        <w:pStyle w:val="Compact"/>
        <w:numPr>
          <w:ilvl w:val="0"/>
          <w:numId w:val="1026"/>
        </w:numPr>
      </w:pPr>
      <w:r>
        <w:t xml:space="preserve">[ ] 比率总计不是小组比率平均；</w:t>
      </w:r>
    </w:p>
    <w:p>
      <w:pPr>
        <w:pStyle w:val="Compact"/>
        <w:numPr>
          <w:ilvl w:val="0"/>
          <w:numId w:val="1026"/>
        </w:numPr>
      </w:pPr>
      <w:r>
        <w:t xml:space="preserve">[ ] 数据日期明确，多个来源分别展示；</w:t>
      </w:r>
    </w:p>
    <w:p>
      <w:pPr>
        <w:pStyle w:val="Compact"/>
        <w:numPr>
          <w:ilvl w:val="0"/>
          <w:numId w:val="1026"/>
        </w:numPr>
      </w:pPr>
      <w:r>
        <w:t xml:space="preserve">[ ] </w:t>
      </w:r>
      <w:r>
        <w:rPr>
          <w:rStyle w:val="VerbatimChar"/>
        </w:rPr>
        <w:t xml:space="preserve">null</w:t>
      </w:r>
      <w:r>
        <w:t xml:space="preserve">、</w:t>
      </w:r>
      <w:r>
        <w:rPr>
          <w:rStyle w:val="VerbatimChar"/>
        </w:rPr>
        <w:t xml:space="preserve">0</w:t>
      </w:r>
      <w:r>
        <w:t xml:space="preserve">、</w:t>
      </w:r>
      <w:r>
        <w:rPr>
          <w:rStyle w:val="VerbatimChar"/>
        </w:rPr>
        <w:t xml:space="preserve">(NULL)</w:t>
      </w:r>
      <w:r>
        <w:t xml:space="preserve"> 的含义没有混淆。</w:t>
      </w:r>
    </w:p>
    <w:p>
      <w:pPr>
        <w:pStyle w:val="Heading3"/>
      </w:pPr>
      <w:bookmarkStart w:id="62" w:name="格式门禁"/>
      <w:r>
        <w:t xml:space="preserve">10.3 格式门禁</w:t>
      </w:r>
      <w:bookmarkEnd w:id="62"/>
    </w:p>
    <w:p>
      <w:pPr>
        <w:pStyle w:val="Compact"/>
        <w:numPr>
          <w:ilvl w:val="0"/>
          <w:numId w:val="1027"/>
        </w:numPr>
      </w:pPr>
      <w:r>
        <w:t xml:space="preserve">[ ] 价格指数和目标均为百分比1位小数；</w:t>
      </w:r>
    </w:p>
    <w:p>
      <w:pPr>
        <w:pStyle w:val="Compact"/>
        <w:numPr>
          <w:ilvl w:val="0"/>
          <w:numId w:val="1027"/>
        </w:numPr>
      </w:pPr>
      <w:r>
        <w:t xml:space="preserve">[ ] 差值为1位小数并带 </w:t>
      </w:r>
      <w:r>
        <w:rPr>
          <w:rStyle w:val="VerbatimChar"/>
        </w:rPr>
        <w:t xml:space="preserve">pp</w:t>
      </w:r>
      <w:r>
        <w:t xml:space="preserve">；</w:t>
      </w:r>
    </w:p>
    <w:p>
      <w:pPr>
        <w:pStyle w:val="Compact"/>
        <w:numPr>
          <w:ilvl w:val="0"/>
          <w:numId w:val="1027"/>
        </w:numPr>
      </w:pPr>
      <w:r>
        <w:t xml:space="preserve">[ ] 正差带 </w:t>
      </w:r>
      <w:r>
        <w:rPr>
          <w:rStyle w:val="VerbatimChar"/>
        </w:rPr>
        <w:t xml:space="preserve">+</w:t>
      </w:r>
      <w:r>
        <w:t xml:space="preserve">，负差带 </w:t>
      </w:r>
      <w:r>
        <w:rPr>
          <w:rStyle w:val="VerbatimChar"/>
        </w:rPr>
        <w:t xml:space="preserve">-</w:t>
      </w:r>
      <w:r>
        <w:t xml:space="preserve">，零差显示 </w:t>
      </w:r>
      <w:r>
        <w:rPr>
          <w:rStyle w:val="VerbatimChar"/>
        </w:rPr>
        <w:t xml:space="preserve">0.0pp</w:t>
      </w:r>
      <w:r>
        <w:t xml:space="preserve">；</w:t>
      </w:r>
    </w:p>
    <w:p>
      <w:pPr>
        <w:pStyle w:val="Compact"/>
        <w:numPr>
          <w:ilvl w:val="0"/>
          <w:numId w:val="1027"/>
        </w:numPr>
      </w:pPr>
      <w:r>
        <w:t xml:space="preserve">[ ] 正差/高于基准为红色；</w:t>
      </w:r>
    </w:p>
    <w:p>
      <w:pPr>
        <w:pStyle w:val="Compact"/>
        <w:numPr>
          <w:ilvl w:val="0"/>
          <w:numId w:val="1027"/>
        </w:numPr>
      </w:pPr>
      <w:r>
        <w:t xml:space="preserve">[ ] 负差/低于基准为绿色；</w:t>
      </w:r>
    </w:p>
    <w:p>
      <w:pPr>
        <w:pStyle w:val="Compact"/>
        <w:numPr>
          <w:ilvl w:val="0"/>
          <w:numId w:val="1027"/>
        </w:numPr>
      </w:pPr>
      <w:r>
        <w:t xml:space="preserve">[ ] 无数据为 </w:t>
      </w:r>
      <w:r>
        <w:rPr>
          <w:rStyle w:val="VerbatimChar"/>
        </w:rPr>
        <w:t xml:space="preserve">—</w:t>
      </w:r>
      <w:r>
        <w:t xml:space="preserve">；</w:t>
      </w:r>
    </w:p>
    <w:p>
      <w:pPr>
        <w:pStyle w:val="Compact"/>
        <w:numPr>
          <w:ilvl w:val="0"/>
          <w:numId w:val="1027"/>
        </w:numPr>
      </w:pPr>
      <w:r>
        <w:t xml:space="preserve">[ ] 精品总位于最后且唯一高亮；</w:t>
      </w:r>
    </w:p>
    <w:p>
      <w:pPr>
        <w:pStyle w:val="Compact"/>
        <w:numPr>
          <w:ilvl w:val="0"/>
          <w:numId w:val="1027"/>
        </w:numPr>
      </w:pPr>
      <w:r>
        <w:t xml:space="preserve">[ ] 普通小组没有误用总计行背景；</w:t>
      </w:r>
    </w:p>
    <w:p>
      <w:pPr>
        <w:pStyle w:val="Compact"/>
        <w:numPr>
          <w:ilvl w:val="0"/>
          <w:numId w:val="1027"/>
        </w:numPr>
      </w:pPr>
      <w:r>
        <w:t xml:space="preserve">[ ] 不达标使用红色数值和胶囊，不使用黄色整格背景。</w:t>
      </w:r>
    </w:p>
    <w:p>
      <w:pPr>
        <w:pStyle w:val="Heading3"/>
      </w:pPr>
      <w:bookmarkStart w:id="63" w:name="工程门禁"/>
      <w:r>
        <w:t xml:space="preserve">10.4 工程门禁</w:t>
      </w:r>
      <w:bookmarkEnd w:id="63"/>
    </w:p>
    <w:p>
      <w:pPr>
        <w:pStyle w:val="FirstParagraph"/>
      </w:pPr>
      <w:r>
        <w:t xml:space="preserve">最低要求：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--check app.js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--check</w:t>
      </w:r>
    </w:p>
    <w:p>
      <w:pPr>
        <w:pStyle w:val="FirstParagraph"/>
      </w:pPr>
      <w:r>
        <w:t xml:space="preserve">如存在数据生成脚本，还必须执行：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py_compile scripts/*.py</w:t>
      </w:r>
      <w:r>
        <w:br w:type="textWrapping"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validate_release.py</w:t>
      </w:r>
    </w:p>
    <w:p>
      <w:pPr>
        <w:pStyle w:val="Heading3"/>
      </w:pPr>
      <w:bookmarkStart w:id="64" w:name="浏览器验收"/>
      <w:r>
        <w:t xml:space="preserve">10.5 浏览器验收</w:t>
      </w:r>
      <w:bookmarkEnd w:id="64"/>
    </w:p>
    <w:p>
      <w:pPr>
        <w:pStyle w:val="FirstParagraph"/>
      </w:pPr>
      <w:r>
        <w:t xml:space="preserve">必须实际打开构建产物并检查：</w:t>
      </w:r>
    </w:p>
    <w:p>
      <w:pPr>
        <w:pStyle w:val="Compact"/>
        <w:numPr>
          <w:ilvl w:val="0"/>
          <w:numId w:val="1028"/>
        </w:numPr>
      </w:pPr>
      <w:r>
        <w:t xml:space="preserve">[ ] 导航可点击，激活态正确；</w:t>
      </w:r>
    </w:p>
    <w:p>
      <w:pPr>
        <w:pStyle w:val="Compact"/>
        <w:numPr>
          <w:ilvl w:val="0"/>
          <w:numId w:val="1028"/>
        </w:numPr>
      </w:pPr>
      <w:r>
        <w:t xml:space="preserve">[ ] 单层/双层表头没有错位；</w:t>
      </w:r>
    </w:p>
    <w:p>
      <w:pPr>
        <w:pStyle w:val="Compact"/>
        <w:numPr>
          <w:ilvl w:val="0"/>
          <w:numId w:val="1028"/>
        </w:numPr>
      </w:pPr>
      <w:r>
        <w:t xml:space="preserve">[ ] 横向滚动正常；</w:t>
      </w:r>
    </w:p>
    <w:p>
      <w:pPr>
        <w:pStyle w:val="Compact"/>
        <w:numPr>
          <w:ilvl w:val="0"/>
          <w:numId w:val="1028"/>
        </w:numPr>
      </w:pPr>
      <w:r>
        <w:t xml:space="preserve">[ ] 精品总在最下方；</w:t>
      </w:r>
    </w:p>
    <w:p>
      <w:pPr>
        <w:pStyle w:val="Compact"/>
        <w:numPr>
          <w:ilvl w:val="0"/>
          <w:numId w:val="1028"/>
        </w:numPr>
      </w:pPr>
      <w:r>
        <w:t xml:space="preserve">[ ] 红绿颜色与正负方向一致；</w:t>
      </w:r>
    </w:p>
    <w:p>
      <w:pPr>
        <w:pStyle w:val="Compact"/>
        <w:numPr>
          <w:ilvl w:val="0"/>
          <w:numId w:val="1028"/>
        </w:numPr>
      </w:pPr>
      <w:r>
        <w:t xml:space="preserve">[ ] 未达标胶囊数量与数据一致；</w:t>
      </w:r>
    </w:p>
    <w:p>
      <w:pPr>
        <w:pStyle w:val="Compact"/>
        <w:numPr>
          <w:ilvl w:val="0"/>
          <w:numId w:val="1028"/>
        </w:numPr>
      </w:pPr>
      <w:r>
        <w:t xml:space="preserve">[ ] 无样本显示 </w:t>
      </w:r>
      <w:r>
        <w:rPr>
          <w:rStyle w:val="VerbatimChar"/>
        </w:rPr>
        <w:t xml:space="preserve">—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t xml:space="preserve">[ ] 桌面端和移动端均可读；</w:t>
      </w:r>
    </w:p>
    <w:p>
      <w:pPr>
        <w:pStyle w:val="Compact"/>
        <w:numPr>
          <w:ilvl w:val="0"/>
          <w:numId w:val="1028"/>
        </w:numPr>
      </w:pPr>
      <w:r>
        <w:t xml:space="preserve">[ ] 刷新后静态资源未被旧缓存覆盖。</w:t>
      </w:r>
    </w:p>
    <w:p>
      <w:pPr>
        <w:pStyle w:val="Heading3"/>
      </w:pPr>
      <w:bookmarkStart w:id="65" w:name="发布后验证"/>
      <w:r>
        <w:t xml:space="preserve">10.6 发布后验证</w:t>
      </w:r>
      <w:bookmarkEnd w:id="65"/>
    </w:p>
    <w:p>
      <w:pPr>
        <w:pStyle w:val="Compact"/>
        <w:numPr>
          <w:ilvl w:val="0"/>
          <w:numId w:val="1029"/>
        </w:numPr>
      </w:pPr>
      <w:r>
        <w:t xml:space="preserve">校验 main 与发布分支 Commit；</w:t>
      </w:r>
    </w:p>
    <w:p>
      <w:pPr>
        <w:pStyle w:val="Compact"/>
        <w:numPr>
          <w:ilvl w:val="0"/>
          <w:numId w:val="1029"/>
        </w:numPr>
      </w:pPr>
      <w:r>
        <w:t xml:space="preserve">校验线上 JSON 原始数据；</w:t>
      </w:r>
    </w:p>
    <w:p>
      <w:pPr>
        <w:pStyle w:val="Compact"/>
        <w:numPr>
          <w:ilvl w:val="0"/>
          <w:numId w:val="1029"/>
        </w:numPr>
      </w:pPr>
      <w:r>
        <w:t xml:space="preserve">校验线上 JS 已包含本次功能；</w:t>
      </w:r>
    </w:p>
    <w:p>
      <w:pPr>
        <w:pStyle w:val="Compact"/>
        <w:numPr>
          <w:ilvl w:val="0"/>
          <w:numId w:val="1029"/>
        </w:numPr>
      </w:pPr>
      <w:r>
        <w:t xml:space="preserve">打开线上页面进行最终验收；</w:t>
      </w:r>
    </w:p>
    <w:p>
      <w:pPr>
        <w:pStyle w:val="Compact"/>
        <w:numPr>
          <w:ilvl w:val="0"/>
          <w:numId w:val="1029"/>
        </w:numPr>
      </w:pPr>
      <w:r>
        <w:t xml:space="preserve">任一门禁失败时停止发布或立即回退。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禁止事项"/>
      <w:r>
        <w:t xml:space="preserve">11. 禁止事项</w:t>
      </w:r>
      <w:bookmarkEnd w:id="66"/>
    </w:p>
    <w:p>
      <w:pPr>
        <w:pStyle w:val="Compact"/>
        <w:numPr>
          <w:ilvl w:val="0"/>
          <w:numId w:val="1030"/>
        </w:numPr>
      </w:pPr>
      <w:r>
        <w:t xml:space="preserve">禁止普通小组行使用精品总高亮背景。</w:t>
      </w:r>
    </w:p>
    <w:p>
      <w:pPr>
        <w:pStyle w:val="Compact"/>
        <w:numPr>
          <w:ilvl w:val="0"/>
          <w:numId w:val="1030"/>
        </w:numPr>
      </w:pPr>
      <w:r>
        <w:t xml:space="preserve">禁止把精品总放在表格顶部或小组中间。</w:t>
      </w:r>
    </w:p>
    <w:p>
      <w:pPr>
        <w:pStyle w:val="Compact"/>
        <w:numPr>
          <w:ilvl w:val="0"/>
          <w:numId w:val="1030"/>
        </w:numPr>
      </w:pPr>
      <w:r>
        <w:t xml:space="preserve">禁止价格指数显示为无单位的 </w:t>
      </w:r>
      <w:r>
        <w:rPr>
          <w:rStyle w:val="VerbatimChar"/>
        </w:rPr>
        <w:t xml:space="preserve">0.8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t xml:space="preserve">禁止差值丢失正负号。</w:t>
      </w:r>
    </w:p>
    <w:p>
      <w:pPr>
        <w:pStyle w:val="Compact"/>
        <w:numPr>
          <w:ilvl w:val="0"/>
          <w:numId w:val="1030"/>
        </w:numPr>
      </w:pPr>
      <w:r>
        <w:t xml:space="preserve">禁止把 </w:t>
      </w:r>
      <w:r>
        <w:rPr>
          <w:rStyle w:val="VerbatimChar"/>
        </w:rPr>
        <w:t xml:space="preserve">-4.6pp</w:t>
      </w:r>
      <w:r>
        <w:t xml:space="preserve"> 显示为 </w:t>
      </w:r>
      <w:r>
        <w:rPr>
          <w:rStyle w:val="VerbatimChar"/>
        </w:rPr>
        <w:t xml:space="preserve">4.6pp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t xml:space="preserve">禁止整表混用不同小数位。</w:t>
      </w:r>
    </w:p>
    <w:p>
      <w:pPr>
        <w:pStyle w:val="Compact"/>
        <w:numPr>
          <w:ilvl w:val="0"/>
          <w:numId w:val="1030"/>
        </w:numPr>
      </w:pPr>
      <w:r>
        <w:t xml:space="preserve">禁止使用黄色整格背景表示未达标。</w:t>
      </w:r>
    </w:p>
    <w:p>
      <w:pPr>
        <w:pStyle w:val="Compact"/>
        <w:numPr>
          <w:ilvl w:val="0"/>
          <w:numId w:val="1030"/>
        </w:numPr>
      </w:pPr>
      <w:r>
        <w:t xml:space="preserve">禁止仅靠颜色表达状态，必须辅以正负号、箭头或文字。</w:t>
      </w:r>
    </w:p>
    <w:p>
      <w:pPr>
        <w:pStyle w:val="Compact"/>
        <w:numPr>
          <w:ilvl w:val="0"/>
          <w:numId w:val="1030"/>
        </w:numPr>
      </w:pPr>
      <w:r>
        <w:t xml:space="preserve">禁止从页面格式化文本反推业务数据。</w:t>
      </w:r>
    </w:p>
    <w:p>
      <w:pPr>
        <w:pStyle w:val="Compact"/>
        <w:numPr>
          <w:ilvl w:val="0"/>
          <w:numId w:val="1030"/>
        </w:numPr>
      </w:pPr>
      <w:r>
        <w:t xml:space="preserve">禁止未备份就直接修改生产代码。</w:t>
      </w:r>
    </w:p>
    <w:p>
      <w:pPr>
        <w:pStyle w:val="Compact"/>
        <w:numPr>
          <w:ilvl w:val="0"/>
          <w:numId w:val="1030"/>
        </w:numPr>
      </w:pPr>
      <w:r>
        <w:t xml:space="preserve">禁止构建失败、校验失败或浏览器未验收时发布。</w:t>
      </w:r>
    </w:p>
    <w:p>
      <w:pPr>
        <w:pStyle w:val="Compact"/>
        <w:numPr>
          <w:ilvl w:val="0"/>
          <w:numId w:val="1030"/>
        </w:numPr>
      </w:pPr>
      <w:r>
        <w:t xml:space="preserve">禁止为了适配一屏而将字体缩小到不可读。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标准表格骨架"/>
      <w:r>
        <w:t xml:space="preserve">12. 标准表格骨架</w:t>
      </w:r>
      <w:bookmarkEnd w:id="67"/>
    </w:p>
    <w:p>
      <w:pPr>
        <w:pStyle w:val="SourceCode"/>
      </w:pPr>
      <w:r>
        <w:rPr>
          <w:rStyle w:val="KeywordTok"/>
        </w:rPr>
        <w:t xml:space="preserve">&lt;section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"data-section"</w:t>
      </w:r>
      <w:r>
        <w:rPr>
          <w:rStyle w:val="KeywordTok"/>
        </w:rPr>
        <w:t xml:space="preserve">&gt;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"section-title"</w:t>
      </w:r>
      <w:r>
        <w:rPr>
          <w:rStyle w:val="KeywordTok"/>
        </w:rPr>
        <w:t xml:space="preserve">&gt;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&lt;span&gt;&lt;/span&gt;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&lt;b&gt;</w:t>
      </w:r>
      <w:r>
        <w:rPr>
          <w:rStyle w:val="NormalTok"/>
        </w:rPr>
        <w:t xml:space="preserve">模块名称 · MTD</w:t>
      </w:r>
      <w:r>
        <w:rPr>
          <w:rStyle w:val="KeywordTok"/>
        </w:rPr>
        <w:t xml:space="preserve">&lt;/b&gt;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&lt;small&gt;</w:t>
      </w:r>
      <w:r>
        <w:rPr>
          <w:rStyle w:val="NormalTok"/>
        </w:rPr>
        <w:t xml:space="preserve">数据截至 2026-07-29</w:t>
      </w:r>
      <w:r>
        <w:rPr>
          <w:rStyle w:val="KeywordTok"/>
        </w:rPr>
        <w:t xml:space="preserve">&lt;/small&gt;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 w:type="textWrapping"/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"data-card"</w:t>
      </w:r>
      <w:r>
        <w:rPr>
          <w:rStyle w:val="KeywordTok"/>
        </w:rPr>
        <w:t xml:space="preserve">&gt;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"excel-scroll"</w:t>
      </w:r>
      <w:r>
        <w:rPr>
          <w:rStyle w:val="KeywordTok"/>
        </w:rPr>
        <w:t xml:space="preserve">&gt;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&lt;table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"excel-table"</w:t>
      </w:r>
      <w:r>
        <w:rPr>
          <w:rStyle w:val="KeywordTok"/>
        </w:rPr>
        <w:t xml:space="preserve">&gt;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&lt;thead&gt;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&lt;tr&gt;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rowspan=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 is-row-label"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小组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colspan=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 section-divider"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天猫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colspan=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 section-divider"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抖音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&lt;/tr&gt;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&lt;tr&gt;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 section-divider"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价格指数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目标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差值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 section-divider"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价格指数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目标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&lt;th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"excel-cell is-header"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差值</w:t>
      </w:r>
      <w:r>
        <w:rPr>
          <w:rStyle w:val="KeywordTok"/>
        </w:rPr>
        <w:t xml:space="preserve">&lt;/th&gt;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&lt;/tr&gt;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&lt;/thead&gt;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&lt;tbody&gt;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普通小组 --&gt;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&lt;tr&gt;</w:t>
      </w:r>
      <w:r>
        <w:rPr>
          <w:rStyle w:val="NormalTok"/>
        </w:rPr>
        <w:t xml:space="preserve">...</w:t>
      </w:r>
      <w:r>
        <w:rPr>
          <w:rStyle w:val="KeywordTok"/>
        </w:rPr>
        <w:t xml:space="preserve">&lt;/tr&gt;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精品总必须最后且唯一高亮 --&gt;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&lt;tr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"total-row"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...</w:t>
      </w:r>
      <w:r>
        <w:rPr>
          <w:rStyle w:val="KeywordTok"/>
        </w:rPr>
        <w:t xml:space="preserve">&lt;/tr&gt;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&lt;/tbody&gt;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&lt;/table&gt;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 w:type="textWrapping"/>
      </w:r>
      <w:r>
        <w:rPr>
          <w:rStyle w:val="KeywordTok"/>
        </w:rPr>
        <w:t xml:space="preserve">&lt;/section&gt;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规范维护"/>
      <w:r>
        <w:t xml:space="preserve">13. 规范维护</w:t>
      </w:r>
      <w:bookmarkEnd w:id="68"/>
    </w:p>
    <w:p>
      <w:pPr>
        <w:pStyle w:val="Compact"/>
        <w:numPr>
          <w:ilvl w:val="0"/>
          <w:numId w:val="1031"/>
        </w:numPr>
      </w:pPr>
      <w:r>
        <w:t xml:space="preserve">本规范为前端数据渲染的默认基线。</w:t>
      </w:r>
    </w:p>
    <w:p>
      <w:pPr>
        <w:pStyle w:val="Compact"/>
        <w:numPr>
          <w:ilvl w:val="0"/>
          <w:numId w:val="1031"/>
        </w:numPr>
      </w:pPr>
      <w:r>
        <w:t xml:space="preserve">新增视觉规则时，应优先扩展全局组件，而不是在模块内写一次性样式。</w:t>
      </w:r>
    </w:p>
    <w:p>
      <w:pPr>
        <w:pStyle w:val="Compact"/>
        <w:numPr>
          <w:ilvl w:val="0"/>
          <w:numId w:val="1031"/>
        </w:numPr>
      </w:pPr>
      <w:r>
        <w:t xml:space="preserve">业务语义变化必须升级文档版本并记录变更。</w:t>
      </w:r>
    </w:p>
    <w:p>
      <w:pPr>
        <w:pStyle w:val="Compact"/>
        <w:numPr>
          <w:ilvl w:val="0"/>
          <w:numId w:val="1031"/>
        </w:numPr>
      </w:pPr>
      <w:r>
        <w:t xml:space="preserve">所有例外必须说明原因、影响范围和恢复计划。</w:t>
      </w:r>
    </w:p>
    <w:p>
      <w:pPr>
        <w:pStyle w:val="Heading3"/>
      </w:pPr>
      <w:bookmarkStart w:id="69" w:name="版本记录"/>
      <w:r>
        <w:t xml:space="preserve">版本记录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  <w:tc>
          <w:p>
            <w:pPr>
              <w:pStyle w:val="Compact"/>
              <w:jc w:val="left"/>
            </w:pPr>
            <w:r>
              <w:t xml:space="preserve">建立全局布局、表格、价格指数、红绿语义、精品总、备份及发布门禁规范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f63785d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f1956101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b688691f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footnotePr>
    <w:footnote w:id="-1"/>
    <w:footnote w:id="0"/>
  </w:footnotePr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5" Target="media/rId25.png"/><Relationship Type="http://schemas.openxmlformats.org/officeDocument/2006/relationships/image" Id="rId27" Target="media/rId27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2026-07-30T08:01:35Z</dcterms:created>
  <dcterms:modified xsi:type="dcterms:W3CDTF">2026-07-30T08:01:35Z</dcterms:modified>
</cp:coreProperties>
</file>