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943B" w14:textId="77777777" w:rsidR="00FF5103" w:rsidRDefault="00FF5103" w:rsidP="00FF5103">
      <w:pPr>
        <w:spacing w:line="240" w:lineRule="auto"/>
        <w:ind w:right="566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371368E9" w14:textId="77777777" w:rsidR="00FF5103" w:rsidRDefault="00FF5103" w:rsidP="00FF5103">
      <w:pPr>
        <w:spacing w:line="240" w:lineRule="auto"/>
        <w:ind w:right="566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ВЫСШЕГО ОБРАЗОВАНИЯ</w:t>
      </w:r>
    </w:p>
    <w:p w14:paraId="7EAC8570" w14:textId="77777777" w:rsidR="00FF5103" w:rsidRDefault="00FF5103" w:rsidP="00FF5103">
      <w:pPr>
        <w:spacing w:line="240" w:lineRule="auto"/>
        <w:ind w:right="566"/>
        <w:jc w:val="center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highlight w:val="white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highlight w:val="white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345"/>
      </w:tblGrid>
      <w:tr w:rsidR="00FF5103" w14:paraId="6DAF8482" w14:textId="77777777" w:rsidTr="00070C41">
        <w:tc>
          <w:tcPr>
            <w:tcW w:w="9345" w:type="dxa"/>
            <w:tcBorders>
              <w:bottom w:val="single" w:sz="4" w:space="0" w:color="000000"/>
            </w:tcBorders>
          </w:tcPr>
          <w:p w14:paraId="3B880EE0" w14:textId="77777777" w:rsidR="00FF5103" w:rsidRDefault="00FF5103" w:rsidP="00070C41">
            <w:pPr>
              <w:spacing w:line="240" w:lineRule="auto"/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ИНСТИТУТ МАШИНОСТРОЕНИЯ, МАТЕРИАЛОВ И ТРАНСПОРТА</w:t>
            </w:r>
          </w:p>
        </w:tc>
      </w:tr>
      <w:tr w:rsidR="00FF5103" w14:paraId="7629CF65" w14:textId="77777777" w:rsidTr="00070C41">
        <w:tc>
          <w:tcPr>
            <w:tcW w:w="9345" w:type="dxa"/>
            <w:tcBorders>
              <w:top w:val="single" w:sz="4" w:space="0" w:color="000000"/>
            </w:tcBorders>
          </w:tcPr>
          <w:p w14:paraId="017B66F7" w14:textId="77777777" w:rsidR="00FF5103" w:rsidRDefault="00FF5103" w:rsidP="00070C4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14:paraId="3D064257" w14:textId="77777777" w:rsidR="00FF5103" w:rsidRDefault="00FF5103" w:rsidP="00FF5103">
      <w:pPr>
        <w:jc w:val="center"/>
        <w:rPr>
          <w:rFonts w:eastAsia="Times New Roman" w:cs="Times New Roman"/>
        </w:rPr>
      </w:pPr>
    </w:p>
    <w:p w14:paraId="342BD128" w14:textId="77777777" w:rsidR="00FF5103" w:rsidRDefault="00FF5103" w:rsidP="00FF5103">
      <w:pPr>
        <w:rPr>
          <w:rFonts w:eastAsia="Times New Roman" w:cs="Times New Roman"/>
        </w:rPr>
      </w:pPr>
    </w:p>
    <w:p w14:paraId="1003C54C" w14:textId="77777777" w:rsidR="00FF5103" w:rsidRDefault="00FF5103" w:rsidP="00FF5103">
      <w:pPr>
        <w:jc w:val="center"/>
        <w:rPr>
          <w:rFonts w:eastAsia="Times New Roman" w:cs="Times New Roman"/>
        </w:rPr>
      </w:pPr>
    </w:p>
    <w:p w14:paraId="7BB4BF4F" w14:textId="77777777" w:rsidR="00FF5103" w:rsidRDefault="00FF5103" w:rsidP="00FF5103">
      <w:pPr>
        <w:jc w:val="center"/>
        <w:rPr>
          <w:rFonts w:eastAsia="Times New Roman" w:cs="Times New Roman"/>
        </w:rPr>
      </w:pPr>
    </w:p>
    <w:p w14:paraId="601C3D92" w14:textId="77777777" w:rsidR="00FF5103" w:rsidRDefault="00FF5103" w:rsidP="00FF5103">
      <w:pPr>
        <w:jc w:val="center"/>
        <w:rPr>
          <w:rFonts w:eastAsia="Times New Roman" w:cs="Times New Roman"/>
        </w:rPr>
      </w:pPr>
    </w:p>
    <w:p w14:paraId="3672FE41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490D2E2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 о прохождении рассредоточенной стационарной производственной практики (научно-исследовательской работы)</w:t>
      </w:r>
    </w:p>
    <w:p w14:paraId="72F72F0B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i/>
          <w:sz w:val="20"/>
          <w:szCs w:val="20"/>
        </w:rPr>
      </w:pPr>
      <w:r>
        <w:rPr>
          <w:rFonts w:eastAsia="Times New Roman" w:cs="Times New Roman"/>
          <w:i/>
          <w:sz w:val="24"/>
          <w:szCs w:val="24"/>
        </w:rPr>
        <w:t xml:space="preserve">                    </w:t>
      </w:r>
      <w:r>
        <w:rPr>
          <w:rFonts w:eastAsia="Times New Roman" w:cs="Times New Roman"/>
          <w:i/>
          <w:sz w:val="20"/>
          <w:szCs w:val="20"/>
        </w:rPr>
        <w:t xml:space="preserve"> </w:t>
      </w:r>
    </w:p>
    <w:p w14:paraId="0FD4BE72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F5103" w14:paraId="23E57123" w14:textId="77777777" w:rsidTr="00070C41">
        <w:tc>
          <w:tcPr>
            <w:tcW w:w="9345" w:type="dxa"/>
          </w:tcPr>
          <w:p w14:paraId="6F9AE238" w14:textId="6020F75B" w:rsidR="00FF5103" w:rsidRDefault="00FF5103" w:rsidP="00070C41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Жукова Павла Юрьевича</w:t>
            </w:r>
          </w:p>
        </w:tc>
      </w:tr>
    </w:tbl>
    <w:p w14:paraId="343209AE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ab/>
      </w:r>
    </w:p>
    <w:p w14:paraId="7EAA3A5D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szCs w:val="28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F5103" w14:paraId="59A45C05" w14:textId="77777777" w:rsidTr="00070C41">
        <w:tc>
          <w:tcPr>
            <w:tcW w:w="9345" w:type="dxa"/>
          </w:tcPr>
          <w:p w14:paraId="638E000A" w14:textId="77777777" w:rsidR="00FF5103" w:rsidRDefault="00FF5103" w:rsidP="00070C41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 курса магистратуры, группа № 3342201/</w:t>
            </w:r>
            <w:r w:rsidRPr="00FF5103">
              <w:rPr>
                <w:rFonts w:eastAsia="Times New Roman" w:cs="Times New Roman"/>
                <w:szCs w:val="28"/>
              </w:rPr>
              <w:t>20101</w:t>
            </w:r>
          </w:p>
        </w:tc>
      </w:tr>
    </w:tbl>
    <w:p w14:paraId="116B043C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i/>
          <w:szCs w:val="28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F5103" w14:paraId="572729DB" w14:textId="77777777" w:rsidTr="00070C41">
        <w:tc>
          <w:tcPr>
            <w:tcW w:w="9345" w:type="dxa"/>
          </w:tcPr>
          <w:p w14:paraId="518E3229" w14:textId="77777777" w:rsidR="00FF5103" w:rsidRDefault="00FF5103" w:rsidP="00070C41">
            <w:pPr>
              <w:spacing w:line="240" w:lineRule="auto"/>
              <w:jc w:val="center"/>
              <w:rPr>
                <w:rFonts w:eastAsia="Times New Roman" w:cs="Times New Roman"/>
                <w:i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>22.04.01 «Материаловедение и технологии материалов»</w:t>
            </w:r>
          </w:p>
        </w:tc>
      </w:tr>
    </w:tbl>
    <w:p w14:paraId="147DA408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tbl>
      <w:tblPr>
        <w:tblW w:w="9345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F5103" w14:paraId="36309A50" w14:textId="77777777" w:rsidTr="00070C41">
        <w:tc>
          <w:tcPr>
            <w:tcW w:w="9345" w:type="dxa"/>
          </w:tcPr>
          <w:p w14:paraId="330A88D8" w14:textId="77777777" w:rsidR="00FF5103" w:rsidRDefault="00FF5103" w:rsidP="00070C41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Место прохождения практики: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 ФГАОУ ВО «СПбПУ», ИММиТ, ВШ ФиТМ, СПб, ул. Политехническая, д.29 </w:t>
            </w:r>
          </w:p>
        </w:tc>
      </w:tr>
    </w:tbl>
    <w:p w14:paraId="019CD2B9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i/>
          <w:sz w:val="20"/>
          <w:szCs w:val="20"/>
        </w:rPr>
      </w:pPr>
    </w:p>
    <w:p w14:paraId="784CA6A5" w14:textId="77777777" w:rsidR="00FF5103" w:rsidRDefault="00FF5103" w:rsidP="00FF5103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tbl>
      <w:tblPr>
        <w:tblW w:w="9322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FF5103" w14:paraId="75A3B636" w14:textId="77777777" w:rsidTr="00070C41">
        <w:tc>
          <w:tcPr>
            <w:tcW w:w="9322" w:type="dxa"/>
          </w:tcPr>
          <w:p w14:paraId="2FA204ED" w14:textId="77777777" w:rsidR="00FF5103" w:rsidRDefault="00FF5103" w:rsidP="00070C41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Сроки практики: 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осенний семестр 2023/2024 уч. года (01.09.2023-16.12.2023)</w:t>
            </w:r>
          </w:p>
        </w:tc>
      </w:tr>
    </w:tbl>
    <w:p w14:paraId="249225B6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15BD86C5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tbl>
      <w:tblPr>
        <w:tblW w:w="9356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FF5103" w14:paraId="3612FD1C" w14:textId="77777777" w:rsidTr="00070C41">
        <w:tc>
          <w:tcPr>
            <w:tcW w:w="9356" w:type="dxa"/>
          </w:tcPr>
          <w:p w14:paraId="22E7EA44" w14:textId="0314905F" w:rsidR="00FF5103" w:rsidRDefault="00FF5103" w:rsidP="00070C41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Руководитель практики от ФГАОУ ВО «СПбПУ</w:t>
            </w:r>
            <w:r w:rsidRPr="00FF5103">
              <w:rPr>
                <w:rFonts w:eastAsia="Times New Roman" w:cs="Times New Roman"/>
                <w:b/>
                <w:sz w:val="24"/>
                <w:szCs w:val="24"/>
              </w:rPr>
              <w:t xml:space="preserve">»: </w:t>
            </w:r>
            <w:r w:rsidRPr="00FF5103">
              <w:rPr>
                <w:rFonts w:eastAsia="Times New Roman" w:cs="Times New Roman"/>
                <w:b/>
                <w:sz w:val="24"/>
                <w:szCs w:val="24"/>
              </w:rPr>
              <w:t>Филатов Леонид Анатольевич</w:t>
            </w:r>
            <w:r w:rsidRPr="00FF5103">
              <w:rPr>
                <w:rFonts w:eastAsia="Times New Roman" w:cs="Times New Roman"/>
                <w:b/>
                <w:sz w:val="24"/>
                <w:szCs w:val="24"/>
              </w:rPr>
              <w:t>,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510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старший преподаватель ВШФиТМ, ведущий инженер учебной лаборатории «Нанотехнологии и микросистемная техника»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F5103" w14:paraId="3117CF89" w14:textId="77777777" w:rsidTr="00070C41">
        <w:tc>
          <w:tcPr>
            <w:tcW w:w="9356" w:type="dxa"/>
          </w:tcPr>
          <w:p w14:paraId="1184DCD0" w14:textId="77777777" w:rsidR="00FF5103" w:rsidRDefault="00FF5103" w:rsidP="00070C41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7981888B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79602B29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7964CF08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2B6771F3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tbl>
      <w:tblPr>
        <w:tblW w:w="2977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</w:tblGrid>
      <w:tr w:rsidR="00FF5103" w14:paraId="0AC29F75" w14:textId="77777777" w:rsidTr="00070C41">
        <w:tc>
          <w:tcPr>
            <w:tcW w:w="2977" w:type="dxa"/>
          </w:tcPr>
          <w:p w14:paraId="3A8B3D7C" w14:textId="713C2817" w:rsidR="00FF5103" w:rsidRDefault="00FF5103" w:rsidP="0007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Оценка: </w:t>
            </w:r>
          </w:p>
        </w:tc>
      </w:tr>
    </w:tbl>
    <w:p w14:paraId="676C0413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35E52C10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33D82F84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tbl>
      <w:tblPr>
        <w:tblW w:w="8789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FF5103" w:rsidRPr="00FF5103" w14:paraId="2AAFABB6" w14:textId="77777777" w:rsidTr="00070C41">
        <w:tc>
          <w:tcPr>
            <w:tcW w:w="8789" w:type="dxa"/>
          </w:tcPr>
          <w:p w14:paraId="07A39C4B" w14:textId="5B296AD3" w:rsidR="00FF5103" w:rsidRPr="00FF5103" w:rsidRDefault="00FF5103" w:rsidP="00070C41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F5103">
              <w:rPr>
                <w:rFonts w:eastAsia="Times New Roman" w:cs="Times New Roman"/>
                <w:sz w:val="24"/>
                <w:szCs w:val="24"/>
              </w:rPr>
              <w:t xml:space="preserve">Руководитель практики                                                                       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>Л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>Филатов</w:t>
            </w:r>
            <w:r w:rsidRPr="00FF5103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</w:p>
        </w:tc>
      </w:tr>
    </w:tbl>
    <w:p w14:paraId="305B1D04" w14:textId="77777777" w:rsidR="00FF5103" w:rsidRPr="00FF5103" w:rsidRDefault="00FF5103" w:rsidP="00FF5103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3274E943" w14:textId="77777777" w:rsidR="00FF5103" w:rsidRPr="00FF5103" w:rsidRDefault="00FF5103" w:rsidP="00FF5103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257BC4" w14:textId="77777777" w:rsidR="00FF5103" w:rsidRPr="00FF5103" w:rsidRDefault="00FF5103" w:rsidP="00FF5103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8789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9"/>
      </w:tblGrid>
      <w:tr w:rsidR="00FF5103" w14:paraId="67AA2D8F" w14:textId="77777777" w:rsidTr="00070C41">
        <w:tc>
          <w:tcPr>
            <w:tcW w:w="8789" w:type="dxa"/>
          </w:tcPr>
          <w:p w14:paraId="1B09F289" w14:textId="367BCC2E" w:rsidR="00FF5103" w:rsidRDefault="00FF5103" w:rsidP="00070C41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F5103">
              <w:rPr>
                <w:rFonts w:eastAsia="Times New Roman" w:cs="Times New Roman"/>
                <w:sz w:val="24"/>
                <w:szCs w:val="24"/>
              </w:rPr>
              <w:t>Обучающийся:                                                                                       /</w:t>
            </w:r>
            <w:r w:rsidRPr="00FF5103">
              <w:rPr>
                <w:rFonts w:eastAsia="Times New Roman" w:cs="Times New Roman"/>
                <w:sz w:val="24"/>
                <w:szCs w:val="24"/>
              </w:rPr>
              <w:t>П</w:t>
            </w:r>
            <w:r w:rsidRPr="00FF5103">
              <w:rPr>
                <w:rFonts w:eastAsia="Times New Roman" w:cs="Times New Roman"/>
                <w:sz w:val="24"/>
                <w:szCs w:val="24"/>
              </w:rPr>
              <w:t>.</w:t>
            </w:r>
            <w:r w:rsidRPr="00FF5103">
              <w:rPr>
                <w:rFonts w:eastAsia="Times New Roman" w:cs="Times New Roman"/>
                <w:sz w:val="24"/>
                <w:szCs w:val="24"/>
              </w:rPr>
              <w:t>Ю</w:t>
            </w:r>
            <w:r w:rsidRPr="00FF5103"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FF5103">
              <w:rPr>
                <w:rFonts w:eastAsia="Times New Roman" w:cs="Times New Roman"/>
                <w:sz w:val="24"/>
                <w:szCs w:val="24"/>
              </w:rPr>
              <w:t>Жуков</w:t>
            </w:r>
            <w:r w:rsidRPr="00FF5103">
              <w:rPr>
                <w:rFonts w:eastAsia="Times New Roman" w:cs="Times New Roman"/>
                <w:sz w:val="24"/>
                <w:szCs w:val="24"/>
              </w:rPr>
              <w:t>/</w:t>
            </w:r>
          </w:p>
        </w:tc>
      </w:tr>
    </w:tbl>
    <w:p w14:paraId="06A2C535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p w14:paraId="2D743834" w14:textId="77777777" w:rsidR="00FF5103" w:rsidRDefault="00FF5103" w:rsidP="00FF5103">
      <w:pPr>
        <w:spacing w:line="240" w:lineRule="auto"/>
        <w:rPr>
          <w:rFonts w:eastAsia="Times New Roman" w:cs="Times New Roman"/>
          <w:sz w:val="20"/>
          <w:szCs w:val="20"/>
        </w:rPr>
      </w:pPr>
    </w:p>
    <w:tbl>
      <w:tblPr>
        <w:tblW w:w="2972" w:type="dxa"/>
        <w:tblInd w:w="-115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</w:tblGrid>
      <w:tr w:rsidR="00FF5103" w14:paraId="46567217" w14:textId="77777777" w:rsidTr="00070C41">
        <w:tc>
          <w:tcPr>
            <w:tcW w:w="2972" w:type="dxa"/>
          </w:tcPr>
          <w:p w14:paraId="5E9CF456" w14:textId="77777777" w:rsidR="00FF5103" w:rsidRDefault="00FF5103" w:rsidP="00070C41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Дата:   16.12.2023</w:t>
            </w:r>
          </w:p>
        </w:tc>
      </w:tr>
    </w:tbl>
    <w:p w14:paraId="1892082C" w14:textId="72C0D508" w:rsidR="00792D60" w:rsidRDefault="00A3306D" w:rsidP="002D5E8D">
      <w:pPr>
        <w:pStyle w:val="1"/>
      </w:pPr>
      <w:r>
        <w:lastRenderedPageBreak/>
        <w:t>Введение</w:t>
      </w:r>
    </w:p>
    <w:p w14:paraId="766B698C" w14:textId="3C21B639" w:rsidR="00AD4EEA" w:rsidRDefault="00A3306D" w:rsidP="00A3306D">
      <w:r>
        <w:t>Электрохромизм – это явление обратимого изменения оптических свойств</w:t>
      </w:r>
      <w:r>
        <w:t xml:space="preserve"> </w:t>
      </w:r>
      <w:r>
        <w:t>материала под действием электрического поля.</w:t>
      </w:r>
      <w:r>
        <w:t xml:space="preserve"> </w:t>
      </w:r>
      <w:r>
        <w:t>К электрохромным материалам относится целый ряд оксидов</w:t>
      </w:r>
      <w:r>
        <w:t xml:space="preserve"> </w:t>
      </w:r>
      <w:r>
        <w:t>переходных металлов (например, WO</w:t>
      </w:r>
      <w:r w:rsidRPr="00AD4EEA">
        <w:rPr>
          <w:vertAlign w:val="subscript"/>
        </w:rPr>
        <w:t>3</w:t>
      </w:r>
      <w:r>
        <w:t>, МоО</w:t>
      </w:r>
      <w:r w:rsidRPr="00AD4EEA">
        <w:rPr>
          <w:vertAlign w:val="subscript"/>
        </w:rPr>
        <w:t>3</w:t>
      </w:r>
      <w:r>
        <w:t>, V</w:t>
      </w:r>
      <w:r w:rsidRPr="00AD4EEA">
        <w:rPr>
          <w:vertAlign w:val="subscript"/>
        </w:rPr>
        <w:t>2</w:t>
      </w:r>
      <w:r>
        <w:t>O</w:t>
      </w:r>
      <w:r w:rsidRPr="00AD4EEA">
        <w:rPr>
          <w:vertAlign w:val="subscript"/>
        </w:rPr>
        <w:t>5</w:t>
      </w:r>
      <w:r>
        <w:t>, Nb</w:t>
      </w:r>
      <w:r w:rsidRPr="00AD4EEA">
        <w:rPr>
          <w:vertAlign w:val="subscript"/>
        </w:rPr>
        <w:t>2</w:t>
      </w:r>
      <w:r>
        <w:t>O</w:t>
      </w:r>
      <w:r w:rsidRPr="00AD4EEA">
        <w:rPr>
          <w:vertAlign w:val="subscript"/>
        </w:rPr>
        <w:t>5</w:t>
      </w:r>
      <w:r>
        <w:t>, NiO, Fe</w:t>
      </w:r>
      <w:r w:rsidRPr="00AD4EEA">
        <w:rPr>
          <w:vertAlign w:val="subscript"/>
        </w:rPr>
        <w:t>2</w:t>
      </w:r>
      <w:r>
        <w:t>O</w:t>
      </w:r>
      <w:r w:rsidRPr="00AD4EEA">
        <w:rPr>
          <w:vertAlign w:val="subscript"/>
        </w:rPr>
        <w:t>3</w:t>
      </w:r>
      <w:r>
        <w:t>, ТiO</w:t>
      </w:r>
      <w:r w:rsidRPr="00AD4EEA">
        <w:rPr>
          <w:vertAlign w:val="subscript"/>
        </w:rPr>
        <w:t>2</w:t>
      </w:r>
      <w:r>
        <w:t xml:space="preserve"> и</w:t>
      </w:r>
      <w:r>
        <w:t xml:space="preserve"> </w:t>
      </w:r>
      <w:r>
        <w:t>др.), а также некоторые органические соединения (красители, проводящие</w:t>
      </w:r>
      <w:r>
        <w:t xml:space="preserve"> </w:t>
      </w:r>
      <w:r>
        <w:t>полимеры)</w:t>
      </w:r>
      <w:r w:rsidR="00AD4EEA">
        <w:t xml:space="preserve"> </w:t>
      </w:r>
      <w:r w:rsidR="00AD4EEA" w:rsidRPr="00AD4EEA">
        <w:t>[1]</w:t>
      </w:r>
      <w:r>
        <w:t>.</w:t>
      </w:r>
      <w:r w:rsidR="00AD4EEA" w:rsidRPr="00AD4EEA">
        <w:t xml:space="preserve"> </w:t>
      </w:r>
      <w:r w:rsidR="00AD4EEA">
        <w:t>Изменение оптических свойств (спектра пропускания) позволяет разрабатывать различные устройства на базе таких материалов: тонкоплёночные прозрачные дисплеи, стёкла с возможностью затемнения, светофильтры и др.</w:t>
      </w:r>
    </w:p>
    <w:p w14:paraId="6AB97802" w14:textId="4B1EC4A9" w:rsidR="00A3306D" w:rsidRPr="00AD4EEA" w:rsidRDefault="00AD4EEA" w:rsidP="00A3306D">
      <w:r>
        <w:t>В</w:t>
      </w:r>
      <w:r w:rsidRPr="00AD4EEA">
        <w:t xml:space="preserve"> последне</w:t>
      </w:r>
      <w:r>
        <w:t>е</w:t>
      </w:r>
      <w:r w:rsidRPr="00AD4EEA">
        <w:t xml:space="preserve"> время актуализировались исследования электрохромизма в системах с твердыми электролитами с целью разработки технологий изготовления таких устройств, как «умные» стекла и «умная» бумага, гибкие дисплеи и тонкопленочные сенсоры</w:t>
      </w:r>
      <w:r>
        <w:t xml:space="preserve"> </w:t>
      </w:r>
      <w:r w:rsidRPr="00AD4EEA">
        <w:t>[1]</w:t>
      </w:r>
      <w:r>
        <w:t>.</w:t>
      </w:r>
    </w:p>
    <w:p w14:paraId="2CF6AF3C" w14:textId="464C5585" w:rsidR="00A3306D" w:rsidRPr="00B359BC" w:rsidRDefault="00A3306D" w:rsidP="00A3306D">
      <w:r>
        <w:t xml:space="preserve">В рамках </w:t>
      </w:r>
      <w:r w:rsidR="00AD4EEA">
        <w:t>данной</w:t>
      </w:r>
      <w:r>
        <w:t xml:space="preserve"> работы </w:t>
      </w:r>
      <w:r w:rsidR="00AD4EEA">
        <w:t xml:space="preserve">рассмотрены теоретические основы электрохимии и электрохромизма, </w:t>
      </w:r>
      <w:r w:rsidR="00B359BC">
        <w:t>разработка методики</w:t>
      </w:r>
      <w:r w:rsidR="00AD4EEA">
        <w:t xml:space="preserve"> исследования электрохромных плёнок на базе </w:t>
      </w:r>
      <w:r w:rsidR="00AD4EEA">
        <w:rPr>
          <w:lang w:val="en-US"/>
        </w:rPr>
        <w:t>ITO</w:t>
      </w:r>
      <w:r w:rsidR="00AD4EEA" w:rsidRPr="00AD4EEA">
        <w:t xml:space="preserve"> </w:t>
      </w:r>
      <w:r w:rsidR="00AD4EEA">
        <w:t xml:space="preserve">и </w:t>
      </w:r>
      <w:r w:rsidR="00AD4EEA">
        <w:rPr>
          <w:lang w:val="en-US"/>
        </w:rPr>
        <w:t>NiO</w:t>
      </w:r>
      <w:r w:rsidR="00AD4EEA">
        <w:t>.</w:t>
      </w:r>
    </w:p>
    <w:p w14:paraId="00F3DD8A" w14:textId="479F193F" w:rsidR="00AD4EEA" w:rsidRPr="002D5E8D" w:rsidRDefault="002D5E8D" w:rsidP="00A3306D">
      <w:r w:rsidRPr="002D5E8D">
        <w:rPr>
          <w:highlight w:val="yellow"/>
        </w:rPr>
        <w:t>Структура работы</w:t>
      </w:r>
      <w:r>
        <w:t>?</w:t>
      </w:r>
    </w:p>
    <w:p w14:paraId="162F6127" w14:textId="32AEC5AF" w:rsidR="00AD4EEA" w:rsidRDefault="00AD4EEA" w:rsidP="00A3306D"/>
    <w:p w14:paraId="75E2A8B8" w14:textId="136F90BF" w:rsidR="00AD4EEA" w:rsidRDefault="00AD4EEA" w:rsidP="00A3306D"/>
    <w:p w14:paraId="3A10AEDA" w14:textId="2D10B544" w:rsidR="00AD4EEA" w:rsidRDefault="00AD4EEA" w:rsidP="00A3306D"/>
    <w:p w14:paraId="7506C3E6" w14:textId="1F96325D" w:rsidR="00AD4EEA" w:rsidRDefault="00AD4EEA" w:rsidP="00A3306D"/>
    <w:p w14:paraId="6016CB29" w14:textId="657CD8A1" w:rsidR="00AD4EEA" w:rsidRDefault="00AD4EEA" w:rsidP="00A3306D"/>
    <w:p w14:paraId="018F988B" w14:textId="7CDBD03A" w:rsidR="00AD4EEA" w:rsidRDefault="00AD4EEA" w:rsidP="00A3306D"/>
    <w:p w14:paraId="17D04912" w14:textId="2C8FEA44" w:rsidR="00AD4EEA" w:rsidRDefault="00AD4EEA" w:rsidP="00A3306D"/>
    <w:p w14:paraId="281B0B6C" w14:textId="3D7ABB2F" w:rsidR="00AD4EEA" w:rsidRPr="008757F8" w:rsidRDefault="008757F8" w:rsidP="008757F8">
      <w:pPr>
        <w:pStyle w:val="1"/>
      </w:pPr>
      <w:r w:rsidRPr="008757F8">
        <w:lastRenderedPageBreak/>
        <w:t>1 ОСНОВЫ ЭЛЕКТРОХИМИИ И ЭЛЕКТРОХРОМИЗМА</w:t>
      </w:r>
    </w:p>
    <w:p w14:paraId="697A0ABC" w14:textId="22E95D4E" w:rsidR="008757F8" w:rsidRPr="008757F8" w:rsidRDefault="008757F8" w:rsidP="008757F8">
      <w:pPr>
        <w:pStyle w:val="2"/>
      </w:pPr>
      <w:r w:rsidRPr="008757F8">
        <w:t>1.1 Базовые понятия электрохимии</w:t>
      </w:r>
    </w:p>
    <w:p w14:paraId="3BE8DAA5" w14:textId="730614A0" w:rsidR="00AD4EEA" w:rsidRDefault="003F1E49" w:rsidP="00A3306D">
      <w:r>
        <w:t>Э</w:t>
      </w:r>
      <w:r w:rsidRPr="003F1E49">
        <w:t xml:space="preserve">лектрохимия – наука, которая изучает </w:t>
      </w:r>
      <w:r>
        <w:t xml:space="preserve">процессы и </w:t>
      </w:r>
      <w:r w:rsidRPr="003F1E49">
        <w:t>закономерности взаимного превращения химической и электрической форм энергии</w:t>
      </w:r>
      <w:r>
        <w:t xml:space="preserve"> </w:t>
      </w:r>
      <w:r w:rsidRPr="003F1E49">
        <w:t>[2, 3]</w:t>
      </w:r>
      <w:r>
        <w:t>.</w:t>
      </w:r>
      <w:r w:rsidR="007E53A0">
        <w:t xml:space="preserve"> Понимание концепций электрохимии необходимо для обсуждения и работы с электрохромными материалами, так как </w:t>
      </w:r>
    </w:p>
    <w:p w14:paraId="2AEA0041" w14:textId="5B97FBA5" w:rsidR="00C245C9" w:rsidRDefault="00C245C9" w:rsidP="00C245C9">
      <w:r>
        <w:t>Процессы прямого превращения химической энергии в электрическую и</w:t>
      </w:r>
      <w:r>
        <w:t xml:space="preserve"> </w:t>
      </w:r>
      <w:r>
        <w:t>обратно называются электрохимическими процессами. Электрохимические</w:t>
      </w:r>
      <w:r>
        <w:t xml:space="preserve"> </w:t>
      </w:r>
      <w:r>
        <w:t>процессы можно разделить на две группы: процессы превращения химической</w:t>
      </w:r>
      <w:r>
        <w:t xml:space="preserve"> </w:t>
      </w:r>
      <w:r>
        <w:t>энергии в электрическую (гальванические элементы) и</w:t>
      </w:r>
      <w:r>
        <w:t xml:space="preserve"> </w:t>
      </w:r>
      <w:r>
        <w:t>процессы превращения электрической энергии в химическую (электролиз).</w:t>
      </w:r>
      <w:r>
        <w:t xml:space="preserve"> </w:t>
      </w:r>
      <w:r>
        <w:t xml:space="preserve">Электрохимическая </w:t>
      </w:r>
      <w:r w:rsidR="004F2EDB">
        <w:t>ячейка (система)</w:t>
      </w:r>
      <w:r>
        <w:t xml:space="preserve"> состоит из </w:t>
      </w:r>
      <w:r>
        <w:t>нескольких (обычно 2 или 3)</w:t>
      </w:r>
      <w:r>
        <w:t xml:space="preserve"> электродов и ионного проводника</w:t>
      </w:r>
      <w:r>
        <w:t xml:space="preserve"> </w:t>
      </w:r>
      <w:r>
        <w:t>между ними. Ионным проводником служат растворы или расплавы электролитов</w:t>
      </w:r>
      <w:r w:rsidRPr="00C245C9">
        <w:t xml:space="preserve">, </w:t>
      </w:r>
      <w:r>
        <w:t>а также специальные перегородки (</w:t>
      </w:r>
      <w:r>
        <w:rPr>
          <w:szCs w:val="28"/>
        </w:rPr>
        <w:t>солевой мостик, трубка с водным раствором, закрытая с обоих концов стекловатой, ионообменная мембрана, пластина из пористого стекла</w:t>
      </w:r>
      <w:r w:rsidR="008B1ACC">
        <w:rPr>
          <w:szCs w:val="28"/>
        </w:rPr>
        <w:t>)</w:t>
      </w:r>
      <w:r>
        <w:t xml:space="preserve">. </w:t>
      </w:r>
      <w:r>
        <w:t>В качестве электродов используют</w:t>
      </w:r>
      <w:r>
        <w:t xml:space="preserve"> проводники, имеющие электронную проводимость.</w:t>
      </w:r>
      <w:r>
        <w:t xml:space="preserve"> </w:t>
      </w:r>
      <w:r>
        <w:t xml:space="preserve">Для обеспечения работы электрохимической </w:t>
      </w:r>
      <w:r w:rsidR="004F2EDB">
        <w:t>ячейки</w:t>
      </w:r>
      <w:r>
        <w:t xml:space="preserve"> электроды замыкаются</w:t>
      </w:r>
      <w:r>
        <w:t xml:space="preserve"> </w:t>
      </w:r>
      <w:r>
        <w:t>друг с другом</w:t>
      </w:r>
      <w:r>
        <w:t xml:space="preserve"> </w:t>
      </w:r>
      <w:r w:rsidRPr="00C245C9">
        <w:t>[3]</w:t>
      </w:r>
      <w:r>
        <w:t>.</w:t>
      </w:r>
    </w:p>
    <w:p w14:paraId="22A7EF81" w14:textId="565C057E" w:rsidR="00AD4EEA" w:rsidRDefault="00C245C9" w:rsidP="00C245C9">
      <w:r>
        <w:t>При</w:t>
      </w:r>
      <w:r>
        <w:t xml:space="preserve"> </w:t>
      </w:r>
      <w:r>
        <w:t>погружении металла в раствор электролита в результате взаимодействия поверхностных ион-атомов металла, находящихся в узлах кристаллической решетки, с</w:t>
      </w:r>
      <w:r>
        <w:t xml:space="preserve"> </w:t>
      </w:r>
      <w:r>
        <w:t>полярными молекулами воды, ориентированными у поверхности электрода, на</w:t>
      </w:r>
      <w:r>
        <w:t xml:space="preserve"> </w:t>
      </w:r>
      <w:r>
        <w:t>границе раздела фаз металл – раствор возникает разность потенциалов, которую</w:t>
      </w:r>
      <w:r>
        <w:t xml:space="preserve"> </w:t>
      </w:r>
      <w:r>
        <w:t xml:space="preserve">принято называть </w:t>
      </w:r>
      <w:r w:rsidRPr="004F2EDB">
        <w:rPr>
          <w:u w:val="single"/>
        </w:rPr>
        <w:t>потенциалом электрода</w:t>
      </w:r>
      <w:r>
        <w:t>, или электродным потенциалом металла. Это связано с образованием двойного электрического слоя, то есть несимметричного распределения заряженных частиц у границы раздела фаз</w:t>
      </w:r>
      <w:r w:rsidRPr="00C245C9">
        <w:t xml:space="preserve"> [3]</w:t>
      </w:r>
      <w:r>
        <w:t>.</w:t>
      </w:r>
    </w:p>
    <w:p w14:paraId="234B8439" w14:textId="6EDE6EDB" w:rsidR="00376E68" w:rsidRDefault="00376E68" w:rsidP="00AC1B1A">
      <w:r>
        <w:t>Гальваническим элементом называется система, в которой за счет протекающей в ней химических процессов генерируется электрическая энергия.</w:t>
      </w:r>
      <w:r>
        <w:t xml:space="preserve"> </w:t>
      </w:r>
      <w:r>
        <w:t xml:space="preserve">В гальваническом элементе химические реакции протекают </w:t>
      </w:r>
      <w:r>
        <w:lastRenderedPageBreak/>
        <w:t>самопроизвольно на границе раздела электрод/электролит, а различные элек</w:t>
      </w:r>
      <w:r w:rsidR="00AC1B1A">
        <w:t>т</w:t>
      </w:r>
      <w:r>
        <w:t>роды с различными электродными потенциалами соединены друг с другом проводником. Разность этих потенциалов определяет ЭДС ячейки. Несколько гальванических элементов, соединенных последовательно, образуют батарею – химический источник тока.</w:t>
      </w:r>
      <w:r w:rsidR="00AC1B1A">
        <w:t xml:space="preserve"> </w:t>
      </w:r>
      <w:r w:rsidR="00AC1B1A">
        <w:t>Простейший гальванический (или электрохимический) элемент состоит из двух металлических электродов,</w:t>
      </w:r>
      <w:r w:rsidR="00AC1B1A">
        <w:t xml:space="preserve"> </w:t>
      </w:r>
      <w:r w:rsidR="00AC1B1A">
        <w:t>опущенных в электролит и соединенных</w:t>
      </w:r>
      <w:r w:rsidR="00AC1B1A">
        <w:t xml:space="preserve"> </w:t>
      </w:r>
      <w:r w:rsidR="00AC1B1A">
        <w:t>между собой металлическим контактом</w:t>
      </w:r>
      <w:r w:rsidR="00E3400E">
        <w:t xml:space="preserve"> </w:t>
      </w:r>
      <w:r w:rsidR="00E3400E" w:rsidRPr="00E3400E">
        <w:t>[2</w:t>
      </w:r>
      <w:r w:rsidR="00E3400E" w:rsidRPr="00626727">
        <w:t>]</w:t>
      </w:r>
      <w:r w:rsidR="00AC1B1A">
        <w:t>.</w:t>
      </w:r>
    </w:p>
    <w:p w14:paraId="2B0F9692" w14:textId="2C31605A" w:rsidR="004F2EDB" w:rsidRDefault="004F2EDB" w:rsidP="004F2EDB">
      <w:r>
        <w:t>Если электрохимическая ячейка работает в режиме гальванического элемента, то измерительное устройство во внешней цепи служит</w:t>
      </w:r>
      <w:r>
        <w:t xml:space="preserve"> </w:t>
      </w:r>
      <w:r>
        <w:t>только для того, чтобы пропускать или не пропускать электроны во</w:t>
      </w:r>
      <w:r>
        <w:t xml:space="preserve"> </w:t>
      </w:r>
      <w:r>
        <w:t>внешнюю цепь, т. е. ограничивается пассивной ролью. Но если его заменить активным инструментом, например источником постоянного</w:t>
      </w:r>
      <w:r>
        <w:t xml:space="preserve"> </w:t>
      </w:r>
      <w:r>
        <w:t>напряжения, то эта же ячейка станет потребителем внешней энергии и</w:t>
      </w:r>
      <w:r>
        <w:t xml:space="preserve"> </w:t>
      </w:r>
      <w:r>
        <w:t>будет работать в режиме электролитической ячейки. В этом случае, регулируя внешнее наложенное напряжение, можно не только изменить</w:t>
      </w:r>
      <w:r>
        <w:t xml:space="preserve"> </w:t>
      </w:r>
      <w:r>
        <w:t>направление реакции, но и контролировать глубину ее протекания</w:t>
      </w:r>
      <w:r>
        <w:t xml:space="preserve"> </w:t>
      </w:r>
      <w:r w:rsidRPr="004F2EDB">
        <w:t>[2]</w:t>
      </w:r>
      <w:r>
        <w:t>.</w:t>
      </w:r>
    </w:p>
    <w:p w14:paraId="3D8A389E" w14:textId="4072AC7B" w:rsidR="00AD4EEA" w:rsidRDefault="004F2EDB" w:rsidP="004F2EDB">
      <w:r>
        <w:t>Таким образом, в электролитической ячейке реакции на границе раздела электрод/электролит протекают за счет внешнего источника электрической энергии; последняя превращается в химическую энергию продуктов реакций, протекающих на электродах</w:t>
      </w:r>
      <w:r w:rsidRPr="004F2EDB">
        <w:t xml:space="preserve"> [2]</w:t>
      </w:r>
      <w:r>
        <w:t>.</w:t>
      </w:r>
      <w:r w:rsidR="00626727">
        <w:t xml:space="preserve"> Схема простейшей электролитической ячейки приведена на рис. 1 ниже.</w:t>
      </w:r>
    </w:p>
    <w:p w14:paraId="0A4FCF3E" w14:textId="68FE5327" w:rsidR="007F1CB7" w:rsidRDefault="00054B59" w:rsidP="004F2EDB">
      <w:r>
        <w:t>В электролитической ячейке</w:t>
      </w:r>
      <w:r w:rsidR="007F1CB7" w:rsidRPr="007F1CB7">
        <w:t xml:space="preserve"> </w:t>
      </w:r>
      <w:r>
        <w:t>о</w:t>
      </w:r>
      <w:r w:rsidR="007F1CB7" w:rsidRPr="007F1CB7">
        <w:t xml:space="preserve">трицательный полюс источника тока присоединяют к электроду, который называют катодом; положительный полюс к электроду, который называют анодом. Анод может быть как растворимым, например, медь при ее электролитическом рафинировании, так и нерастворимым, например, платина при электролизе воды </w:t>
      </w:r>
      <w:r w:rsidRPr="00054B59">
        <w:t>[2]</w:t>
      </w:r>
      <w:r w:rsidR="007F1CB7" w:rsidRPr="007F1CB7">
        <w:t>.</w:t>
      </w:r>
      <w:r w:rsidR="00000FD3">
        <w:t xml:space="preserve"> </w:t>
      </w:r>
      <w:r w:rsidR="00000FD3" w:rsidRPr="00000FD3">
        <w:t xml:space="preserve">При включении внешнего источника постоянного тока движение ионов в электролите становится направленным. Отрицательно заряженные частицы (анионы) перемещаются к аноду, положительно заряженные ионы (катионы) </w:t>
      </w:r>
      <w:r w:rsidR="00000FD3" w:rsidRPr="00000FD3">
        <w:lastRenderedPageBreak/>
        <w:t>направляются к катоду. Внешний источник тока выполняет при этом роль своеобразного электронного насоса, который «перекачивает» электроны с анода на катод</w:t>
      </w:r>
      <w:r w:rsidR="00000FD3">
        <w:t xml:space="preserve"> </w:t>
      </w:r>
      <w:r w:rsidR="00000FD3" w:rsidRPr="00000FD3">
        <w:t>[2]</w:t>
      </w:r>
      <w:r w:rsidR="00000FD3" w:rsidRPr="00000FD3">
        <w:t>.</w:t>
      </w:r>
    </w:p>
    <w:p w14:paraId="7D857B7B" w14:textId="2BB0C2AA" w:rsidR="00626727" w:rsidRDefault="00626727" w:rsidP="002A34C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06E026" wp14:editId="4DE47D16">
            <wp:extent cx="2579506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3"/>
                    <a:stretch/>
                  </pic:blipFill>
                  <pic:spPr bwMode="auto">
                    <a:xfrm>
                      <a:off x="0" y="0"/>
                      <a:ext cx="2586635" cy="263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AD01" w14:textId="494642B8" w:rsidR="00626727" w:rsidRPr="00A979ED" w:rsidRDefault="00626727" w:rsidP="002A34C2">
      <w:pPr>
        <w:ind w:firstLine="0"/>
        <w:jc w:val="center"/>
      </w:pPr>
      <w:r>
        <w:t>Рис. 1</w:t>
      </w:r>
      <w:r w:rsidR="002A34C2">
        <w:t xml:space="preserve"> – </w:t>
      </w:r>
      <w:r>
        <w:t>Схема устройства для электролиза:</w:t>
      </w:r>
      <w:r>
        <w:t xml:space="preserve"> </w:t>
      </w:r>
      <w:r>
        <w:t>1 – источник постоянного тока; 2 – анод; 3 – катод</w:t>
      </w:r>
      <w:r w:rsidR="00A979ED">
        <w:t xml:space="preserve"> </w:t>
      </w:r>
      <w:r w:rsidR="00A979ED" w:rsidRPr="00A979ED">
        <w:t>[2]</w:t>
      </w:r>
    </w:p>
    <w:p w14:paraId="06C1CA2A" w14:textId="7300CC0C" w:rsidR="00AD4EEA" w:rsidRDefault="000827A4" w:rsidP="000827A4">
      <w:r>
        <w:t>С увеличением напряжения на электролизере усиливается приток электронов на катод и отвод их с анода. При этом в процессе электролиза потенциал катода сдвигается в отрицательную, а потенциал анода – в положительную сторону. Когда потенциалы электродов достигают определенных значений, создается возможность протекания на катоде реакции восстановления каких-либо окислителей, например, катионов металлов или ионов водорода в водных растворах. На аноде, в свою очередь, создается возможность протекания реакции окисления каких-либо восстановителей, например, анионов или металла, из которого сделан анод. Если металл анода окисляется до ионов и в виде ионов п</w:t>
      </w:r>
      <w:r>
        <w:t>е</w:t>
      </w:r>
      <w:r>
        <w:t>реходит в раствор или расплав, то этот процесс называют электролизом с растворимым анодом. Соответственно, если анод не переходит в раствор в виде ионов, то такой процесс называют электролизом с нерастворимым анодом. В качестве нерастворимых анодов могут использоваться графит, некоторые инертные металлы (золото, платина, палладий). В случае электролиза с нерастворимым анодом на аноде идет окисление анионов</w:t>
      </w:r>
      <w:r>
        <w:t xml:space="preserve"> </w:t>
      </w:r>
      <w:r w:rsidRPr="000827A4">
        <w:t>[2]</w:t>
      </w:r>
      <w:r>
        <w:t>.</w:t>
      </w:r>
    </w:p>
    <w:p w14:paraId="5A6EC3B7" w14:textId="5C66B108" w:rsidR="000827A4" w:rsidRDefault="000827A4" w:rsidP="000827A4">
      <w:r>
        <w:lastRenderedPageBreak/>
        <w:t>Таким образом, сущность электролиза состоит в осуществлении за счет электрической энергии химических реакций – восстановления на катоде и окисления на аноде. При этом восстановительное и окислительное действие электрического тока во много раз сильнее действия химических восстановителей и окислителей</w:t>
      </w:r>
      <w:r w:rsidR="00BA11A4" w:rsidRPr="00BA11A4">
        <w:t xml:space="preserve"> [2]</w:t>
      </w:r>
      <w:r>
        <w:t>.</w:t>
      </w:r>
    </w:p>
    <w:p w14:paraId="00A0EB90" w14:textId="00385CC1" w:rsidR="000827A4" w:rsidRDefault="000827A4" w:rsidP="000827A4">
      <w:r>
        <w:t>На катоде происходит передача электронов веществам, находящимся в растворе или расплаве электролита. Катод при этом выступает в роли восстановителя. Функцию окислителей могут выполнять катионы металлов или другие окислители, которые восстанавливаются на катоде по схеме:</w:t>
      </w:r>
    </w:p>
    <w:p w14:paraId="5B40449F" w14:textId="716252D1" w:rsidR="00AD4EEA" w:rsidRPr="003E0E1F" w:rsidRDefault="005151E3" w:rsidP="00A3306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Ox+n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→Red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C6C6704" w14:textId="7C930923" w:rsidR="00AD4EEA" w:rsidRDefault="00BA11A4" w:rsidP="00BA11A4">
      <w:pPr>
        <w:ind w:firstLine="0"/>
      </w:pPr>
      <w:r w:rsidRPr="00BA11A4">
        <w:t xml:space="preserve">Для того чтобы процесс восстановления на катоде протекал в указанном направлении, потенциал окислителя </w:t>
      </w:r>
      <w:r w:rsidRPr="005715AC">
        <w:rPr>
          <w:i/>
          <w:iCs/>
        </w:rPr>
        <w:t>(Е</w:t>
      </w:r>
      <w:r w:rsidRPr="005715AC">
        <w:rPr>
          <w:i/>
          <w:iCs/>
          <w:vertAlign w:val="subscript"/>
        </w:rPr>
        <w:t>Ox/Red</w:t>
      </w:r>
      <w:r w:rsidRPr="005715AC">
        <w:rPr>
          <w:i/>
          <w:iCs/>
        </w:rPr>
        <w:t xml:space="preserve">) </w:t>
      </w:r>
      <w:r w:rsidRPr="00BA11A4">
        <w:t>должен быть больше потенциала катода (E</w:t>
      </w:r>
      <w:r w:rsidR="005715AC">
        <w:rPr>
          <w:vertAlign w:val="subscript"/>
        </w:rPr>
        <w:t>К</w:t>
      </w:r>
      <w:r w:rsidRPr="00BA11A4">
        <w:t>), т.е. должно выполняться условие</w:t>
      </w:r>
      <w:r w:rsidR="003E0E1F" w:rsidRPr="003E0E1F">
        <w:t xml:space="preserve"> </w:t>
      </w:r>
      <w:r w:rsidR="003E0E1F" w:rsidRPr="004E4F36">
        <w:t>[2]</w:t>
      </w:r>
      <w:r w:rsidRPr="00BA11A4">
        <w:t>:</w:t>
      </w:r>
    </w:p>
    <w:p w14:paraId="460782B9" w14:textId="64102172" w:rsidR="00BA11A4" w:rsidRPr="00BA11A4" w:rsidRDefault="00BA11A4" w:rsidP="00BA11A4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Ox/Red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E60E784" w14:textId="27911031" w:rsidR="004E4F36" w:rsidRDefault="004E4F36" w:rsidP="004E4F36">
      <w:r>
        <w:t>Чем выше окислительная способность ионов или молекул (выше их потенциал), тем легче они восстанавливаются на катоде. Следовательно, на катоде в первую очередь будут разряжаться ионы или молекулы, имеющие более положительный окислительно-восстановительный потенциал</w:t>
      </w:r>
      <w:r w:rsidR="00240F69" w:rsidRPr="00240F69">
        <w:t xml:space="preserve"> [2]</w:t>
      </w:r>
      <w:r>
        <w:t>.</w:t>
      </w:r>
    </w:p>
    <w:p w14:paraId="669EB387" w14:textId="041D6DC0" w:rsidR="004E4F36" w:rsidRDefault="004E4F36" w:rsidP="004E4F36">
      <w:r>
        <w:t>Скорость катодного процесса при электролизе определяется величиной смещения потенциала катода от равновесного значения. Скорость процесса будет тем больше, чем сильнее смещен потенциал катода в сторону отрицательных значений</w:t>
      </w:r>
      <w:r w:rsidR="00240F69" w:rsidRPr="00240F69">
        <w:t xml:space="preserve"> [2]</w:t>
      </w:r>
      <w:r>
        <w:t>.</w:t>
      </w:r>
    </w:p>
    <w:p w14:paraId="715A368E" w14:textId="072D4E4A" w:rsidR="004E4F36" w:rsidRDefault="004E4F36" w:rsidP="004E4F36">
      <w:r>
        <w:t>На аноде происходит процесс окисления. Окислению могут подвергаться анионы, подошедшие к аноду, молекулы растворителя, сам материал анода. Вещества, которые окисляются на аноде, являются восстановителями</w:t>
      </w:r>
      <w:r w:rsidR="00240F69">
        <w:rPr>
          <w:lang w:val="en-US"/>
        </w:rPr>
        <w:t xml:space="preserve"> [2]</w:t>
      </w:r>
      <w:r>
        <w:t>.</w:t>
      </w:r>
    </w:p>
    <w:p w14:paraId="3E23CCB7" w14:textId="2CEBD0BC" w:rsidR="00AD4EEA" w:rsidRDefault="004E4F36" w:rsidP="004E4F36">
      <w:r>
        <w:t>Схема анодного процесса может быть представлена в общем виде следующей схемой:</w:t>
      </w:r>
    </w:p>
    <w:p w14:paraId="3FC3C8B5" w14:textId="30331770" w:rsidR="004E4F36" w:rsidRPr="003E0E1F" w:rsidRDefault="004E4F36" w:rsidP="004E4F36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Red-</m:t>
          </m:r>
          <m:r>
            <w:rPr>
              <w:rFonts w:ascii="Cambria Math" w:hAnsi="Cambria Math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Ox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D6B85C1" w14:textId="5397603E" w:rsidR="00AD4EEA" w:rsidRDefault="005715AC" w:rsidP="005715AC">
      <w:pPr>
        <w:ind w:firstLine="0"/>
      </w:pPr>
      <w:r>
        <w:rPr>
          <w:szCs w:val="28"/>
        </w:rPr>
        <w:lastRenderedPageBreak/>
        <w:t>Для того чтобы процесс на аноде протекал в указанном направлении, потенциал восстановителя (</w:t>
      </w:r>
      <w:r>
        <w:rPr>
          <w:i/>
          <w:iCs/>
          <w:szCs w:val="28"/>
        </w:rPr>
        <w:t>E</w:t>
      </w:r>
      <w:r>
        <w:rPr>
          <w:i/>
          <w:iCs/>
          <w:sz w:val="18"/>
          <w:szCs w:val="18"/>
        </w:rPr>
        <w:t>Ox/Red</w:t>
      </w:r>
      <w:r>
        <w:rPr>
          <w:szCs w:val="28"/>
        </w:rPr>
        <w:t>) должен быть меньше потенциа</w:t>
      </w:r>
      <w:r>
        <w:rPr>
          <w:szCs w:val="28"/>
        </w:rPr>
        <w:t xml:space="preserve">ла анода </w:t>
      </w:r>
      <w:r w:rsidRPr="00BA11A4">
        <w:t>(E</w:t>
      </w:r>
      <w:r>
        <w:rPr>
          <w:vertAlign w:val="subscript"/>
        </w:rPr>
        <w:t>А</w:t>
      </w:r>
      <w:r w:rsidRPr="00BA11A4">
        <w:t>)</w:t>
      </w:r>
      <w:r w:rsidRPr="005715AC">
        <w:t xml:space="preserve"> [2</w:t>
      </w:r>
      <w:r w:rsidRPr="00240F69">
        <w:t>]</w:t>
      </w:r>
      <w:r>
        <w:t>:</w:t>
      </w:r>
    </w:p>
    <w:p w14:paraId="218FC28B" w14:textId="59231559" w:rsidR="005715AC" w:rsidRPr="00BA11A4" w:rsidRDefault="005715AC" w:rsidP="005715AC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Ox/Red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05E321E" w14:textId="0C9D27E1" w:rsidR="005715AC" w:rsidRDefault="005715AC" w:rsidP="005715AC">
      <w:r>
        <w:t>Чем выше восстановительная способность вещества (ниже его потенциал), тем легче оно окисляется на аноде. Поэтому на аноде в первую очередь разряжаются ионы или молекулы, имеющие более отрицательный окислительно-восстановительный потенциал</w:t>
      </w:r>
      <w:r w:rsidRPr="005715AC">
        <w:t xml:space="preserve"> [2]</w:t>
      </w:r>
      <w:r>
        <w:t>.</w:t>
      </w:r>
    </w:p>
    <w:p w14:paraId="1D009D2D" w14:textId="6586EBE3" w:rsidR="005715AC" w:rsidRPr="005715AC" w:rsidRDefault="005715AC" w:rsidP="005715AC">
      <w:r>
        <w:t>От того, насколько смещен потенциал анода от равновесного значения, зависит и скорость анодного процесса. Скорость анодного процесса будет тем больше, чем сильнее смещен потенциал анода в область положительных значений</w:t>
      </w:r>
      <w:r w:rsidRPr="005715AC">
        <w:t xml:space="preserve"> [2]</w:t>
      </w:r>
      <w:r>
        <w:t>.</w:t>
      </w:r>
    </w:p>
    <w:p w14:paraId="253ABDA8" w14:textId="79C91EB0" w:rsidR="00AD4EEA" w:rsidRDefault="00FF42A1" w:rsidP="00FF42A1">
      <w:pPr>
        <w:pStyle w:val="2"/>
      </w:pPr>
      <w:r>
        <w:t>1.2 Природа электрохромизма</w:t>
      </w:r>
    </w:p>
    <w:p w14:paraId="33AB3FFF" w14:textId="6129D9A6" w:rsidR="00A218A4" w:rsidRPr="00A218A4" w:rsidRDefault="00F85CB9" w:rsidP="00A218A4">
      <w:r>
        <w:t>В химии, х</w:t>
      </w:r>
      <w:r w:rsidR="00A218A4">
        <w:t xml:space="preserve">ромизм </w:t>
      </w:r>
      <w:r w:rsidR="00A218A4">
        <w:t xml:space="preserve">– это </w:t>
      </w:r>
      <w:r w:rsidR="00A218A4">
        <w:t>явление обратимого изменения оптических свойств</w:t>
      </w:r>
      <w:r w:rsidR="00A218A4">
        <w:t xml:space="preserve"> </w:t>
      </w:r>
      <w:r w:rsidR="00A218A4">
        <w:t>материала (светопропускания, цвета)</w:t>
      </w:r>
      <w:r>
        <w:t xml:space="preserve"> </w:t>
      </w:r>
      <w:r w:rsidR="00A218A4" w:rsidRPr="00A218A4">
        <w:t>[1</w:t>
      </w:r>
      <w:r>
        <w:t>, 4</w:t>
      </w:r>
      <w:r w:rsidR="00A218A4" w:rsidRPr="004D35B7">
        <w:t>]</w:t>
      </w:r>
      <w:r w:rsidR="00A218A4">
        <w:t>.</w:t>
      </w:r>
    </w:p>
    <w:p w14:paraId="22E58522" w14:textId="545BE29F" w:rsidR="00FF42A1" w:rsidRDefault="00253AC0" w:rsidP="00253AC0">
      <w:r>
        <w:t>В большинстве случаев хромизм основан на изменении электронных состояний молекул, в частности p- и d-</w:t>
      </w:r>
      <w:r w:rsidR="00CC6BBC">
        <w:t xml:space="preserve"> </w:t>
      </w:r>
      <w:r>
        <w:t xml:space="preserve">электронные состояния. Это явление вызывается различными внешними воздействиями, которые могут изменить электронную </w:t>
      </w:r>
      <w:r w:rsidR="0077774B">
        <w:t>структуру</w:t>
      </w:r>
      <w:r>
        <w:t xml:space="preserve"> вещества.</w:t>
      </w:r>
      <w:r>
        <w:t xml:space="preserve"> </w:t>
      </w:r>
      <w:r w:rsidR="00095665" w:rsidRPr="000468DE">
        <w:rPr>
          <w:u w:val="single"/>
        </w:rPr>
        <w:t>Э</w:t>
      </w:r>
      <w:r w:rsidRPr="000468DE">
        <w:rPr>
          <w:u w:val="single"/>
        </w:rPr>
        <w:t>лектрохромизм</w:t>
      </w:r>
      <w:r>
        <w:t xml:space="preserve"> вызван индуцированием и потерей электронов. Это явление имеет место</w:t>
      </w:r>
      <w:r>
        <w:t xml:space="preserve"> </w:t>
      </w:r>
      <w:r>
        <w:t>в соединениях с окислительно-восстановительными активными состояниями</w:t>
      </w:r>
      <w:r>
        <w:t xml:space="preserve"> </w:t>
      </w:r>
      <w:r w:rsidRPr="00253AC0">
        <w:t>[4]</w:t>
      </w:r>
      <w:r>
        <w:t>.</w:t>
      </w:r>
    </w:p>
    <w:p w14:paraId="4803B249" w14:textId="51AF9C99" w:rsidR="00612C39" w:rsidRDefault="008260C4" w:rsidP="00A3306D">
      <w:r w:rsidRPr="008260C4">
        <w:t>Ту часть молекулярной системы, которая ответственна за передачу цвета, называют хромофором</w:t>
      </w:r>
      <w:r w:rsidR="009859B2">
        <w:t xml:space="preserve"> </w:t>
      </w:r>
      <w:r w:rsidR="009859B2" w:rsidRPr="009859B2">
        <w:t>[4</w:t>
      </w:r>
      <w:r w:rsidR="009859B2">
        <w:rPr>
          <w:lang w:val="en-US"/>
        </w:rPr>
        <w:t>]</w:t>
      </w:r>
      <w:r w:rsidRPr="008260C4">
        <w:t xml:space="preserve">. </w:t>
      </w:r>
      <w:r w:rsidR="00953680">
        <w:t xml:space="preserve">Изменения оптических свойств электрохромного материала </w:t>
      </w:r>
      <w:r w:rsidR="00741BB5">
        <w:t>связано с изменением поглощения на определённых длинах волн.</w:t>
      </w:r>
    </w:p>
    <w:p w14:paraId="33EF5036" w14:textId="5E7EA32E" w:rsidR="00AD4EEA" w:rsidRDefault="008260C4" w:rsidP="00A3306D">
      <w:r w:rsidRPr="008260C4">
        <w:t xml:space="preserve">Поглощению света способствуют электроны, которые </w:t>
      </w:r>
      <w:r w:rsidR="004F2492">
        <w:t>в результате изменения электронной структуры молекул получают возможность перемещаться между</w:t>
      </w:r>
      <w:r w:rsidRPr="008260C4">
        <w:t xml:space="preserve"> энергетическими уровнями, такими как основное и первое возбужденное состояния</w:t>
      </w:r>
      <w:r w:rsidR="0041372A">
        <w:t xml:space="preserve"> за счёт поглощения фотонов определённой длины волны</w:t>
      </w:r>
      <w:r w:rsidRPr="008260C4">
        <w:t xml:space="preserve">. Длина волны поглощенного света λ связана с величиной </w:t>
      </w:r>
      <w:r w:rsidRPr="008260C4">
        <w:lastRenderedPageBreak/>
        <w:t>запрещенной зоны E между этими уровнями согласно соотношению Планка</w:t>
      </w:r>
      <w:r w:rsidR="009D35C2">
        <w:t xml:space="preserve"> </w:t>
      </w:r>
      <w:r w:rsidR="009D35C2">
        <w:rPr>
          <w:lang w:val="en-US"/>
        </w:rPr>
        <w:t>[4]</w:t>
      </w:r>
      <w:r w:rsidRPr="008260C4">
        <w:t>:</w:t>
      </w:r>
    </w:p>
    <w:p w14:paraId="20489609" w14:textId="62EC4356" w:rsidR="00C95725" w:rsidRPr="00C95725" w:rsidRDefault="008260C4" w:rsidP="008260C4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E=hv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CE0217F" w14:textId="490D6181" w:rsidR="00C95725" w:rsidRPr="00C95725" w:rsidRDefault="00C95725" w:rsidP="008260C4">
      <w:pPr>
        <w:ind w:firstLine="0"/>
        <w:rPr>
          <w:iCs/>
        </w:rPr>
      </w:pPr>
      <w:r w:rsidRPr="00C95725">
        <w:rPr>
          <w:iCs/>
        </w:rPr>
        <w:t xml:space="preserve">где </w:t>
      </w:r>
      <w:r w:rsidRPr="00C95725">
        <w:rPr>
          <w:i/>
        </w:rPr>
        <w:t>ν</w:t>
      </w:r>
      <w:r w:rsidRPr="00C95725">
        <w:rPr>
          <w:iCs/>
        </w:rPr>
        <w:t xml:space="preserve"> – частота, </w:t>
      </w:r>
      <w:r w:rsidRPr="00C95725">
        <w:rPr>
          <w:i/>
        </w:rPr>
        <w:t>h</w:t>
      </w:r>
      <w:r w:rsidRPr="00C95725">
        <w:rPr>
          <w:iCs/>
        </w:rPr>
        <w:t xml:space="preserve"> – постоянная Планка и </w:t>
      </w:r>
      <w:r w:rsidRPr="00C95725">
        <w:rPr>
          <w:i/>
        </w:rPr>
        <w:t>c</w:t>
      </w:r>
      <w:r w:rsidRPr="00C95725">
        <w:rPr>
          <w:iCs/>
        </w:rPr>
        <w:t xml:space="preserve"> – скорость света в вакууме.</w:t>
      </w:r>
    </w:p>
    <w:p w14:paraId="57DE91C5" w14:textId="4BE11439" w:rsidR="00DC42C7" w:rsidRDefault="00F361FC" w:rsidP="00DC42C7">
      <w:r>
        <w:t xml:space="preserve">В случае </w:t>
      </w:r>
      <w:r>
        <w:rPr>
          <w:lang w:val="en-US"/>
        </w:rPr>
        <w:t>NiO</w:t>
      </w:r>
      <w:r w:rsidR="00DC42C7">
        <w:t xml:space="preserve"> наблюдают переход никеля из состояния </w:t>
      </w:r>
      <w:r w:rsidR="00DC42C7">
        <w:rPr>
          <w:lang w:val="en-US"/>
        </w:rPr>
        <w:t>Ni</w:t>
      </w:r>
      <w:r w:rsidR="00DC42C7" w:rsidRPr="00DC42C7">
        <w:rPr>
          <w:vertAlign w:val="superscript"/>
        </w:rPr>
        <w:t xml:space="preserve">2+ </w:t>
      </w:r>
      <w:r w:rsidR="00DC42C7">
        <w:t xml:space="preserve">в </w:t>
      </w:r>
      <w:r w:rsidR="00DC42C7">
        <w:rPr>
          <w:lang w:val="en-US"/>
        </w:rPr>
        <w:t>Ni</w:t>
      </w:r>
      <w:r w:rsidR="00DC42C7" w:rsidRPr="00DC42C7">
        <w:rPr>
          <w:vertAlign w:val="superscript"/>
        </w:rPr>
        <w:t>3+</w:t>
      </w:r>
      <w:r w:rsidR="00DC42C7" w:rsidRPr="00DC42C7">
        <w:t>:</w:t>
      </w:r>
    </w:p>
    <w:p w14:paraId="14D19CA3" w14:textId="189B288B" w:rsidR="00DC42C7" w:rsidRPr="00DC42C7" w:rsidRDefault="00DC42C7" w:rsidP="00DC42C7">
      <w:r w:rsidRPr="005B09D5">
        <w:rPr>
          <w:highlight w:val="yellow"/>
        </w:rPr>
        <w:t>Привести реакции из статей и книжек</w:t>
      </w:r>
    </w:p>
    <w:p w14:paraId="1A05DFB0" w14:textId="6E63258C" w:rsidR="00AD4EEA" w:rsidRDefault="00AD4EEA" w:rsidP="00A3306D"/>
    <w:p w14:paraId="6CA4580E" w14:textId="77D2F603" w:rsidR="00AD4EEA" w:rsidRDefault="00AD4EEA" w:rsidP="00A3306D"/>
    <w:p w14:paraId="7334C4B4" w14:textId="4A6B11B8" w:rsidR="00AD4EEA" w:rsidRDefault="00AD4EEA" w:rsidP="00A3306D"/>
    <w:p w14:paraId="0893A214" w14:textId="22BD91C4" w:rsidR="00AD4EEA" w:rsidRDefault="00AD4EEA" w:rsidP="00A3306D"/>
    <w:p w14:paraId="5D8DBE07" w14:textId="21C00ABB" w:rsidR="00AD4EEA" w:rsidRDefault="00AD4EEA" w:rsidP="00A3306D"/>
    <w:p w14:paraId="5F6868E5" w14:textId="438D058A" w:rsidR="00AD4EEA" w:rsidRDefault="00AD4EEA" w:rsidP="00A3306D"/>
    <w:p w14:paraId="141A4BA3" w14:textId="4FD47126" w:rsidR="00AD4EEA" w:rsidRDefault="00AD4EEA" w:rsidP="00A3306D"/>
    <w:p w14:paraId="24059CD7" w14:textId="065EBC60" w:rsidR="00AD4EEA" w:rsidRDefault="00AD4EEA" w:rsidP="00A3306D"/>
    <w:p w14:paraId="7B6D614C" w14:textId="2E3AAA2E" w:rsidR="00AD4EEA" w:rsidRDefault="00AD4EEA" w:rsidP="00A3306D"/>
    <w:p w14:paraId="1B9F6D12" w14:textId="4E281485" w:rsidR="00AD4EEA" w:rsidRDefault="00AD4EEA" w:rsidP="00A3306D"/>
    <w:p w14:paraId="72A80901" w14:textId="336E71A3" w:rsidR="00AD4EEA" w:rsidRDefault="00AD4EEA" w:rsidP="00A3306D"/>
    <w:p w14:paraId="2F0A40E0" w14:textId="37678FDE" w:rsidR="00AD4EEA" w:rsidRDefault="00AD4EEA" w:rsidP="00A3306D"/>
    <w:p w14:paraId="1B06FDDC" w14:textId="76459BF6" w:rsidR="00AD4EEA" w:rsidRDefault="00AD4EEA" w:rsidP="00A3306D"/>
    <w:p w14:paraId="677D31AA" w14:textId="48E725FE" w:rsidR="00AD4EEA" w:rsidRDefault="00AD4EEA" w:rsidP="00A3306D"/>
    <w:p w14:paraId="66A955F1" w14:textId="0952E222" w:rsidR="00AD4EEA" w:rsidRDefault="00AD4EEA" w:rsidP="00A3306D"/>
    <w:p w14:paraId="4BB9F530" w14:textId="38000D2D" w:rsidR="00AD4EEA" w:rsidRDefault="00AD4EEA" w:rsidP="00A3306D"/>
    <w:p w14:paraId="75064FE9" w14:textId="0E349250" w:rsidR="00AD4EEA" w:rsidRDefault="00AD4EEA" w:rsidP="00A3306D"/>
    <w:p w14:paraId="11DDB380" w14:textId="013BDDF7" w:rsidR="00AD4EEA" w:rsidRDefault="00AD4EEA" w:rsidP="00A3306D"/>
    <w:p w14:paraId="70BF0380" w14:textId="6AF63D3C" w:rsidR="00AD4EEA" w:rsidRDefault="00AD4EEA" w:rsidP="00A3306D"/>
    <w:p w14:paraId="03981638" w14:textId="7C9919B6" w:rsidR="00AD4EEA" w:rsidRDefault="00AD4EEA" w:rsidP="00A3306D"/>
    <w:p w14:paraId="187C643D" w14:textId="771E3B38" w:rsidR="00AD4EEA" w:rsidRDefault="00AD4EEA" w:rsidP="00A3306D"/>
    <w:p w14:paraId="5DD2C2FC" w14:textId="798F3042" w:rsidR="00AD4EEA" w:rsidRDefault="00AD4EEA" w:rsidP="00A3306D"/>
    <w:p w14:paraId="053B57B4" w14:textId="50A05474" w:rsidR="00AD4EEA" w:rsidRDefault="00AD4EEA" w:rsidP="00A3306D"/>
    <w:p w14:paraId="31D4CB98" w14:textId="4B935DCF" w:rsidR="00AD4EEA" w:rsidRDefault="00AD4EEA" w:rsidP="00A3306D"/>
    <w:p w14:paraId="6F82B500" w14:textId="0466A2EF" w:rsidR="00AD4EEA" w:rsidRDefault="00AD4EEA" w:rsidP="00A3306D"/>
    <w:p w14:paraId="70856DE2" w14:textId="37243371" w:rsidR="00AD4EEA" w:rsidRDefault="00AD4EEA" w:rsidP="00A3306D">
      <w:r>
        <w:t>Список источников</w:t>
      </w:r>
    </w:p>
    <w:p w14:paraId="02D647F4" w14:textId="7D618C37" w:rsidR="00AD4EEA" w:rsidRDefault="00AD4EEA" w:rsidP="00AD4EEA">
      <w:pPr>
        <w:pStyle w:val="a3"/>
        <w:numPr>
          <w:ilvl w:val="0"/>
          <w:numId w:val="1"/>
        </w:numPr>
      </w:pPr>
      <w:r>
        <w:t>Жаковлева дисс</w:t>
      </w:r>
    </w:p>
    <w:p w14:paraId="1AD379BE" w14:textId="5D8E5C0A" w:rsidR="00AD4EEA" w:rsidRPr="003F1E49" w:rsidRDefault="003F1E49" w:rsidP="003F1E49">
      <w:pPr>
        <w:pStyle w:val="a3"/>
        <w:numPr>
          <w:ilvl w:val="0"/>
          <w:numId w:val="1"/>
        </w:numPr>
        <w:rPr>
          <w:lang w:val="en-US"/>
        </w:rPr>
      </w:pPr>
      <w:r>
        <w:t>Основы эх методов</w:t>
      </w:r>
    </w:p>
    <w:p w14:paraId="396DCB78" w14:textId="1D47F967" w:rsidR="003F1E49" w:rsidRPr="00253AC0" w:rsidRDefault="003F1E49" w:rsidP="003F1E49">
      <w:pPr>
        <w:pStyle w:val="a3"/>
        <w:numPr>
          <w:ilvl w:val="0"/>
          <w:numId w:val="1"/>
        </w:numPr>
        <w:rPr>
          <w:lang w:val="en-US"/>
        </w:rPr>
      </w:pPr>
      <w:r>
        <w:t>Нечаев основы эх</w:t>
      </w:r>
    </w:p>
    <w:p w14:paraId="6D37B557" w14:textId="49938D7A" w:rsidR="00253AC0" w:rsidRPr="003F1E49" w:rsidRDefault="00253AC0" w:rsidP="003F1E49">
      <w:pPr>
        <w:pStyle w:val="a3"/>
        <w:numPr>
          <w:ilvl w:val="0"/>
          <w:numId w:val="1"/>
        </w:numPr>
        <w:rPr>
          <w:lang w:val="en-US"/>
        </w:rPr>
      </w:pPr>
      <w:r>
        <w:t>Электронные оксидные материалы</w:t>
      </w:r>
    </w:p>
    <w:p w14:paraId="0D831719" w14:textId="7919CB3B" w:rsidR="00AD4EEA" w:rsidRDefault="00AD4EEA" w:rsidP="00A3306D"/>
    <w:p w14:paraId="6D969CA1" w14:textId="4603B29E" w:rsidR="00AD4EEA" w:rsidRDefault="00AD4EEA" w:rsidP="00A3306D"/>
    <w:p w14:paraId="16E8210E" w14:textId="6248DEC4" w:rsidR="00AD4EEA" w:rsidRDefault="00AD4EEA" w:rsidP="00A3306D"/>
    <w:p w14:paraId="2096E663" w14:textId="58112DFE" w:rsidR="00AD4EEA" w:rsidRDefault="00AD4EEA" w:rsidP="00A3306D"/>
    <w:p w14:paraId="261E54CC" w14:textId="77777777" w:rsidR="00AD4EEA" w:rsidRPr="00135941" w:rsidRDefault="00AD4EEA" w:rsidP="00A3306D"/>
    <w:sectPr w:rsidR="00AD4EEA" w:rsidRPr="00135941" w:rsidSect="002D5E8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C66C" w14:textId="77777777" w:rsidR="00DD4B9A" w:rsidRDefault="00DD4B9A" w:rsidP="002D5E8D">
      <w:pPr>
        <w:spacing w:line="240" w:lineRule="auto"/>
      </w:pPr>
      <w:r>
        <w:separator/>
      </w:r>
    </w:p>
  </w:endnote>
  <w:endnote w:type="continuationSeparator" w:id="0">
    <w:p w14:paraId="09CD0505" w14:textId="77777777" w:rsidR="00DD4B9A" w:rsidRDefault="00DD4B9A" w:rsidP="002D5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544873"/>
      <w:docPartObj>
        <w:docPartGallery w:val="Page Numbers (Bottom of Page)"/>
        <w:docPartUnique/>
      </w:docPartObj>
    </w:sdtPr>
    <w:sdtContent>
      <w:p w14:paraId="329E424F" w14:textId="61E07DF3" w:rsidR="002D5E8D" w:rsidRDefault="002D5E8D" w:rsidP="002D5E8D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5E38" w14:textId="77777777" w:rsidR="00DD4B9A" w:rsidRDefault="00DD4B9A" w:rsidP="002D5E8D">
      <w:pPr>
        <w:spacing w:line="240" w:lineRule="auto"/>
      </w:pPr>
      <w:r>
        <w:separator/>
      </w:r>
    </w:p>
  </w:footnote>
  <w:footnote w:type="continuationSeparator" w:id="0">
    <w:p w14:paraId="62E01AE8" w14:textId="77777777" w:rsidR="00DD4B9A" w:rsidRDefault="00DD4B9A" w:rsidP="002D5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430A"/>
    <w:multiLevelType w:val="hybridMultilevel"/>
    <w:tmpl w:val="272ACF00"/>
    <w:lvl w:ilvl="0" w:tplc="5DBC5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A0"/>
    <w:rsid w:val="00000FD3"/>
    <w:rsid w:val="000468DE"/>
    <w:rsid w:val="00054B59"/>
    <w:rsid w:val="000827A4"/>
    <w:rsid w:val="00095665"/>
    <w:rsid w:val="000A71D2"/>
    <w:rsid w:val="00135941"/>
    <w:rsid w:val="00240F69"/>
    <w:rsid w:val="00253AC0"/>
    <w:rsid w:val="0028103B"/>
    <w:rsid w:val="002A34C2"/>
    <w:rsid w:val="002D5E8D"/>
    <w:rsid w:val="00376E68"/>
    <w:rsid w:val="003E0E1F"/>
    <w:rsid w:val="003F1E49"/>
    <w:rsid w:val="0041372A"/>
    <w:rsid w:val="004D35B7"/>
    <w:rsid w:val="004E4F36"/>
    <w:rsid w:val="004F2492"/>
    <w:rsid w:val="004F2EDB"/>
    <w:rsid w:val="004F64A0"/>
    <w:rsid w:val="005151E3"/>
    <w:rsid w:val="005715AC"/>
    <w:rsid w:val="005B09D5"/>
    <w:rsid w:val="00612C39"/>
    <w:rsid w:val="00626727"/>
    <w:rsid w:val="00741BB5"/>
    <w:rsid w:val="0077774B"/>
    <w:rsid w:val="00792D60"/>
    <w:rsid w:val="007E53A0"/>
    <w:rsid w:val="007F1CB7"/>
    <w:rsid w:val="007F5265"/>
    <w:rsid w:val="008260C4"/>
    <w:rsid w:val="008757F8"/>
    <w:rsid w:val="008B1ACC"/>
    <w:rsid w:val="008C6CBA"/>
    <w:rsid w:val="00953680"/>
    <w:rsid w:val="009859B2"/>
    <w:rsid w:val="009C21EF"/>
    <w:rsid w:val="009C4BE0"/>
    <w:rsid w:val="009D35C2"/>
    <w:rsid w:val="009E0F17"/>
    <w:rsid w:val="00A218A4"/>
    <w:rsid w:val="00A3306D"/>
    <w:rsid w:val="00A46C4F"/>
    <w:rsid w:val="00A76AEF"/>
    <w:rsid w:val="00A979ED"/>
    <w:rsid w:val="00AC1B1A"/>
    <w:rsid w:val="00AD4EEA"/>
    <w:rsid w:val="00B359BC"/>
    <w:rsid w:val="00BA11A4"/>
    <w:rsid w:val="00C245C9"/>
    <w:rsid w:val="00C95725"/>
    <w:rsid w:val="00CC6BBC"/>
    <w:rsid w:val="00DC1D77"/>
    <w:rsid w:val="00DC42C7"/>
    <w:rsid w:val="00DD4B9A"/>
    <w:rsid w:val="00E3400E"/>
    <w:rsid w:val="00F361FC"/>
    <w:rsid w:val="00F85CB9"/>
    <w:rsid w:val="00FF42A1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E1E1"/>
  <w15:chartTrackingRefBased/>
  <w15:docId w15:val="{8D43F6CC-4D66-49BA-9ABD-77555C7A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5AC"/>
    <w:pPr>
      <w:spacing w:after="0" w:line="360" w:lineRule="auto"/>
      <w:ind w:firstLine="567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E8D"/>
    <w:pPr>
      <w:pageBreakBefore/>
      <w:ind w:firstLine="0"/>
      <w:jc w:val="center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8757F8"/>
    <w:pPr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EA"/>
    <w:pPr>
      <w:ind w:left="720"/>
      <w:contextualSpacing/>
    </w:pPr>
  </w:style>
  <w:style w:type="paragraph" w:customStyle="1" w:styleId="Default">
    <w:name w:val="Default"/>
    <w:rsid w:val="00515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5151E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757F8"/>
    <w:rPr>
      <w:rFonts w:ascii="Times New Roman" w:eastAsia="Calibri" w:hAnsi="Times New Roman" w:cs="Calibri"/>
      <w:b/>
      <w:bCs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E8D"/>
    <w:rPr>
      <w:rFonts w:ascii="Times New Roman" w:eastAsia="Calibri" w:hAnsi="Times New Roman" w:cs="Calibri"/>
      <w:caps/>
      <w:sz w:val="28"/>
      <w:lang w:eastAsia="ru-RU"/>
    </w:rPr>
  </w:style>
  <w:style w:type="paragraph" w:styleId="a5">
    <w:name w:val="header"/>
    <w:basedOn w:val="a"/>
    <w:link w:val="a6"/>
    <w:uiPriority w:val="99"/>
    <w:unhideWhenUsed/>
    <w:rsid w:val="002D5E8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E8D"/>
    <w:rPr>
      <w:rFonts w:ascii="Times New Roman" w:eastAsia="Calibri" w:hAnsi="Times New Roman" w:cs="Calibri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2D5E8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E8D"/>
    <w:rPr>
      <w:rFonts w:ascii="Times New Roman" w:eastAsia="Calibri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Павел</dc:creator>
  <cp:keywords/>
  <dc:description/>
  <cp:lastModifiedBy>Жуков Павел</cp:lastModifiedBy>
  <cp:revision>6</cp:revision>
  <dcterms:created xsi:type="dcterms:W3CDTF">2024-01-17T12:02:00Z</dcterms:created>
  <dcterms:modified xsi:type="dcterms:W3CDTF">2024-01-17T21:42:00Z</dcterms:modified>
</cp:coreProperties>
</file>