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3" w:before="113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____________________________________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DNI</w:t>
      </w:r>
      <w:r w:rsidDel="00000000" w:rsidR="00000000" w:rsidRPr="00000000">
        <w:rPr>
          <w:sz w:val="24"/>
          <w:szCs w:val="24"/>
          <w:rtl w:val="0"/>
        </w:rPr>
        <w:t xml:space="preserve">:_______________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3" w:before="113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</w:t>
      </w:r>
      <w:r w:rsidDel="00000000" w:rsidR="00000000" w:rsidRPr="00000000">
        <w:rPr>
          <w:sz w:val="24"/>
          <w:szCs w:val="24"/>
          <w:rtl w:val="0"/>
        </w:rPr>
        <w:t xml:space="preserve">: Diseño de Interfaces Web, DAW2V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</w:t>
      </w:r>
      <w:r w:rsidDel="00000000" w:rsidR="00000000" w:rsidRPr="00000000">
        <w:rPr>
          <w:sz w:val="24"/>
          <w:szCs w:val="24"/>
          <w:rtl w:val="0"/>
        </w:rPr>
        <w:t xml:space="preserve">: __/__/2025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3" w:before="113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13" w:before="113" w:line="240" w:lineRule="auto"/>
        <w:jc w:val="both"/>
        <w:rPr/>
      </w:pPr>
      <w:r w:rsidDel="00000000" w:rsidR="00000000" w:rsidRPr="00000000">
        <w:rPr>
          <w:rtl w:val="0"/>
        </w:rPr>
        <w:t xml:space="preserve">Ayuda para preparar el examen: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113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Existen tests de múltiples respuestas en Moodle para practicar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113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NotebookLM con los apuntes para generar preguntas cortas con los apuntes</w:t>
      </w:r>
    </w:p>
    <w:p w:rsidR="00000000" w:rsidDel="00000000" w:rsidP="00000000" w:rsidRDefault="00000000" w:rsidRPr="00000000" w14:paraId="00000007">
      <w:pPr>
        <w:spacing w:after="113" w:before="113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13" w:before="113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UD1. Planificación y diseño de interfaces. HTML5 (RA1)</w:t>
      </w:r>
    </w:p>
    <w:p w:rsidR="00000000" w:rsidDel="00000000" w:rsidP="00000000" w:rsidRDefault="00000000" w:rsidRPr="00000000" w14:paraId="00000009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negocio y preguntas relacionadas con html5, planificación y diseño de interfaces. Similar a lo hecho en las prácticas.</w:t>
      </w:r>
    </w:p>
    <w:p w:rsidR="00000000" w:rsidDel="00000000" w:rsidP="00000000" w:rsidRDefault="00000000" w:rsidRPr="00000000" w14:paraId="0000000A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13" w:before="113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UD3. Unidad 3: Elementos multimedia en la Web (RA3)</w:t>
      </w:r>
    </w:p>
    <w:p w:rsidR="00000000" w:rsidDel="00000000" w:rsidP="00000000" w:rsidRDefault="00000000" w:rsidRPr="00000000" w14:paraId="0000000C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Preguntas tipo tests, cortas y algún ejercicio sencillo con GIMP, Audacity u Shotcut/OpenShot.</w:t>
      </w:r>
    </w:p>
    <w:p w:rsidR="00000000" w:rsidDel="00000000" w:rsidP="00000000" w:rsidRDefault="00000000" w:rsidRPr="00000000" w14:paraId="0000000D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13" w:before="113"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Ejemplo preguntas cortas: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bzf3pwojtn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Explica qué es una licencia Creative Commons y menciona dos tipos con sus restricciones.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xtk3q3sbwb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Diferencia entre PNG, GIF y WebP. ¿En qué caso elegirías cada uno?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e8t6y6xdvc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Nombra tres herramientas para generar contenido multimedia y describe brevemente su utilidad.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4vls1kqh1i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(d) ¿Qué es un mapa de bits? ¿Qué problema presenta al escalarlo?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h4ctssa3a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(e) Indica dos operaciones básicas que pueden realizarse en Audacity para editar audio.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bzw3vjajp4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(f) Define qué es un sprite y cómo se utiliza para crear animaciones.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tat74qalrf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(g) Explica la diferencia entre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guardar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exportar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una imagen en un editor como GIMP.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j1vcwavkie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(h) ¿Qué elementos deben mantenerse para respetar una guía de estilo corporativa?</w:t>
      </w:r>
    </w:p>
    <w:p w:rsidR="00000000" w:rsidDel="00000000" w:rsidP="00000000" w:rsidRDefault="00000000" w:rsidRPr="00000000" w14:paraId="00000017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wcwgc7d4rir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Licencias y derechos de autor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qué significa que un contenido esté en “dominio público” y cómo afecta a su uso en la web.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diferencia hay entre una licencia CC-BY y una CC-BY-NC en cuanto a los permisos de uso?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Indica dos razones por las que no se deben usar imágenes encontradas en Google sin revisar su licencia.</w:t>
        <w:br w:type="textWrapping"/>
      </w:r>
    </w:p>
    <w:p w:rsidR="00000000" w:rsidDel="00000000" w:rsidP="00000000" w:rsidRDefault="00000000" w:rsidRPr="00000000" w14:paraId="0000001E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xkhxzwfcugg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Formatos de imagen, audio y vídeo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¿Por qué no es adecuado utilizar JPEG para gráficos con colores planos o texto?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cuándo elegirías el formato WebP en lugar de PNG.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diferencia hay entre un formato de contenedor y un códec? Pon un ejemplo de cada uno.</w:t>
        <w:br w:type="textWrapping"/>
      </w:r>
    </w:p>
    <w:p w:rsidR="00000000" w:rsidDel="00000000" w:rsidP="00000000" w:rsidRDefault="00000000" w:rsidRPr="00000000" w14:paraId="00000023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6n1sldngtrt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Herramientas para generar contenido multimedia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Menciona dos herramientas diferentes para creación de contenido multimedia y explica para qué sirve cada una.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¿Por qué es útil que un editor de vídeo permita exportar en múltiples formatos?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una ventaja de utilizar software libre como Inkscape o GIMP en un entorno educativo o profesional.</w:t>
        <w:br w:type="textWrapping"/>
      </w:r>
    </w:p>
    <w:p w:rsidR="00000000" w:rsidDel="00000000" w:rsidP="00000000" w:rsidRDefault="00000000" w:rsidRPr="00000000" w14:paraId="00000028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d4z3d5oyxp7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Tratamiento digital de la imagen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es el “histograma” de una imagen y para qué sirve al editar fotografías?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Describe el proceso básico para aplicar un recorte preciso en un editor como GIMP.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¿Por qué es recomendable trabajar con capas al editar imágenes?</w:t>
        <w:br w:type="textWrapping"/>
      </w:r>
    </w:p>
    <w:p w:rsidR="00000000" w:rsidDel="00000000" w:rsidP="00000000" w:rsidRDefault="00000000" w:rsidRPr="00000000" w14:paraId="0000002D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g190ipbnvbw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Manipulación de audio y vídeo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cómo se puede eliminar el ruido de fondo en un archivo de audio utilizando Audacity.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significa “normalizar” un audio y en qué situación se utiliza?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Indica dos tareas básicas que se pueden realizar al editar vídeo para web.</w:t>
        <w:br w:type="textWrapping"/>
      </w:r>
    </w:p>
    <w:p w:rsidR="00000000" w:rsidDel="00000000" w:rsidP="00000000" w:rsidRDefault="00000000" w:rsidRPr="00000000" w14:paraId="00000032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jvr55pc5s3x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Animaciones a partir de imágenes fijas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 brevemente qué es una animación cuadro a cuadro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frame-by-frame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papel juega la tasa de fotogramas (FPS) en la suavidad de una animación?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cómo se genera una animación simple a partir de un spritesheet.</w:t>
        <w:br w:type="textWrapping"/>
      </w:r>
    </w:p>
    <w:p w:rsidR="00000000" w:rsidDel="00000000" w:rsidP="00000000" w:rsidRDefault="00000000" w:rsidRPr="00000000" w14:paraId="00000037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fp1mutw2egm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g) Importación y exportación en diversos formatos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¿Por qué conviene exportar un logotipo vectorial en varios tamaños de PNG antes de usarlo en la web?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qué significa perder metadatos al convertir una imagen entre formatos.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factores tienes en cuenta para elegir el formato adecuado al exportar una imagen para la web?</w:t>
        <w:br w:type="textWrapping"/>
      </w:r>
    </w:p>
    <w:p w:rsidR="00000000" w:rsidDel="00000000" w:rsidP="00000000" w:rsidRDefault="00000000" w:rsidRPr="00000000" w14:paraId="0000003C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j8s9ozgwmjr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h) Aplicación de la guía de estilo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cómo influye la guía de estilo en la elección de iconos y colores para una web.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¿Por qué es importante respetar las proporciones y márgenes al adaptar imágenes a diferentes dispositivos?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Describe un ejemplo de incoherencia visual que podría producirse si no se sigue la guía de estilo en un proyecto multimedia.</w:t>
        <w:br w:type="textWrapping"/>
      </w:r>
    </w:p>
    <w:p w:rsidR="00000000" w:rsidDel="00000000" w:rsidP="00000000" w:rsidRDefault="00000000" w:rsidRPr="00000000" w14:paraId="00000041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13" w:before="113"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13" w:before="113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26.7716535433071" w:footer="226.771653543307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tabs>
        <w:tab w:val="center" w:leader="none" w:pos="4819"/>
        <w:tab w:val="right" w:leader="none" w:pos="9638"/>
      </w:tabs>
      <w:spacing w:after="113" w:before="113" w:line="240" w:lineRule="auto"/>
      <w:jc w:val="both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456372" cy="76383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6372" cy="7638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  <w:rtl w:val="0"/>
      </w:rPr>
      <w:t xml:space="preserve">                                                       </w:t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863532" cy="58666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3532" cy="5866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