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D25E2" w14:textId="69FE3C8B" w:rsidR="001B4175" w:rsidRPr="001B4175" w:rsidRDefault="001B4175" w:rsidP="001B4175">
      <w:pPr>
        <w:pStyle w:val="Heading1"/>
        <w:rPr>
          <w:rFonts w:ascii="Times New Roman" w:hAnsi="Times New Roman" w:cs="Times New Roman"/>
          <w:b/>
          <w:bCs/>
          <w:color w:val="auto"/>
          <w:sz w:val="24"/>
          <w:szCs w:val="24"/>
        </w:rPr>
      </w:pPr>
      <w:r w:rsidRPr="001B4175">
        <w:rPr>
          <w:rFonts w:ascii="Times New Roman" w:hAnsi="Times New Roman" w:cs="Times New Roman"/>
          <w:b/>
          <w:bCs/>
          <w:color w:val="auto"/>
          <w:sz w:val="24"/>
          <w:szCs w:val="24"/>
        </w:rPr>
        <w:t>Michael Ofosu Antw</w:t>
      </w:r>
      <w:r w:rsidRPr="001B4175">
        <w:rPr>
          <w:rFonts w:ascii="Times New Roman" w:hAnsi="Times New Roman" w:cs="Times New Roman"/>
          <w:b/>
          <w:bCs/>
          <w:color w:val="auto"/>
          <w:sz w:val="24"/>
          <w:szCs w:val="24"/>
        </w:rPr>
        <w:t>i: Final</w:t>
      </w:r>
      <w:r w:rsidRPr="001B4175">
        <w:rPr>
          <w:rFonts w:ascii="Times New Roman" w:hAnsi="Times New Roman" w:cs="Times New Roman"/>
          <w:b/>
          <w:bCs/>
          <w:color w:val="auto"/>
          <w:sz w:val="24"/>
          <w:szCs w:val="24"/>
        </w:rPr>
        <w:t xml:space="preserve"> proposal review</w:t>
      </w:r>
    </w:p>
    <w:p w14:paraId="0A432D37" w14:textId="77777777" w:rsidR="001B4175" w:rsidRPr="001B4175" w:rsidRDefault="001B4175" w:rsidP="001B4175">
      <w:pPr>
        <w:pStyle w:val="Heading2"/>
        <w:rPr>
          <w:rFonts w:ascii="Times New Roman" w:hAnsi="Times New Roman" w:cs="Times New Roman"/>
          <w:b/>
          <w:bCs/>
          <w:color w:val="auto"/>
          <w:sz w:val="24"/>
          <w:szCs w:val="24"/>
        </w:rPr>
      </w:pPr>
      <w:r w:rsidRPr="001B4175">
        <w:rPr>
          <w:rFonts w:ascii="Times New Roman" w:hAnsi="Times New Roman" w:cs="Times New Roman"/>
          <w:b/>
          <w:bCs/>
          <w:color w:val="auto"/>
          <w:sz w:val="24"/>
          <w:szCs w:val="24"/>
        </w:rPr>
        <w:t>Strengths worth preserving</w:t>
      </w:r>
    </w:p>
    <w:p w14:paraId="4E2A4FDA" w14:textId="77777777" w:rsidR="001B4175" w:rsidRPr="001B4175" w:rsidRDefault="001B4175" w:rsidP="001B4175">
      <w:pPr>
        <w:pStyle w:val="ListBullet"/>
        <w:tabs>
          <w:tab w:val="num" w:pos="360"/>
        </w:tabs>
        <w:ind w:left="360" w:hanging="360"/>
        <w:rPr>
          <w:rFonts w:ascii="Times New Roman" w:hAnsi="Times New Roman" w:cs="Times New Roman"/>
          <w:sz w:val="24"/>
          <w:szCs w:val="24"/>
        </w:rPr>
      </w:pPr>
      <w:r w:rsidRPr="001B4175">
        <w:rPr>
          <w:rFonts w:ascii="Times New Roman" w:hAnsi="Times New Roman" w:cs="Times New Roman"/>
          <w:sz w:val="24"/>
          <w:szCs w:val="24"/>
        </w:rPr>
        <w:t>The problem statement identifies meaningful mechanisms rather than claiming that the contribution is simply to place several variables in one regression.</w:t>
      </w:r>
    </w:p>
    <w:p w14:paraId="484632DD" w14:textId="77777777" w:rsidR="001B4175" w:rsidRPr="001B4175" w:rsidRDefault="001B4175" w:rsidP="001B4175">
      <w:pPr>
        <w:pStyle w:val="ListBullet"/>
        <w:tabs>
          <w:tab w:val="num" w:pos="360"/>
        </w:tabs>
        <w:ind w:left="360" w:hanging="360"/>
        <w:rPr>
          <w:rFonts w:ascii="Times New Roman" w:hAnsi="Times New Roman" w:cs="Times New Roman"/>
          <w:sz w:val="24"/>
          <w:szCs w:val="24"/>
        </w:rPr>
      </w:pPr>
      <w:r w:rsidRPr="001B4175">
        <w:rPr>
          <w:rFonts w:ascii="Times New Roman" w:hAnsi="Times New Roman" w:cs="Times New Roman"/>
          <w:sz w:val="24"/>
          <w:szCs w:val="24"/>
        </w:rPr>
        <w:t>The sectoral distinction between BIDECs, OMCs and LPGMCs is relevant and potentially important.</w:t>
      </w:r>
    </w:p>
    <w:p w14:paraId="481A2BDD" w14:textId="77777777" w:rsidR="001B4175" w:rsidRPr="001B4175" w:rsidRDefault="001B4175" w:rsidP="001B4175">
      <w:pPr>
        <w:pStyle w:val="ListBullet"/>
        <w:tabs>
          <w:tab w:val="num" w:pos="360"/>
        </w:tabs>
        <w:ind w:left="360" w:hanging="360"/>
        <w:rPr>
          <w:rFonts w:ascii="Times New Roman" w:hAnsi="Times New Roman" w:cs="Times New Roman"/>
          <w:sz w:val="24"/>
          <w:szCs w:val="24"/>
        </w:rPr>
      </w:pPr>
      <w:r w:rsidRPr="001B4175">
        <w:rPr>
          <w:rFonts w:ascii="Times New Roman" w:hAnsi="Times New Roman" w:cs="Times New Roman"/>
          <w:sz w:val="24"/>
          <w:szCs w:val="24"/>
        </w:rPr>
        <w:t>The proposal recognises endogeneity, survivorship bias, time lags, measurement choices and the need for robustness checks.</w:t>
      </w:r>
    </w:p>
    <w:p w14:paraId="2F11A67C" w14:textId="77777777" w:rsidR="001B4175" w:rsidRPr="001B4175" w:rsidRDefault="001B4175" w:rsidP="001B4175">
      <w:pPr>
        <w:pStyle w:val="ListBullet"/>
        <w:tabs>
          <w:tab w:val="num" w:pos="360"/>
        </w:tabs>
        <w:ind w:left="360" w:hanging="360"/>
        <w:rPr>
          <w:rFonts w:ascii="Times New Roman" w:hAnsi="Times New Roman" w:cs="Times New Roman"/>
          <w:sz w:val="24"/>
          <w:szCs w:val="24"/>
        </w:rPr>
      </w:pPr>
      <w:r w:rsidRPr="001B4175">
        <w:rPr>
          <w:rFonts w:ascii="Times New Roman" w:hAnsi="Times New Roman" w:cs="Times New Roman"/>
          <w:sz w:val="24"/>
          <w:szCs w:val="24"/>
        </w:rPr>
        <w:t>The objectives, questions and hypotheses are broadly aligned around direct effects, heterogeneity, investment mediation, financial-risk moderation and dynamics.</w:t>
      </w:r>
    </w:p>
    <w:p w14:paraId="532CBDC9" w14:textId="77777777" w:rsidR="001B4175" w:rsidRPr="001B4175" w:rsidRDefault="001B4175" w:rsidP="001B4175">
      <w:pPr>
        <w:pStyle w:val="Heading2"/>
        <w:rPr>
          <w:rFonts w:ascii="Times New Roman" w:hAnsi="Times New Roman" w:cs="Times New Roman"/>
          <w:color w:val="auto"/>
          <w:sz w:val="24"/>
          <w:szCs w:val="24"/>
        </w:rPr>
      </w:pPr>
      <w:r w:rsidRPr="001B4175">
        <w:rPr>
          <w:rFonts w:ascii="Times New Roman" w:hAnsi="Times New Roman" w:cs="Times New Roman"/>
          <w:color w:val="auto"/>
          <w:sz w:val="24"/>
          <w:szCs w:val="24"/>
        </w:rPr>
        <w:t>Critical revisions before approval</w:t>
      </w:r>
    </w:p>
    <w:p w14:paraId="7679A095" w14:textId="4F16C53A" w:rsidR="001B4175" w:rsidRPr="001B4175" w:rsidRDefault="001B4175" w:rsidP="001B4175">
      <w:pPr>
        <w:rPr>
          <w:rFonts w:ascii="Times New Roman" w:hAnsi="Times New Roman" w:cs="Times New Roman"/>
          <w:sz w:val="24"/>
          <w:szCs w:val="24"/>
        </w:rPr>
      </w:pPr>
      <w:r w:rsidRPr="001B4175">
        <w:rPr>
          <w:rFonts w:ascii="Times New Roman" w:hAnsi="Times New Roman" w:cs="Times New Roman"/>
          <w:b/>
          <w:sz w:val="24"/>
          <w:szCs w:val="24"/>
        </w:rPr>
        <w:t xml:space="preserve">1. </w:t>
      </w:r>
      <w:r>
        <w:rPr>
          <w:rFonts w:ascii="Times New Roman" w:hAnsi="Times New Roman" w:cs="Times New Roman"/>
          <w:b/>
          <w:sz w:val="24"/>
          <w:szCs w:val="24"/>
        </w:rPr>
        <w:t>A</w:t>
      </w:r>
      <w:r w:rsidRPr="001B4175">
        <w:rPr>
          <w:rFonts w:ascii="Times New Roman" w:hAnsi="Times New Roman" w:cs="Times New Roman"/>
          <w:b/>
          <w:sz w:val="24"/>
          <w:szCs w:val="24"/>
        </w:rPr>
        <w:t xml:space="preserve"> defensible core. </w:t>
      </w:r>
      <w:r w:rsidRPr="001B4175">
        <w:rPr>
          <w:rFonts w:ascii="Times New Roman" w:hAnsi="Times New Roman" w:cs="Times New Roman"/>
          <w:sz w:val="24"/>
          <w:szCs w:val="24"/>
        </w:rPr>
        <w:t>The proposal promises System GMM, GARCH/EGARCH, firm-category interactions, lagged mediation, multiple moderation terms, Panel VAR, ARIMAX and Monte Carlo analysis. State what each method answers and what result would cause it to be dropped.</w:t>
      </w:r>
    </w:p>
    <w:p w14:paraId="331268CB" w14:textId="77777777" w:rsidR="001B4175" w:rsidRPr="001B4175" w:rsidRDefault="001B4175" w:rsidP="001B4175">
      <w:pPr>
        <w:rPr>
          <w:rFonts w:ascii="Times New Roman" w:hAnsi="Times New Roman" w:cs="Times New Roman"/>
          <w:sz w:val="24"/>
          <w:szCs w:val="24"/>
        </w:rPr>
      </w:pPr>
      <w:r w:rsidRPr="001B4175">
        <w:rPr>
          <w:rFonts w:ascii="Times New Roman" w:hAnsi="Times New Roman" w:cs="Times New Roman"/>
          <w:b/>
          <w:sz w:val="24"/>
          <w:szCs w:val="24"/>
        </w:rPr>
        <w:t xml:space="preserve">2. Resolve the common-shock identification problem. </w:t>
      </w:r>
      <w:r w:rsidRPr="001B4175">
        <w:rPr>
          <w:rFonts w:ascii="Times New Roman" w:hAnsi="Times New Roman" w:cs="Times New Roman"/>
          <w:sz w:val="24"/>
          <w:szCs w:val="24"/>
        </w:rPr>
        <w:t>The exchange-rate volatility series is described as an aggregate macroeconomic shock common to all firms in a quarter. With quarter fixed effects, a common time-varying regressor is collinear with those effects; without time effects, macroeconomic confounding remains. The proposal should specify whether identification comes from volatility interacted with predetermined firm-level exposure, and define that exposure precisely. Do not claim a separately identified common volatility effect alongside saturated time effects unless the model supports it.</w:t>
      </w:r>
    </w:p>
    <w:p w14:paraId="644B068A" w14:textId="77777777" w:rsidR="001B4175" w:rsidRPr="001B4175" w:rsidRDefault="001B4175" w:rsidP="001B4175">
      <w:pPr>
        <w:rPr>
          <w:rFonts w:ascii="Times New Roman" w:hAnsi="Times New Roman" w:cs="Times New Roman"/>
          <w:sz w:val="24"/>
          <w:szCs w:val="24"/>
        </w:rPr>
      </w:pPr>
      <w:r w:rsidRPr="001B4175">
        <w:rPr>
          <w:rFonts w:ascii="Times New Roman" w:hAnsi="Times New Roman" w:cs="Times New Roman"/>
          <w:b/>
          <w:sz w:val="24"/>
          <w:szCs w:val="24"/>
        </w:rPr>
        <w:t xml:space="preserve">3. Make the System GMM case realistic. </w:t>
      </w:r>
      <w:r w:rsidRPr="001B4175">
        <w:rPr>
          <w:rFonts w:ascii="Times New Roman" w:hAnsi="Times New Roman" w:cs="Times New Roman"/>
          <w:sz w:val="24"/>
          <w:szCs w:val="24"/>
        </w:rPr>
        <w:t>System GMM is not automatically the best solution to endogeneity. Explain why the panel has adequate N and T, classify each regressor as strictly exogenous, predetermined or endogenous, justify each instrument and lag window, and commit to collapsed instruments and a parsimonious instrument count. Report AR(1), AR(2), Hansen and Difference-in-Hansen tests, instrument count, number of firms and observations. If the eligible sample is small, use a more defensible alternative rather than relying on GMM by default.</w:t>
      </w:r>
    </w:p>
    <w:p w14:paraId="2D46D152" w14:textId="77777777" w:rsidR="001B4175" w:rsidRPr="001B4175" w:rsidRDefault="001B4175" w:rsidP="001B4175">
      <w:pPr>
        <w:rPr>
          <w:rFonts w:ascii="Times New Roman" w:hAnsi="Times New Roman" w:cs="Times New Roman"/>
          <w:sz w:val="24"/>
          <w:szCs w:val="24"/>
        </w:rPr>
      </w:pPr>
      <w:r w:rsidRPr="001B4175">
        <w:rPr>
          <w:rFonts w:ascii="Times New Roman" w:hAnsi="Times New Roman" w:cs="Times New Roman"/>
          <w:b/>
          <w:sz w:val="24"/>
          <w:szCs w:val="24"/>
        </w:rPr>
        <w:t xml:space="preserve">4. Make the population and data-access plan executable. </w:t>
      </w:r>
      <w:r w:rsidRPr="001B4175">
        <w:rPr>
          <w:rFonts w:ascii="Times New Roman" w:hAnsi="Times New Roman" w:cs="Times New Roman"/>
          <w:sz w:val="24"/>
          <w:szCs w:val="24"/>
        </w:rPr>
        <w:t>The sampling table still contains “to be reported” entries, and the proposed census may turn into a stratified sample if data access is difficult. Define a clear decision rule in advance. Provide a pilot data audit: how many firms have usable quarterly statements, which variables are actually observable, how missing values are handled, and whether NPA/GRA filings can lawfully and practically be accessed. Do not imply access to confidential tax records without documented permission.</w:t>
      </w:r>
    </w:p>
    <w:p w14:paraId="10D913EE" w14:textId="77777777" w:rsidR="001B4175" w:rsidRPr="001B4175" w:rsidRDefault="001B4175" w:rsidP="001B4175">
      <w:pPr>
        <w:rPr>
          <w:rFonts w:ascii="Times New Roman" w:hAnsi="Times New Roman" w:cs="Times New Roman"/>
          <w:sz w:val="24"/>
          <w:szCs w:val="24"/>
        </w:rPr>
      </w:pPr>
      <w:r w:rsidRPr="001B4175">
        <w:rPr>
          <w:rFonts w:ascii="Times New Roman" w:hAnsi="Times New Roman" w:cs="Times New Roman"/>
          <w:b/>
          <w:sz w:val="24"/>
          <w:szCs w:val="24"/>
        </w:rPr>
        <w:lastRenderedPageBreak/>
        <w:t xml:space="preserve">5. Reconcile quarterly firm data with macro volatility estimation. </w:t>
      </w:r>
      <w:r w:rsidRPr="001B4175">
        <w:rPr>
          <w:rFonts w:ascii="Times New Roman" w:hAnsi="Times New Roman" w:cs="Times New Roman"/>
          <w:sz w:val="24"/>
          <w:szCs w:val="24"/>
        </w:rPr>
        <w:t>A GARCH model estimated from quarterly exchange-rate observations has very few observations over 2015–2024 (40 quarters). That is generally a weak basis for reliable GARCH/EGARCH estimation. Consider using higher-frequency daily or monthly exchange-rate data to estimate volatility, then aggregate the estimated conditional variance to quarters. State the exact exchange-rate series, return definition, aggregation method and treatment of structural breaks.</w:t>
      </w:r>
    </w:p>
    <w:p w14:paraId="72DE3C78" w14:textId="77777777" w:rsidR="001B4175" w:rsidRPr="001B4175" w:rsidRDefault="001B4175" w:rsidP="001B4175">
      <w:pPr>
        <w:rPr>
          <w:rFonts w:ascii="Times New Roman" w:hAnsi="Times New Roman" w:cs="Times New Roman"/>
          <w:sz w:val="24"/>
          <w:szCs w:val="24"/>
        </w:rPr>
      </w:pPr>
      <w:r w:rsidRPr="001B4175">
        <w:rPr>
          <w:rFonts w:ascii="Times New Roman" w:hAnsi="Times New Roman" w:cs="Times New Roman"/>
          <w:b/>
          <w:sz w:val="24"/>
          <w:szCs w:val="24"/>
        </w:rPr>
        <w:t xml:space="preserve">6. Operationalise “forex accessibility” and “financial risk” without circularity. </w:t>
      </w:r>
      <w:r w:rsidRPr="001B4175">
        <w:rPr>
          <w:rFonts w:ascii="Times New Roman" w:hAnsi="Times New Roman" w:cs="Times New Roman"/>
          <w:sz w:val="24"/>
          <w:szCs w:val="24"/>
        </w:rPr>
        <w:t>The forex accessibility index needs reproducible components, direction, scaling, weights, missing-data rules and validation. Clarify whether observed waiting days, LC rejection, FX allocation, premium paid and USD funding share are available at firm-quarter level. The financial-risk index should not mechanically include components that also define the outcome or key predictors; justify weights and test alternatives.</w:t>
      </w:r>
    </w:p>
    <w:p w14:paraId="52C2AB79" w14:textId="77777777" w:rsidR="001B4175" w:rsidRPr="001B4175" w:rsidRDefault="001B4175" w:rsidP="001B4175">
      <w:pPr>
        <w:rPr>
          <w:rFonts w:ascii="Times New Roman" w:hAnsi="Times New Roman" w:cs="Times New Roman"/>
          <w:sz w:val="24"/>
          <w:szCs w:val="24"/>
        </w:rPr>
      </w:pPr>
      <w:r w:rsidRPr="001B4175">
        <w:rPr>
          <w:rFonts w:ascii="Times New Roman" w:hAnsi="Times New Roman" w:cs="Times New Roman"/>
          <w:b/>
          <w:sz w:val="24"/>
          <w:szCs w:val="24"/>
        </w:rPr>
        <w:t xml:space="preserve">7. Reconsider the mediation claim. </w:t>
      </w:r>
      <w:r w:rsidRPr="001B4175">
        <w:rPr>
          <w:rFonts w:ascii="Times New Roman" w:hAnsi="Times New Roman" w:cs="Times New Roman"/>
          <w:sz w:val="24"/>
          <w:szCs w:val="24"/>
        </w:rPr>
        <w:t>A lagged association between forex access, capital expenditure and later performance is not by itself proof of mediation. Specify the path equations, lag lengths, indirect-effect estimator and confidence interval method. Discuss confounding of the mediator–outcome path and the assumptions needed for causal mediation. If these assumptions cannot be defended, use “indirect association” rather than causal language.</w:t>
      </w:r>
    </w:p>
    <w:p w14:paraId="11391FBF" w14:textId="77777777" w:rsidR="001B4175" w:rsidRPr="001B4175" w:rsidRDefault="001B4175" w:rsidP="001B4175">
      <w:pPr>
        <w:rPr>
          <w:rFonts w:ascii="Times New Roman" w:hAnsi="Times New Roman" w:cs="Times New Roman"/>
          <w:sz w:val="24"/>
          <w:szCs w:val="24"/>
        </w:rPr>
      </w:pPr>
      <w:r w:rsidRPr="001B4175">
        <w:rPr>
          <w:rFonts w:ascii="Times New Roman" w:hAnsi="Times New Roman" w:cs="Times New Roman"/>
          <w:b/>
          <w:sz w:val="24"/>
          <w:szCs w:val="24"/>
        </w:rPr>
        <w:t xml:space="preserve">8. Tighten objective–hypothesis–model mapping. </w:t>
      </w:r>
      <w:r w:rsidRPr="001B4175">
        <w:rPr>
          <w:rFonts w:ascii="Times New Roman" w:hAnsi="Times New Roman" w:cs="Times New Roman"/>
          <w:sz w:val="24"/>
          <w:szCs w:val="24"/>
        </w:rPr>
        <w:t>The proposal’s five objectives and H1–H6 are understandable, but H1a–H3a combine three distinct heterogeneity claims. Present a one-page matrix linking every objective, research question, hypothesis, variable, model, coefficient of interest and diagnostic. The liquidity inverted-U claim must be tested with the linear and squared terms jointly, with the turning point shown to lie inside the observed data range.</w:t>
      </w:r>
    </w:p>
    <w:p w14:paraId="6CCE7FD4" w14:textId="0A9C7A0B" w:rsidR="001B4175" w:rsidRPr="001B4175" w:rsidRDefault="001B4175" w:rsidP="001B4175">
      <w:pPr>
        <w:rPr>
          <w:rFonts w:ascii="Times New Roman" w:hAnsi="Times New Roman" w:cs="Times New Roman"/>
          <w:sz w:val="24"/>
          <w:szCs w:val="24"/>
        </w:rPr>
      </w:pPr>
      <w:r w:rsidRPr="001B4175">
        <w:rPr>
          <w:rFonts w:ascii="Times New Roman" w:hAnsi="Times New Roman" w:cs="Times New Roman"/>
          <w:b/>
          <w:sz w:val="24"/>
          <w:szCs w:val="24"/>
        </w:rPr>
        <w:t>9</w:t>
      </w:r>
      <w:r w:rsidRPr="001B4175">
        <w:rPr>
          <w:rFonts w:ascii="Times New Roman" w:hAnsi="Times New Roman" w:cs="Times New Roman"/>
          <w:b/>
          <w:sz w:val="24"/>
          <w:szCs w:val="24"/>
        </w:rPr>
        <w:t xml:space="preserve">. Audit factual claims and references. </w:t>
      </w:r>
      <w:r w:rsidRPr="001B4175">
        <w:rPr>
          <w:rFonts w:ascii="Times New Roman" w:hAnsi="Times New Roman" w:cs="Times New Roman"/>
          <w:sz w:val="24"/>
          <w:szCs w:val="24"/>
        </w:rPr>
        <w:t>Verify the cited licence counts, FX waiting periods, cedi depreciation figures, bank-resolution costs and sector statistics against dated primary sources. Several claims are highly specific and should not rely only on broad reports or secondary citations. Check that every in-text citation appears in the reference list and that every reference is actually cited.</w:t>
      </w:r>
    </w:p>
    <w:p w14:paraId="7482F445" w14:textId="77777777" w:rsidR="00E96ACF" w:rsidRPr="001B4175" w:rsidRDefault="00E96ACF">
      <w:pPr>
        <w:rPr>
          <w:rFonts w:ascii="Times New Roman" w:hAnsi="Times New Roman" w:cs="Times New Roman"/>
          <w:sz w:val="24"/>
          <w:szCs w:val="24"/>
        </w:rPr>
      </w:pPr>
    </w:p>
    <w:sectPr w:rsidR="00E96ACF" w:rsidRPr="001B41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B0C9766"/>
    <w:lvl w:ilvl="0">
      <w:start w:val="1"/>
      <w:numFmt w:val="bullet"/>
      <w:pStyle w:val="ListBullet"/>
      <w:lvlText w:val=""/>
      <w:lvlJc w:val="left"/>
      <w:pPr>
        <w:tabs>
          <w:tab w:val="num" w:pos="360"/>
        </w:tabs>
        <w:ind w:left="360" w:hanging="360"/>
      </w:pPr>
      <w:rPr>
        <w:rFonts w:ascii="Symbol" w:hAnsi="Symbol" w:hint="default"/>
      </w:rPr>
    </w:lvl>
  </w:abstractNum>
  <w:num w:numId="1" w16cid:durableId="1445467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175"/>
    <w:rsid w:val="001747E6"/>
    <w:rsid w:val="001B4175"/>
    <w:rsid w:val="003D7B08"/>
    <w:rsid w:val="00412CA5"/>
    <w:rsid w:val="008510CB"/>
    <w:rsid w:val="00A170A8"/>
    <w:rsid w:val="00A20BFE"/>
    <w:rsid w:val="00D73F91"/>
    <w:rsid w:val="00E96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95FE9"/>
  <w15:chartTrackingRefBased/>
  <w15:docId w15:val="{5D2EBB51-483A-4486-907D-8608B5662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175"/>
    <w:pPr>
      <w:spacing w:after="200" w:line="276" w:lineRule="auto"/>
    </w:pPr>
    <w:rPr>
      <w:rFonts w:ascii="Calibri" w:eastAsiaTheme="minorEastAsia" w:hAnsi="Calibri"/>
      <w:kern w:val="0"/>
      <w:sz w:val="20"/>
      <w:szCs w:val="22"/>
      <w14:ligatures w14:val="none"/>
    </w:rPr>
  </w:style>
  <w:style w:type="paragraph" w:styleId="Heading1">
    <w:name w:val="heading 1"/>
    <w:basedOn w:val="Normal"/>
    <w:next w:val="Normal"/>
    <w:link w:val="Heading1Char"/>
    <w:uiPriority w:val="9"/>
    <w:qFormat/>
    <w:rsid w:val="001B41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41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41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1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1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1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41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1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1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1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175"/>
    <w:rPr>
      <w:rFonts w:eastAsiaTheme="majorEastAsia" w:cstheme="majorBidi"/>
      <w:color w:val="272727" w:themeColor="text1" w:themeTint="D8"/>
    </w:rPr>
  </w:style>
  <w:style w:type="paragraph" w:styleId="Title">
    <w:name w:val="Title"/>
    <w:basedOn w:val="Normal"/>
    <w:next w:val="Normal"/>
    <w:link w:val="TitleChar"/>
    <w:uiPriority w:val="10"/>
    <w:qFormat/>
    <w:rsid w:val="001B4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175"/>
    <w:pPr>
      <w:spacing w:before="160"/>
      <w:jc w:val="center"/>
    </w:pPr>
    <w:rPr>
      <w:i/>
      <w:iCs/>
      <w:color w:val="404040" w:themeColor="text1" w:themeTint="BF"/>
    </w:rPr>
  </w:style>
  <w:style w:type="character" w:customStyle="1" w:styleId="QuoteChar">
    <w:name w:val="Quote Char"/>
    <w:basedOn w:val="DefaultParagraphFont"/>
    <w:link w:val="Quote"/>
    <w:uiPriority w:val="29"/>
    <w:rsid w:val="001B4175"/>
    <w:rPr>
      <w:i/>
      <w:iCs/>
      <w:color w:val="404040" w:themeColor="text1" w:themeTint="BF"/>
    </w:rPr>
  </w:style>
  <w:style w:type="paragraph" w:styleId="ListParagraph">
    <w:name w:val="List Paragraph"/>
    <w:basedOn w:val="Normal"/>
    <w:uiPriority w:val="34"/>
    <w:qFormat/>
    <w:rsid w:val="001B4175"/>
    <w:pPr>
      <w:ind w:left="720"/>
      <w:contextualSpacing/>
    </w:pPr>
  </w:style>
  <w:style w:type="character" w:styleId="IntenseEmphasis">
    <w:name w:val="Intense Emphasis"/>
    <w:basedOn w:val="DefaultParagraphFont"/>
    <w:uiPriority w:val="21"/>
    <w:qFormat/>
    <w:rsid w:val="001B4175"/>
    <w:rPr>
      <w:i/>
      <w:iCs/>
      <w:color w:val="2F5496" w:themeColor="accent1" w:themeShade="BF"/>
    </w:rPr>
  </w:style>
  <w:style w:type="paragraph" w:styleId="IntenseQuote">
    <w:name w:val="Intense Quote"/>
    <w:basedOn w:val="Normal"/>
    <w:next w:val="Normal"/>
    <w:link w:val="IntenseQuoteChar"/>
    <w:uiPriority w:val="30"/>
    <w:qFormat/>
    <w:rsid w:val="001B41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175"/>
    <w:rPr>
      <w:i/>
      <w:iCs/>
      <w:color w:val="2F5496" w:themeColor="accent1" w:themeShade="BF"/>
    </w:rPr>
  </w:style>
  <w:style w:type="character" w:styleId="IntenseReference">
    <w:name w:val="Intense Reference"/>
    <w:basedOn w:val="DefaultParagraphFont"/>
    <w:uiPriority w:val="32"/>
    <w:qFormat/>
    <w:rsid w:val="001B4175"/>
    <w:rPr>
      <w:b/>
      <w:bCs/>
      <w:smallCaps/>
      <w:color w:val="2F5496" w:themeColor="accent1" w:themeShade="BF"/>
      <w:spacing w:val="5"/>
    </w:rPr>
  </w:style>
  <w:style w:type="paragraph" w:styleId="ListBullet">
    <w:name w:val="List Bullet"/>
    <w:basedOn w:val="Normal"/>
    <w:uiPriority w:val="99"/>
    <w:unhideWhenUsed/>
    <w:rsid w:val="001B4175"/>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739</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O. N. D. Ocansey, PhD</dc:creator>
  <cp:keywords/>
  <dc:description/>
  <cp:lastModifiedBy>Evans O. N. D. Ocansey, PhD</cp:lastModifiedBy>
  <cp:revision>1</cp:revision>
  <dcterms:created xsi:type="dcterms:W3CDTF">2026-10-27T10:46:00Z</dcterms:created>
  <dcterms:modified xsi:type="dcterms:W3CDTF">2026-10-27T10:57:00Z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e8abb3cd-e4c6-40b3-9f85-0d0b3c6d22b9</vt:lpwstr>
  </property>
</Properties>
</file>