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14CD" w14:textId="77777777" w:rsidR="00D64AC7" w:rsidRPr="003F3EA2" w:rsidRDefault="001110D3" w:rsidP="00607B9F">
      <w:pPr>
        <w:spacing w:line="480" w:lineRule="auto"/>
        <w:jc w:val="center"/>
        <w:rPr>
          <w:b/>
          <w:bCs/>
          <w:noProof/>
        </w:rPr>
      </w:pPr>
      <w:r>
        <w:rPr>
          <w:b/>
          <w:bCs/>
          <w:noProof/>
        </w:rPr>
        <w:t>VALLEY VIEW UNIVERSITY</w:t>
      </w:r>
    </w:p>
    <w:p w14:paraId="00CAA204" w14:textId="77777777" w:rsidR="001110D3" w:rsidRDefault="001110D3" w:rsidP="00607B9F">
      <w:pPr>
        <w:spacing w:line="480" w:lineRule="auto"/>
        <w:jc w:val="center"/>
      </w:pPr>
      <w:r>
        <w:rPr>
          <w:noProof/>
        </w:rPr>
        <w:drawing>
          <wp:inline distT="0" distB="0" distL="0" distR="0" wp14:anchorId="5BBB7D91" wp14:editId="7D6C0BE2">
            <wp:extent cx="3161564" cy="1176793"/>
            <wp:effectExtent l="0" t="0" r="0" b="4445"/>
            <wp:docPr id="167675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2179" name="Picture 1676752179"/>
                    <pic:cNvPicPr/>
                  </pic:nvPicPr>
                  <pic:blipFill>
                    <a:blip r:embed="rId8">
                      <a:extLst>
                        <a:ext uri="{28A0092B-C50C-407E-A947-70E740481C1C}">
                          <a14:useLocalDpi xmlns:a14="http://schemas.microsoft.com/office/drawing/2010/main" val="0"/>
                        </a:ext>
                      </a:extLst>
                    </a:blip>
                    <a:stretch>
                      <a:fillRect/>
                    </a:stretch>
                  </pic:blipFill>
                  <pic:spPr>
                    <a:xfrm>
                      <a:off x="0" y="0"/>
                      <a:ext cx="3181970" cy="1184389"/>
                    </a:xfrm>
                    <a:prstGeom prst="rect">
                      <a:avLst/>
                    </a:prstGeom>
                  </pic:spPr>
                </pic:pic>
              </a:graphicData>
            </a:graphic>
          </wp:inline>
        </w:drawing>
      </w:r>
    </w:p>
    <w:p w14:paraId="78B62701" w14:textId="77777777" w:rsidR="003F3EA2" w:rsidRDefault="003F3EA2" w:rsidP="00607B9F">
      <w:pPr>
        <w:spacing w:line="480" w:lineRule="auto"/>
        <w:jc w:val="center"/>
        <w:rPr>
          <w:b/>
          <w:bCs/>
        </w:rPr>
      </w:pPr>
      <w:r>
        <w:rPr>
          <w:rFonts w:eastAsia="Times New Roman" w:cs="Times New Roman"/>
          <w:b/>
        </w:rPr>
        <w:t>FOREIGN EXCHANGE CONSTRAINTS, LIQUIDITY, EXCHANGE RATE VOLATILITY AND FINANCIAL PERFORMANCE OF GHANA'S DOWNSTREAM PETROLEUM MARKETING FIRMS: THE MEDIATING ROLE OF INVESTMENT AND THE MODERATING ROLE OF FINANCIAL RISK</w:t>
      </w:r>
    </w:p>
    <w:p w14:paraId="7F0340FF" w14:textId="77777777" w:rsidR="003F3EA2" w:rsidRDefault="003F3EA2" w:rsidP="00607B9F">
      <w:pPr>
        <w:spacing w:line="480" w:lineRule="auto"/>
        <w:jc w:val="center"/>
        <w:rPr>
          <w:b/>
          <w:bCs/>
        </w:rPr>
      </w:pPr>
      <w:r>
        <w:rPr>
          <w:b/>
          <w:bCs/>
        </w:rPr>
        <w:t>BY</w:t>
      </w:r>
    </w:p>
    <w:p w14:paraId="3AE17C89" w14:textId="77777777" w:rsidR="0072328E" w:rsidRDefault="0072328E" w:rsidP="00607B9F">
      <w:pPr>
        <w:spacing w:line="480" w:lineRule="auto"/>
        <w:jc w:val="center"/>
        <w:rPr>
          <w:b/>
          <w:bCs/>
        </w:rPr>
      </w:pPr>
      <w:r>
        <w:rPr>
          <w:b/>
          <w:bCs/>
        </w:rPr>
        <w:t>MICHAEL OFOSU ANTWI</w:t>
      </w:r>
    </w:p>
    <w:p w14:paraId="77735E05" w14:textId="77777777" w:rsidR="0072328E" w:rsidRDefault="0072328E" w:rsidP="00607B9F">
      <w:pPr>
        <w:spacing w:line="480" w:lineRule="auto"/>
        <w:jc w:val="center"/>
        <w:rPr>
          <w:b/>
          <w:bCs/>
        </w:rPr>
      </w:pPr>
      <w:r>
        <w:rPr>
          <w:b/>
          <w:bCs/>
        </w:rPr>
        <w:t>(224PHD0201030)</w:t>
      </w:r>
    </w:p>
    <w:p w14:paraId="1FEAE63F" w14:textId="77777777" w:rsidR="006D4405" w:rsidRDefault="000E7025" w:rsidP="00607B9F">
      <w:pPr>
        <w:spacing w:line="480" w:lineRule="auto"/>
        <w:jc w:val="center"/>
        <w:rPr>
          <w:b/>
          <w:bCs/>
        </w:rPr>
      </w:pPr>
      <w:r>
        <w:rPr>
          <w:b/>
          <w:bCs/>
        </w:rPr>
        <w:t>A DISSERTATION PROPOSAL SUBMITTED TO THE DEPARTMENT OF FINANCE, VALLEY VIEW UNIVERSITY, IN PARTIAL FULFILMENT OF THE REQUIREMENTS FOR THE DEGREE OF DOCTOR OF PHILOSOPHY IN FINANCE.</w:t>
      </w:r>
    </w:p>
    <w:p w14:paraId="118FBF41" w14:textId="77777777" w:rsidR="006D4405" w:rsidRDefault="006D4405" w:rsidP="00607B9F">
      <w:pPr>
        <w:spacing w:line="480" w:lineRule="auto"/>
        <w:jc w:val="center"/>
        <w:rPr>
          <w:b/>
          <w:bCs/>
        </w:rPr>
      </w:pPr>
    </w:p>
    <w:p w14:paraId="52A8D536" w14:textId="3A004380" w:rsidR="006D4405" w:rsidRPr="003F3EA2" w:rsidRDefault="002D2AD4" w:rsidP="00607B9F">
      <w:pPr>
        <w:spacing w:line="480" w:lineRule="auto"/>
        <w:jc w:val="center"/>
        <w:rPr>
          <w:b/>
          <w:bCs/>
        </w:rPr>
      </w:pPr>
      <w:r>
        <w:rPr>
          <w:b/>
          <w:bCs/>
        </w:rPr>
        <w:t xml:space="preserve">SEPTEMBER 2026</w:t>
      </w:r>
    </w:p>
    <w:p w14:paraId="32086617" w14:textId="77777777" w:rsidR="004564CB" w:rsidRDefault="004564CB" w:rsidP="00607B9F">
      <w:pPr>
        <w:spacing w:line="480" w:lineRule="auto"/>
        <w:jc w:val="center"/>
      </w:pPr>
    </w:p>
    <w:p w14:paraId="0741424C" w14:textId="77777777" w:rsidR="004F4309" w:rsidRDefault="004F4309" w:rsidP="00607B9F">
      <w:pPr>
        <w:spacing w:line="480" w:lineRule="auto"/>
      </w:pPr>
    </w:p>
    <w:p w14:paraId="6D990B17" w14:textId="77777777" w:rsidR="004F4309" w:rsidRDefault="004F4309" w:rsidP="00607B9F">
      <w:pPr>
        <w:spacing w:line="480" w:lineRule="auto"/>
      </w:pPr>
    </w:p>
    <w:p w14:paraId="234B5503" w14:textId="77777777" w:rsidR="004F4309" w:rsidRDefault="004F4309" w:rsidP="00607B9F">
      <w:pPr>
        <w:spacing w:line="480" w:lineRule="auto"/>
      </w:pPr>
    </w:p>
    <w:sdt>
      <w:sdtPr>
        <w:rPr>
          <w:rFonts w:ascii="Times New Roman" w:eastAsiaTheme="minorHAnsi" w:hAnsi="Times New Roman" w:cstheme="minorBidi"/>
          <w:color w:val="auto"/>
          <w:kern w:val="2"/>
          <w:sz w:val="24"/>
          <w:szCs w:val="24"/>
          <w14:ligatures w14:val="standardContextual"/>
        </w:rPr>
        <w:id w:val="314075479"/>
        <w:docPartObj>
          <w:docPartGallery w:val="Table of Contents"/>
          <w:docPartUnique/>
        </w:docPartObj>
      </w:sdtPr>
      <w:sdtEndPr>
        <w:rPr>
          <w:b/>
          <w:bCs/>
          <w:noProof/>
        </w:rPr>
      </w:sdtEndPr>
      <w:sdtContent>
        <w:p w14:paraId="1C091E0C" w14:textId="77777777" w:rsidR="00500B2F" w:rsidRPr="00500B2F" w:rsidRDefault="00500B2F" w:rsidP="000164E4">
          <w:pPr>
            <w:pStyle w:val="TOCHeading"/>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p>
        <w:p w14:paraId="24D2708D" w14:textId="77777777" w:rsidR="002363FE" w:rsidRDefault="00CC0653">
          <w:pPr>
            <w:pStyle w:val="TOC1"/>
            <w:tabs>
              <w:tab w:val="right" w:leader="dot" w:pos="9350"/>
            </w:tabs>
            <w:spacing w:after="60" w:line="300" w:lineRule="auto"/>
          </w:pPr>
          <w:r>
            <w:fldChar w:fldCharType="begin"/>
            <w:instrText xml:space="preserve"> TOC \o "1-3" \h \z \u </w:instrText>
            <w:fldChar w:fldCharType="separate"/>
          </w:r>
          <w:hyperlink w:anchor="_TocRev000" w:history="1">
            <w:r>
              <w:rPr>
                <w:noProof/>
              </w:rPr>
              <w:t>LIST OF ABBREVIATIONS</w:t>
            </w:r>
            <w:r>
              <w:rPr>
                <w:noProof/>
                <w:webHidden/>
              </w:rPr>
              <w:tab/>
              <w:fldChar w:fldCharType="begin"/>
              <w:instrText xml:space="preserve"> PAGEREF _TocRev000 \h </w:instrText>
              <w:fldChar w:fldCharType="separate"/>
              <w:t>vi</w:t>
              <w:fldChar w:fldCharType="end"/>
            </w:r>
          </w:hyperlink>
        </w:p>
        <w:p w14:paraId="3834A1EC" w14:textId="77777777" w:rsidR="002363FE" w:rsidRDefault="00CC0653">
          <w:pPr>
            <w:pStyle w:val="TOC1"/>
            <w:tabs>
              <w:tab w:val="right" w:leader="dot" w:pos="9350"/>
            </w:tabs>
            <w:spacing w:after="60" w:line="300" w:lineRule="auto"/>
          </w:pPr>
          <w:hyperlink w:anchor="_TocRev001" w:history="1">
            <w:r>
              <w:rPr>
                <w:noProof/>
              </w:rPr>
              <w:t>CHAPTER ONE</w:t>
            </w:r>
            <w:r>
              <w:rPr>
                <w:noProof/>
                <w:webHidden/>
              </w:rPr>
              <w:tab/>
              <w:fldChar w:fldCharType="begin"/>
              <w:instrText xml:space="preserve"> PAGEREF _TocRev001 \h </w:instrText>
              <w:fldChar w:fldCharType="separate"/>
              <w:t>1</w:t>
              <w:fldChar w:fldCharType="end"/>
            </w:r>
          </w:hyperlink>
        </w:p>
        <w:p w14:paraId="5634A643" w14:textId="77777777" w:rsidR="002363FE" w:rsidRDefault="00CC0653">
          <w:pPr>
            <w:pStyle w:val="TOC1"/>
            <w:tabs>
              <w:tab w:val="right" w:leader="dot" w:pos="9350"/>
            </w:tabs>
            <w:spacing w:after="60" w:line="300" w:lineRule="auto"/>
          </w:pPr>
          <w:hyperlink w:anchor="_TocRev002" w:history="1">
            <w:r>
              <w:rPr>
                <w:noProof/>
              </w:rPr>
              <w:t>INTRODUCTION</w:t>
            </w:r>
            <w:r>
              <w:rPr>
                <w:noProof/>
                <w:webHidden/>
              </w:rPr>
              <w:tab/>
              <w:fldChar w:fldCharType="begin"/>
              <w:instrText xml:space="preserve"> PAGEREF _TocRev002 \h </w:instrText>
              <w:fldChar w:fldCharType="separate"/>
              <w:t>1</w:t>
              <w:fldChar w:fldCharType="end"/>
            </w:r>
          </w:hyperlink>
        </w:p>
        <w:p w14:paraId="3CDB35C7" w14:textId="77777777" w:rsidR="002363FE" w:rsidRDefault="00CC0653">
          <w:pPr>
            <w:pStyle w:val="TOC2"/>
            <w:tabs>
              <w:tab w:val="right" w:leader="dot" w:pos="9350"/>
            </w:tabs>
            <w:spacing w:after="60" w:line="300" w:lineRule="auto"/>
          </w:pPr>
          <w:hyperlink w:anchor="_TocRev003" w:history="1">
            <w:r>
              <w:rPr>
                <w:noProof/>
              </w:rPr>
              <w:t>1.1 Background of the Study</w:t>
            </w:r>
            <w:r>
              <w:rPr>
                <w:noProof/>
                <w:webHidden/>
              </w:rPr>
              <w:tab/>
              <w:fldChar w:fldCharType="begin"/>
              <w:instrText xml:space="preserve"> PAGEREF _TocRev003 \h </w:instrText>
              <w:fldChar w:fldCharType="separate"/>
              <w:t>1</w:t>
              <w:fldChar w:fldCharType="end"/>
            </w:r>
          </w:hyperlink>
        </w:p>
        <w:p w14:paraId="40AADA2D" w14:textId="77777777" w:rsidR="002363FE" w:rsidRDefault="00CC0653">
          <w:pPr>
            <w:pStyle w:val="TOC2"/>
            <w:tabs>
              <w:tab w:val="right" w:leader="dot" w:pos="9350"/>
            </w:tabs>
            <w:spacing w:after="60" w:line="300" w:lineRule="auto"/>
          </w:pPr>
          <w:hyperlink w:anchor="_TocRev004" w:history="1">
            <w:r>
              <w:rPr>
                <w:noProof/>
              </w:rPr>
              <w:t>1.2 Problem Statement</w:t>
            </w:r>
            <w:r>
              <w:rPr>
                <w:noProof/>
                <w:webHidden/>
              </w:rPr>
              <w:tab/>
              <w:fldChar w:fldCharType="begin"/>
              <w:instrText xml:space="preserve"> PAGEREF _TocRev004 \h </w:instrText>
              <w:fldChar w:fldCharType="separate"/>
              <w:t>8</w:t>
              <w:fldChar w:fldCharType="end"/>
            </w:r>
          </w:hyperlink>
        </w:p>
        <w:p w14:paraId="7580C3BD" w14:textId="77777777" w:rsidR="002363FE" w:rsidRDefault="00CC0653">
          <w:pPr>
            <w:pStyle w:val="TOC2"/>
            <w:tabs>
              <w:tab w:val="right" w:leader="dot" w:pos="9350"/>
            </w:tabs>
            <w:spacing w:after="60" w:line="300" w:lineRule="auto"/>
          </w:pPr>
          <w:hyperlink w:anchor="_TocRev005" w:history="1">
            <w:r>
              <w:rPr>
                <w:noProof/>
              </w:rPr>
              <w:t>1.3 Main Objective</w:t>
            </w:r>
            <w:r>
              <w:rPr>
                <w:noProof/>
                <w:webHidden/>
              </w:rPr>
              <w:tab/>
              <w:fldChar w:fldCharType="begin"/>
              <w:instrText xml:space="preserve"> PAGEREF _TocRev005 \h </w:instrText>
              <w:fldChar w:fldCharType="separate"/>
              <w:t>10</w:t>
              <w:fldChar w:fldCharType="end"/>
            </w:r>
          </w:hyperlink>
        </w:p>
        <w:p w14:paraId="67E2303B" w14:textId="77777777" w:rsidR="002363FE" w:rsidRDefault="00CC0653">
          <w:pPr>
            <w:pStyle w:val="TOC3"/>
            <w:tabs>
              <w:tab w:val="right" w:leader="dot" w:pos="9350"/>
            </w:tabs>
            <w:spacing w:after="60" w:line="300" w:lineRule="auto"/>
          </w:pPr>
          <w:hyperlink w:anchor="_TocRev006" w:history="1">
            <w:r>
              <w:rPr>
                <w:noProof/>
              </w:rPr>
              <w:t>1.3.1 Specific Objectives</w:t>
            </w:r>
            <w:r>
              <w:rPr>
                <w:noProof/>
                <w:webHidden/>
              </w:rPr>
              <w:tab/>
              <w:fldChar w:fldCharType="begin"/>
              <w:instrText xml:space="preserve"> PAGEREF _TocRev006 \h </w:instrText>
              <w:fldChar w:fldCharType="separate"/>
              <w:t>10</w:t>
              <w:fldChar w:fldCharType="end"/>
            </w:r>
          </w:hyperlink>
        </w:p>
        <w:p w14:paraId="6B6129F6" w14:textId="77777777" w:rsidR="002363FE" w:rsidRDefault="00CC0653">
          <w:pPr>
            <w:pStyle w:val="TOC2"/>
            <w:tabs>
              <w:tab w:val="right" w:leader="dot" w:pos="9350"/>
            </w:tabs>
            <w:spacing w:after="60" w:line="300" w:lineRule="auto"/>
          </w:pPr>
          <w:hyperlink w:anchor="_TocRev007" w:history="1">
            <w:r>
              <w:rPr>
                <w:noProof/>
              </w:rPr>
              <w:t>1.4 Main Research Question</w:t>
            </w:r>
            <w:r>
              <w:rPr>
                <w:noProof/>
                <w:webHidden/>
              </w:rPr>
              <w:tab/>
              <w:fldChar w:fldCharType="begin"/>
              <w:instrText xml:space="preserve"> PAGEREF _TocRev007 \h </w:instrText>
              <w:fldChar w:fldCharType="separate"/>
              <w:t>11</w:t>
              <w:fldChar w:fldCharType="end"/>
            </w:r>
          </w:hyperlink>
        </w:p>
        <w:p w14:paraId="0993BD1A" w14:textId="77777777" w:rsidR="002363FE" w:rsidRDefault="00CC0653">
          <w:pPr>
            <w:pStyle w:val="TOC3"/>
            <w:tabs>
              <w:tab w:val="right" w:leader="dot" w:pos="9350"/>
            </w:tabs>
            <w:spacing w:after="60" w:line="300" w:lineRule="auto"/>
          </w:pPr>
          <w:hyperlink w:anchor="_TocRev008" w:history="1">
            <w:r>
              <w:rPr>
                <w:noProof/>
              </w:rPr>
              <w:t>1.4.1 Specific Research Questions</w:t>
            </w:r>
            <w:r>
              <w:rPr>
                <w:noProof/>
                <w:webHidden/>
              </w:rPr>
              <w:tab/>
              <w:fldChar w:fldCharType="begin"/>
              <w:instrText xml:space="preserve"> PAGEREF _TocRev008 \h </w:instrText>
              <w:fldChar w:fldCharType="separate"/>
              <w:t>12</w:t>
              <w:fldChar w:fldCharType="end"/>
            </w:r>
          </w:hyperlink>
        </w:p>
        <w:p w14:paraId="03CA564E" w14:textId="77777777" w:rsidR="002363FE" w:rsidRDefault="00CC0653">
          <w:pPr>
            <w:pStyle w:val="TOC2"/>
            <w:tabs>
              <w:tab w:val="right" w:leader="dot" w:pos="9350"/>
            </w:tabs>
            <w:spacing w:after="60" w:line="300" w:lineRule="auto"/>
          </w:pPr>
          <w:hyperlink w:anchor="_TocRev009" w:history="1">
            <w:r>
              <w:rPr>
                <w:noProof/>
              </w:rPr>
              <w:t>1.5 Research Hypotheses</w:t>
            </w:r>
            <w:r>
              <w:rPr>
                <w:noProof/>
                <w:webHidden/>
              </w:rPr>
              <w:tab/>
              <w:fldChar w:fldCharType="begin"/>
              <w:instrText xml:space="preserve"> PAGEREF _TocRev009 \h </w:instrText>
              <w:fldChar w:fldCharType="separate"/>
              <w:t>12</w:t>
              <w:fldChar w:fldCharType="end"/>
            </w:r>
          </w:hyperlink>
        </w:p>
        <w:p w14:paraId="045DA93C" w14:textId="77777777" w:rsidR="002363FE" w:rsidRDefault="00CC0653">
          <w:pPr>
            <w:pStyle w:val="TOC2"/>
            <w:tabs>
              <w:tab w:val="right" w:leader="dot" w:pos="9350"/>
            </w:tabs>
            <w:spacing w:after="60" w:line="300" w:lineRule="auto"/>
          </w:pPr>
          <w:hyperlink w:anchor="_TocRev010" w:history="1">
            <w:r>
              <w:rPr>
                <w:noProof/>
              </w:rPr>
              <w:t>1.6 Significance of the Study</w:t>
            </w:r>
            <w:r>
              <w:rPr>
                <w:noProof/>
                <w:webHidden/>
              </w:rPr>
              <w:tab/>
              <w:fldChar w:fldCharType="begin"/>
              <w:instrText xml:space="preserve"> PAGEREF _TocRev010 \h </w:instrText>
              <w:fldChar w:fldCharType="separate"/>
              <w:t>14</w:t>
              <w:fldChar w:fldCharType="end"/>
            </w:r>
          </w:hyperlink>
        </w:p>
        <w:p w14:paraId="18320D6F" w14:textId="77777777" w:rsidR="002363FE" w:rsidRDefault="00CC0653">
          <w:pPr>
            <w:pStyle w:val="TOC2"/>
            <w:tabs>
              <w:tab w:val="right" w:leader="dot" w:pos="9350"/>
            </w:tabs>
            <w:spacing w:after="60" w:line="300" w:lineRule="auto"/>
          </w:pPr>
          <w:hyperlink w:anchor="_TocRev011" w:history="1">
            <w:r>
              <w:rPr>
                <w:noProof/>
              </w:rPr>
              <w:t>1.7 Definition of Terms</w:t>
            </w:r>
            <w:r>
              <w:rPr>
                <w:noProof/>
                <w:webHidden/>
              </w:rPr>
              <w:tab/>
              <w:fldChar w:fldCharType="begin"/>
              <w:instrText xml:space="preserve"> PAGEREF _TocRev011 \h </w:instrText>
              <w:fldChar w:fldCharType="separate"/>
              <w:t>15</w:t>
              <w:fldChar w:fldCharType="end"/>
            </w:r>
          </w:hyperlink>
        </w:p>
        <w:p w14:paraId="533A1C5C" w14:textId="77777777" w:rsidR="002363FE" w:rsidRDefault="00CC0653">
          <w:pPr>
            <w:pStyle w:val="TOC2"/>
            <w:tabs>
              <w:tab w:val="right" w:leader="dot" w:pos="9350"/>
            </w:tabs>
            <w:spacing w:after="60" w:line="300" w:lineRule="auto"/>
          </w:pPr>
          <w:hyperlink w:anchor="_TocRev012" w:history="1">
            <w:r>
              <w:rPr>
                <w:noProof/>
              </w:rPr>
              <w:t>1.8 Organisation of the Study</w:t>
            </w:r>
            <w:r>
              <w:rPr>
                <w:noProof/>
                <w:webHidden/>
              </w:rPr>
              <w:tab/>
              <w:fldChar w:fldCharType="begin"/>
              <w:instrText xml:space="preserve"> PAGEREF _TocRev012 \h </w:instrText>
              <w:fldChar w:fldCharType="separate"/>
              <w:t>19</w:t>
              <w:fldChar w:fldCharType="end"/>
            </w:r>
          </w:hyperlink>
        </w:p>
        <w:p w14:paraId="775EE8BC" w14:textId="77777777" w:rsidR="002363FE" w:rsidRDefault="00CC0653">
          <w:pPr>
            <w:pStyle w:val="TOC1"/>
            <w:tabs>
              <w:tab w:val="right" w:leader="dot" w:pos="9350"/>
            </w:tabs>
            <w:spacing w:after="60" w:line="300" w:lineRule="auto"/>
          </w:pPr>
          <w:hyperlink w:anchor="_TocRev013" w:history="1">
            <w:r>
              <w:rPr>
                <w:noProof/>
              </w:rPr>
              <w:t>CHAPTER TWO</w:t>
            </w:r>
            <w:r>
              <w:rPr>
                <w:noProof/>
                <w:webHidden/>
              </w:rPr>
              <w:tab/>
              <w:fldChar w:fldCharType="begin"/>
              <w:instrText xml:space="preserve"> PAGEREF _TocRev013 \h </w:instrText>
              <w:fldChar w:fldCharType="separate"/>
              <w:t>21</w:t>
              <w:fldChar w:fldCharType="end"/>
            </w:r>
          </w:hyperlink>
        </w:p>
        <w:p w14:paraId="0F13630B" w14:textId="77777777" w:rsidR="002363FE" w:rsidRDefault="00CC0653">
          <w:pPr>
            <w:pStyle w:val="TOC1"/>
            <w:tabs>
              <w:tab w:val="right" w:leader="dot" w:pos="9350"/>
            </w:tabs>
            <w:spacing w:after="60" w:line="300" w:lineRule="auto"/>
          </w:pPr>
          <w:hyperlink w:anchor="_TocRev014" w:history="1">
            <w:r>
              <w:rPr>
                <w:noProof/>
              </w:rPr>
              <w:t>LITERATURE REVIEW</w:t>
            </w:r>
            <w:r>
              <w:rPr>
                <w:noProof/>
                <w:webHidden/>
              </w:rPr>
              <w:tab/>
              <w:fldChar w:fldCharType="begin"/>
              <w:instrText xml:space="preserve"> PAGEREF _TocRev014 \h </w:instrText>
              <w:fldChar w:fldCharType="separate"/>
              <w:t>21</w:t>
              <w:fldChar w:fldCharType="end"/>
            </w:r>
          </w:hyperlink>
        </w:p>
        <w:p w14:paraId="75CB6274" w14:textId="77777777" w:rsidR="002363FE" w:rsidRDefault="00CC0653">
          <w:pPr>
            <w:pStyle w:val="TOC2"/>
            <w:tabs>
              <w:tab w:val="right" w:leader="dot" w:pos="9350"/>
            </w:tabs>
            <w:spacing w:after="60" w:line="300" w:lineRule="auto"/>
          </w:pPr>
          <w:hyperlink w:anchor="_TocRev015" w:history="1">
            <w:r>
              <w:rPr>
                <w:noProof/>
              </w:rPr>
              <w:t>Introduction</w:t>
            </w:r>
            <w:r>
              <w:rPr>
                <w:noProof/>
                <w:webHidden/>
              </w:rPr>
              <w:tab/>
              <w:fldChar w:fldCharType="begin"/>
              <w:instrText xml:space="preserve"> PAGEREF _TocRev015 \h </w:instrText>
              <w:fldChar w:fldCharType="separate"/>
              <w:t>21</w:t>
              <w:fldChar w:fldCharType="end"/>
            </w:r>
          </w:hyperlink>
        </w:p>
        <w:p w14:paraId="168CE498" w14:textId="77777777" w:rsidR="002363FE" w:rsidRDefault="00CC0653">
          <w:pPr>
            <w:pStyle w:val="TOC2"/>
            <w:tabs>
              <w:tab w:val="right" w:leader="dot" w:pos="9350"/>
            </w:tabs>
            <w:spacing w:after="60" w:line="300" w:lineRule="auto"/>
          </w:pPr>
          <w:hyperlink w:anchor="_TocRev016" w:history="1">
            <w:r>
              <w:rPr>
                <w:noProof/>
              </w:rPr>
              <w:t>2.1 Conceptual Review</w:t>
            </w:r>
            <w:r>
              <w:rPr>
                <w:noProof/>
                <w:webHidden/>
              </w:rPr>
              <w:tab/>
              <w:fldChar w:fldCharType="begin"/>
              <w:instrText xml:space="preserve"> PAGEREF _TocRev016 \h </w:instrText>
              <w:fldChar w:fldCharType="separate"/>
              <w:t>22</w:t>
              <w:fldChar w:fldCharType="end"/>
            </w:r>
          </w:hyperlink>
        </w:p>
        <w:p w14:paraId="362A56CA" w14:textId="77777777" w:rsidR="002363FE" w:rsidRDefault="00CC0653">
          <w:pPr>
            <w:pStyle w:val="TOC3"/>
            <w:tabs>
              <w:tab w:val="right" w:leader="dot" w:pos="9350"/>
            </w:tabs>
            <w:spacing w:after="60" w:line="300" w:lineRule="auto"/>
          </w:pPr>
          <w:hyperlink w:anchor="_TocRev017" w:history="1">
            <w:r>
              <w:rPr>
                <w:noProof/>
              </w:rPr>
              <w:t>2.1.1 Foreign Exchange Accessibility (Independent Variable)</w:t>
            </w:r>
            <w:r>
              <w:rPr>
                <w:noProof/>
                <w:webHidden/>
              </w:rPr>
              <w:tab/>
              <w:fldChar w:fldCharType="begin"/>
              <w:instrText xml:space="preserve"> PAGEREF _TocRev017 \h </w:instrText>
              <w:fldChar w:fldCharType="separate"/>
              <w:t>22</w:t>
              <w:fldChar w:fldCharType="end"/>
            </w:r>
          </w:hyperlink>
        </w:p>
        <w:p w14:paraId="1150465F" w14:textId="77777777" w:rsidR="002363FE" w:rsidRDefault="00CC0653">
          <w:pPr>
            <w:pStyle w:val="TOC3"/>
            <w:tabs>
              <w:tab w:val="right" w:leader="dot" w:pos="9350"/>
            </w:tabs>
            <w:spacing w:after="60" w:line="300" w:lineRule="auto"/>
          </w:pPr>
          <w:hyperlink w:anchor="_TocRev018" w:history="1">
            <w:r>
              <w:rPr>
                <w:noProof/>
              </w:rPr>
              <w:t>2.1.2 Liquidity Conditions (Independent Variable)</w:t>
            </w:r>
            <w:r>
              <w:rPr>
                <w:noProof/>
                <w:webHidden/>
              </w:rPr>
              <w:tab/>
              <w:fldChar w:fldCharType="begin"/>
              <w:instrText xml:space="preserve"> PAGEREF _TocRev018 \h </w:instrText>
              <w:fldChar w:fldCharType="separate"/>
              <w:t>24</w:t>
              <w:fldChar w:fldCharType="end"/>
            </w:r>
          </w:hyperlink>
        </w:p>
        <w:p w14:paraId="4FA86CD3" w14:textId="77777777" w:rsidR="002363FE" w:rsidRDefault="00CC0653">
          <w:pPr>
            <w:pStyle w:val="TOC3"/>
            <w:tabs>
              <w:tab w:val="right" w:leader="dot" w:pos="9350"/>
            </w:tabs>
            <w:spacing w:after="60" w:line="300" w:lineRule="auto"/>
          </w:pPr>
          <w:hyperlink w:anchor="_TocRev019" w:history="1">
            <w:r>
              <w:rPr>
                <w:noProof/>
              </w:rPr>
              <w:t>2.1.3 Exchange Rate Volatility (Independent Variable)</w:t>
            </w:r>
            <w:r>
              <w:rPr>
                <w:noProof/>
                <w:webHidden/>
              </w:rPr>
              <w:tab/>
              <w:fldChar w:fldCharType="begin"/>
              <w:instrText xml:space="preserve"> PAGEREF _TocRev019 \h </w:instrText>
              <w:fldChar w:fldCharType="separate"/>
              <w:t>25</w:t>
              <w:fldChar w:fldCharType="end"/>
            </w:r>
          </w:hyperlink>
        </w:p>
        <w:p w14:paraId="0B63AAFB" w14:textId="77777777" w:rsidR="002363FE" w:rsidRDefault="00CC0653">
          <w:pPr>
            <w:pStyle w:val="TOC3"/>
            <w:tabs>
              <w:tab w:val="right" w:leader="dot" w:pos="9350"/>
            </w:tabs>
            <w:spacing w:after="60" w:line="300" w:lineRule="auto"/>
          </w:pPr>
          <w:hyperlink w:anchor="_TocRev020" w:history="1">
            <w:r>
              <w:rPr>
                <w:noProof/>
              </w:rPr>
              <w:t>2.1.4 Investment Decisions (Mediating Variable)</w:t>
            </w:r>
            <w:r>
              <w:rPr>
                <w:noProof/>
                <w:webHidden/>
              </w:rPr>
              <w:tab/>
              <w:fldChar w:fldCharType="begin"/>
              <w:instrText xml:space="preserve"> PAGEREF _TocRev020 \h </w:instrText>
              <w:fldChar w:fldCharType="separate"/>
              <w:t>26</w:t>
              <w:fldChar w:fldCharType="end"/>
            </w:r>
          </w:hyperlink>
        </w:p>
        <w:p w14:paraId="09A307E0" w14:textId="77777777" w:rsidR="002363FE" w:rsidRDefault="00CC0653">
          <w:pPr>
            <w:pStyle w:val="TOC3"/>
            <w:tabs>
              <w:tab w:val="right" w:leader="dot" w:pos="9350"/>
            </w:tabs>
            <w:spacing w:after="60" w:line="300" w:lineRule="auto"/>
          </w:pPr>
          <w:hyperlink w:anchor="_TocRev021" w:history="1">
            <w:r>
              <w:rPr>
                <w:noProof/>
              </w:rPr>
              <w:t>2.1.5 Financial Performance (Dependent Variable)</w:t>
            </w:r>
            <w:r>
              <w:rPr>
                <w:noProof/>
                <w:webHidden/>
              </w:rPr>
              <w:tab/>
              <w:fldChar w:fldCharType="begin"/>
              <w:instrText xml:space="preserve"> PAGEREF _TocRev021 \h </w:instrText>
              <w:fldChar w:fldCharType="separate"/>
              <w:t>27</w:t>
              <w:fldChar w:fldCharType="end"/>
            </w:r>
          </w:hyperlink>
        </w:p>
        <w:p w14:paraId="4E71C1B0" w14:textId="77777777" w:rsidR="002363FE" w:rsidRDefault="00CC0653">
          <w:pPr>
            <w:pStyle w:val="TOC3"/>
            <w:tabs>
              <w:tab w:val="right" w:leader="dot" w:pos="9350"/>
            </w:tabs>
            <w:spacing w:after="60" w:line="300" w:lineRule="auto"/>
          </w:pPr>
          <w:hyperlink w:anchor="_TocRev022" w:history="1">
            <w:r>
              <w:rPr>
                <w:noProof/>
              </w:rPr>
              <w:t>2.1.6 Financial Risk (Moderating Variable)</w:t>
            </w:r>
            <w:r>
              <w:rPr>
                <w:noProof/>
                <w:webHidden/>
              </w:rPr>
              <w:tab/>
              <w:fldChar w:fldCharType="begin"/>
              <w:instrText xml:space="preserve"> PAGEREF _TocRev022 \h </w:instrText>
              <w:fldChar w:fldCharType="separate"/>
              <w:t>28</w:t>
              <w:fldChar w:fldCharType="end"/>
            </w:r>
          </w:hyperlink>
        </w:p>
        <w:p w14:paraId="7D20684E" w14:textId="77777777" w:rsidR="002363FE" w:rsidRDefault="00CC0653">
          <w:pPr>
            <w:pStyle w:val="TOC3"/>
            <w:tabs>
              <w:tab w:val="right" w:leader="dot" w:pos="9350"/>
            </w:tabs>
            <w:spacing w:after="60" w:line="300" w:lineRule="auto"/>
          </w:pPr>
          <w:hyperlink w:anchor="_TocRev023" w:history="1">
            <w:r>
              <w:rPr>
                <w:noProof/>
              </w:rPr>
              <w:t>2.1.7 Conceptual Framework</w:t>
            </w:r>
            <w:r>
              <w:rPr>
                <w:noProof/>
                <w:webHidden/>
              </w:rPr>
              <w:tab/>
              <w:fldChar w:fldCharType="begin"/>
              <w:instrText xml:space="preserve"> PAGEREF _TocRev023 \h </w:instrText>
              <w:fldChar w:fldCharType="separate"/>
              <w:t>29</w:t>
              <w:fldChar w:fldCharType="end"/>
            </w:r>
          </w:hyperlink>
        </w:p>
        <w:p w14:paraId="5F4E83B3" w14:textId="77777777" w:rsidR="002363FE" w:rsidRDefault="00CC0653">
          <w:pPr>
            <w:pStyle w:val="TOC2"/>
            <w:tabs>
              <w:tab w:val="right" w:leader="dot" w:pos="9350"/>
            </w:tabs>
            <w:spacing w:after="60" w:line="300" w:lineRule="auto"/>
          </w:pPr>
          <w:hyperlink w:anchor="_TocRev024" w:history="1">
            <w:r>
              <w:rPr>
                <w:noProof/>
              </w:rPr>
              <w:t>2.2 Theoretical Review</w:t>
            </w:r>
            <w:r>
              <w:rPr>
                <w:noProof/>
                <w:webHidden/>
              </w:rPr>
              <w:tab/>
              <w:fldChar w:fldCharType="begin"/>
              <w:instrText xml:space="preserve"> PAGEREF _TocRev024 \h </w:instrText>
              <w:fldChar w:fldCharType="separate"/>
              <w:t>31</w:t>
              <w:fldChar w:fldCharType="end"/>
            </w:r>
          </w:hyperlink>
        </w:p>
        <w:p w14:paraId="621F6489" w14:textId="77777777" w:rsidR="002363FE" w:rsidRDefault="00CC0653">
          <w:pPr>
            <w:pStyle w:val="TOC3"/>
            <w:tabs>
              <w:tab w:val="right" w:leader="dot" w:pos="9350"/>
            </w:tabs>
            <w:spacing w:after="60" w:line="300" w:lineRule="auto"/>
          </w:pPr>
          <w:hyperlink w:anchor="_TocRev025" w:history="1">
            <w:r>
              <w:rPr>
                <w:noProof/>
              </w:rPr>
              <w:t>2.2.1 Financing Constraints Theory (Primary Theory)</w:t>
            </w:r>
            <w:r>
              <w:rPr>
                <w:noProof/>
                <w:webHidden/>
              </w:rPr>
              <w:tab/>
              <w:fldChar w:fldCharType="begin"/>
              <w:instrText xml:space="preserve"> PAGEREF _TocRev025 \h </w:instrText>
              <w:fldChar w:fldCharType="separate"/>
              <w:t>32</w:t>
              <w:fldChar w:fldCharType="end"/>
            </w:r>
          </w:hyperlink>
        </w:p>
        <w:p w14:paraId="6960B4EF" w14:textId="77777777" w:rsidR="002363FE" w:rsidRDefault="00CC0653">
          <w:pPr>
            <w:pStyle w:val="TOC3"/>
            <w:tabs>
              <w:tab w:val="right" w:leader="dot" w:pos="9350"/>
            </w:tabs>
            <w:spacing w:after="60" w:line="300" w:lineRule="auto"/>
          </w:pPr>
          <w:hyperlink w:anchor="_TocRev026" w:history="1">
            <w:r>
              <w:rPr>
                <w:noProof/>
              </w:rPr>
              <w:t>2.2.2 Exchange Rate Exposure Theory (Supporting Theory)</w:t>
            </w:r>
            <w:r>
              <w:rPr>
                <w:noProof/>
                <w:webHidden/>
              </w:rPr>
              <w:tab/>
              <w:fldChar w:fldCharType="begin"/>
              <w:instrText xml:space="preserve"> PAGEREF _TocRev026 \h </w:instrText>
              <w:fldChar w:fldCharType="separate"/>
              <w:t>33</w:t>
              <w:fldChar w:fldCharType="end"/>
            </w:r>
          </w:hyperlink>
        </w:p>
        <w:p w14:paraId="3E0A1482" w14:textId="77777777" w:rsidR="002363FE" w:rsidRDefault="00CC0653">
          <w:pPr>
            <w:pStyle w:val="TOC3"/>
            <w:tabs>
              <w:tab w:val="right" w:leader="dot" w:pos="9350"/>
            </w:tabs>
            <w:spacing w:after="60" w:line="300" w:lineRule="auto"/>
          </w:pPr>
          <w:hyperlink w:anchor="_TocRev027" w:history="1">
            <w:r>
              <w:rPr>
                <w:noProof/>
              </w:rPr>
              <w:t>2.2.3 Dynamic Capabilities Theory (Mechanism Theory)</w:t>
            </w:r>
            <w:r>
              <w:rPr>
                <w:noProof/>
                <w:webHidden/>
              </w:rPr>
              <w:tab/>
              <w:fldChar w:fldCharType="begin"/>
              <w:instrText xml:space="preserve"> PAGEREF _TocRev027 \h </w:instrText>
              <w:fldChar w:fldCharType="separate"/>
              <w:t>34</w:t>
              <w:fldChar w:fldCharType="end"/>
            </w:r>
          </w:hyperlink>
        </w:p>
        <w:p w14:paraId="23C19758" w14:textId="77777777" w:rsidR="002363FE" w:rsidRDefault="00CC0653">
          <w:pPr>
            <w:pStyle w:val="TOC3"/>
            <w:tabs>
              <w:tab w:val="right" w:leader="dot" w:pos="9350"/>
            </w:tabs>
            <w:spacing w:after="60" w:line="300" w:lineRule="auto"/>
          </w:pPr>
          <w:hyperlink w:anchor="_TocRev028" w:history="1">
            <w:r>
              <w:rPr>
                <w:noProof/>
              </w:rPr>
              <w:t>2.2.4 Capital Structure and Financial Risk Theory (Boundary-Condition Theory)</w:t>
            </w:r>
            <w:r>
              <w:rPr>
                <w:noProof/>
                <w:webHidden/>
              </w:rPr>
              <w:tab/>
              <w:fldChar w:fldCharType="begin"/>
              <w:instrText xml:space="preserve"> PAGEREF _TocRev028 \h </w:instrText>
              <w:fldChar w:fldCharType="separate"/>
              <w:t>34</w:t>
              <w:fldChar w:fldCharType="end"/>
            </w:r>
          </w:hyperlink>
        </w:p>
        <w:p w14:paraId="54D7D5D2" w14:textId="77777777" w:rsidR="002363FE" w:rsidRDefault="00CC0653">
          <w:pPr>
            <w:pStyle w:val="TOC3"/>
            <w:tabs>
              <w:tab w:val="right" w:leader="dot" w:pos="9350"/>
            </w:tabs>
            <w:spacing w:after="60" w:line="300" w:lineRule="auto"/>
          </w:pPr>
          <w:hyperlink w:anchor="_TocRev029" w:history="1">
            <w:r>
              <w:rPr>
                <w:noProof/>
              </w:rPr>
              <w:t>2.2.5 Theoretical Synthesis</w:t>
            </w:r>
            <w:r>
              <w:rPr>
                <w:noProof/>
                <w:webHidden/>
              </w:rPr>
              <w:tab/>
              <w:fldChar w:fldCharType="begin"/>
              <w:instrText xml:space="preserve"> PAGEREF _TocRev029 \h </w:instrText>
              <w:fldChar w:fldCharType="separate"/>
              <w:t>35</w:t>
              <w:fldChar w:fldCharType="end"/>
            </w:r>
          </w:hyperlink>
        </w:p>
        <w:p w14:paraId="7732C4BC" w14:textId="77777777" w:rsidR="002363FE" w:rsidRDefault="00CC0653">
          <w:pPr>
            <w:pStyle w:val="TOC2"/>
            <w:tabs>
              <w:tab w:val="right" w:leader="dot" w:pos="9350"/>
            </w:tabs>
            <w:spacing w:after="60" w:line="300" w:lineRule="auto"/>
          </w:pPr>
          <w:hyperlink w:anchor="_TocRev030" w:history="1">
            <w:r>
              <w:rPr>
                <w:noProof/>
              </w:rPr>
              <w:t>2.3 Empirical Review</w:t>
            </w:r>
            <w:r>
              <w:rPr>
                <w:noProof/>
                <w:webHidden/>
              </w:rPr>
              <w:tab/>
              <w:fldChar w:fldCharType="begin"/>
              <w:instrText xml:space="preserve"> PAGEREF _TocRev030 \h </w:instrText>
              <w:fldChar w:fldCharType="separate"/>
              <w:t>36</w:t>
              <w:fldChar w:fldCharType="end"/>
            </w:r>
          </w:hyperlink>
        </w:p>
        <w:p w14:paraId="71B24C44" w14:textId="77777777" w:rsidR="002363FE" w:rsidRDefault="00CC0653">
          <w:pPr>
            <w:pStyle w:val="TOC3"/>
            <w:tabs>
              <w:tab w:val="right" w:leader="dot" w:pos="9350"/>
            </w:tabs>
            <w:spacing w:after="60" w:line="300" w:lineRule="auto"/>
          </w:pPr>
          <w:hyperlink w:anchor="_TocRev031" w:history="1">
            <w:r>
              <w:rPr>
                <w:noProof/>
              </w:rPr>
              <w:t>2.3.1 Foreign Exchange Accessibility and Firm Financial Performance</w:t>
            </w:r>
            <w:r>
              <w:rPr>
                <w:noProof/>
                <w:webHidden/>
              </w:rPr>
              <w:tab/>
              <w:fldChar w:fldCharType="begin"/>
              <w:instrText xml:space="preserve"> PAGEREF _TocRev031 \h </w:instrText>
              <w:fldChar w:fldCharType="separate"/>
              <w:t>36</w:t>
              <w:fldChar w:fldCharType="end"/>
            </w:r>
          </w:hyperlink>
        </w:p>
        <w:p w14:paraId="6024C32A" w14:textId="77777777" w:rsidR="002363FE" w:rsidRDefault="00CC0653">
          <w:pPr>
            <w:pStyle w:val="TOC3"/>
            <w:tabs>
              <w:tab w:val="right" w:leader="dot" w:pos="9350"/>
            </w:tabs>
            <w:spacing w:after="60" w:line="300" w:lineRule="auto"/>
          </w:pPr>
          <w:hyperlink w:anchor="_TocRev032" w:history="1">
            <w:r>
              <w:rPr>
                <w:noProof/>
              </w:rPr>
              <w:t>2.3.2 Liquidity Management and Firm Financial Performance</w:t>
            </w:r>
            <w:r>
              <w:rPr>
                <w:noProof/>
                <w:webHidden/>
              </w:rPr>
              <w:tab/>
              <w:fldChar w:fldCharType="begin"/>
              <w:instrText xml:space="preserve"> PAGEREF _TocRev032 \h </w:instrText>
              <w:fldChar w:fldCharType="separate"/>
              <w:t>38</w:t>
              <w:fldChar w:fldCharType="end"/>
            </w:r>
          </w:hyperlink>
        </w:p>
        <w:p w14:paraId="7D6002D6" w14:textId="77777777" w:rsidR="002363FE" w:rsidRDefault="00CC0653">
          <w:pPr>
            <w:pStyle w:val="TOC3"/>
            <w:tabs>
              <w:tab w:val="right" w:leader="dot" w:pos="9350"/>
            </w:tabs>
            <w:spacing w:after="60" w:line="300" w:lineRule="auto"/>
          </w:pPr>
          <w:hyperlink w:anchor="_TocRev033" w:history="1">
            <w:r>
              <w:rPr>
                <w:noProof/>
              </w:rPr>
              <w:t>2.3.3 Modelling Exchange Rate Volatility</w:t>
            </w:r>
            <w:r>
              <w:rPr>
                <w:noProof/>
                <w:webHidden/>
              </w:rPr>
              <w:tab/>
              <w:fldChar w:fldCharType="begin"/>
              <w:instrText xml:space="preserve"> PAGEREF _TocRev033 \h </w:instrText>
              <w:fldChar w:fldCharType="separate"/>
              <w:t>40</w:t>
              <w:fldChar w:fldCharType="end"/>
            </w:r>
          </w:hyperlink>
        </w:p>
        <w:p w14:paraId="6759D11D" w14:textId="77777777" w:rsidR="002363FE" w:rsidRDefault="00CC0653">
          <w:pPr>
            <w:pStyle w:val="TOC3"/>
            <w:tabs>
              <w:tab w:val="right" w:leader="dot" w:pos="9350"/>
            </w:tabs>
            <w:spacing w:after="60" w:line="300" w:lineRule="auto"/>
          </w:pPr>
          <w:hyperlink w:anchor="_TocRev034" w:history="1">
            <w:r>
              <w:rPr>
                <w:noProof/>
              </w:rPr>
              <w:t>2.3.4 Exchange Rate Volatility and Firm Performance</w:t>
            </w:r>
            <w:r>
              <w:rPr>
                <w:noProof/>
                <w:webHidden/>
              </w:rPr>
              <w:tab/>
              <w:fldChar w:fldCharType="begin"/>
              <w:instrText xml:space="preserve"> PAGEREF _TocRev034 \h </w:instrText>
              <w:fldChar w:fldCharType="separate"/>
              <w:t>41</w:t>
              <w:fldChar w:fldCharType="end"/>
            </w:r>
          </w:hyperlink>
        </w:p>
        <w:p w14:paraId="7BB82BA9" w14:textId="77777777" w:rsidR="002363FE" w:rsidRDefault="00CC0653">
          <w:pPr>
            <w:pStyle w:val="TOC3"/>
            <w:tabs>
              <w:tab w:val="right" w:leader="dot" w:pos="9350"/>
            </w:tabs>
            <w:spacing w:after="60" w:line="300" w:lineRule="auto"/>
          </w:pPr>
          <w:hyperlink w:anchor="_TocRev035" w:history="1">
            <w:r>
              <w:rPr>
                <w:noProof/>
              </w:rPr>
              <w:t>2.3.5 Investment Decisions as a Mediating Mechanism</w:t>
            </w:r>
            <w:r>
              <w:rPr>
                <w:noProof/>
                <w:webHidden/>
              </w:rPr>
              <w:tab/>
              <w:fldChar w:fldCharType="begin"/>
              <w:instrText xml:space="preserve"> PAGEREF _TocRev035 \h </w:instrText>
              <w:fldChar w:fldCharType="separate"/>
              <w:t>43</w:t>
              <w:fldChar w:fldCharType="end"/>
            </w:r>
          </w:hyperlink>
        </w:p>
        <w:p w14:paraId="636FE256" w14:textId="77777777" w:rsidR="002363FE" w:rsidRDefault="00CC0653">
          <w:pPr>
            <w:pStyle w:val="TOC3"/>
            <w:tabs>
              <w:tab w:val="right" w:leader="dot" w:pos="9350"/>
            </w:tabs>
            <w:spacing w:after="60" w:line="300" w:lineRule="auto"/>
          </w:pPr>
          <w:hyperlink w:anchor="_TocRev036" w:history="1">
            <w:r>
              <w:rPr>
                <w:noProof/>
              </w:rPr>
              <w:t>2.3.6 Financial Risk as a Moderating Variable</w:t>
            </w:r>
            <w:r>
              <w:rPr>
                <w:noProof/>
                <w:webHidden/>
              </w:rPr>
              <w:tab/>
              <w:fldChar w:fldCharType="begin"/>
              <w:instrText xml:space="preserve"> PAGEREF _TocRev036 \h </w:instrText>
              <w:fldChar w:fldCharType="separate"/>
              <w:t>46</w:t>
              <w:fldChar w:fldCharType="end"/>
            </w:r>
          </w:hyperlink>
        </w:p>
        <w:p w14:paraId="564AE577" w14:textId="77777777" w:rsidR="002363FE" w:rsidRDefault="00CC0653">
          <w:pPr>
            <w:pStyle w:val="TOC3"/>
            <w:tabs>
              <w:tab w:val="right" w:leader="dot" w:pos="9350"/>
            </w:tabs>
            <w:spacing w:after="60" w:line="300" w:lineRule="auto"/>
          </w:pPr>
          <w:hyperlink w:anchor="_TocRev037" w:history="1">
            <w:r>
              <w:rPr>
                <w:noProof/>
              </w:rPr>
              <w:t>2.3.7 Ghana-Specific Empirical Studies</w:t>
            </w:r>
            <w:r>
              <w:rPr>
                <w:noProof/>
                <w:webHidden/>
              </w:rPr>
              <w:tab/>
              <w:fldChar w:fldCharType="begin"/>
              <w:instrText xml:space="preserve"> PAGEREF _TocRev037 \h </w:instrText>
              <w:fldChar w:fldCharType="separate"/>
              <w:t>48</w:t>
              <w:fldChar w:fldCharType="end"/>
            </w:r>
          </w:hyperlink>
        </w:p>
        <w:p w14:paraId="1251F979" w14:textId="77777777" w:rsidR="002363FE" w:rsidRDefault="00CC0653">
          <w:pPr>
            <w:pStyle w:val="TOC3"/>
            <w:tabs>
              <w:tab w:val="right" w:leader="dot" w:pos="9350"/>
            </w:tabs>
            <w:spacing w:after="60" w:line="300" w:lineRule="auto"/>
          </w:pPr>
          <w:hyperlink w:anchor="_TocRev038" w:history="1">
            <w:r>
              <w:rPr>
                <w:noProof/>
              </w:rPr>
              <w:t>2.3.8 Comparative Evidence from Nigeria, Côte d'Ivoire and East Africa</w:t>
            </w:r>
            <w:r>
              <w:rPr>
                <w:noProof/>
                <w:webHidden/>
              </w:rPr>
              <w:tab/>
              <w:fldChar w:fldCharType="begin"/>
              <w:instrText xml:space="preserve"> PAGEREF _TocRev038 \h </w:instrText>
              <w:fldChar w:fldCharType="separate"/>
              <w:t>49</w:t>
              <w:fldChar w:fldCharType="end"/>
            </w:r>
          </w:hyperlink>
        </w:p>
        <w:p w14:paraId="6DDC585E" w14:textId="77777777" w:rsidR="002363FE" w:rsidRDefault="00CC0653">
          <w:pPr>
            <w:pStyle w:val="TOC3"/>
            <w:tabs>
              <w:tab w:val="right" w:leader="dot" w:pos="9350"/>
            </w:tabs>
            <w:spacing w:after="60" w:line="300" w:lineRule="auto"/>
          </w:pPr>
          <w:hyperlink w:anchor="_TocRev039" w:history="1">
            <w:r>
              <w:rPr>
                <w:noProof/>
              </w:rPr>
              <w:t>2.3.9 Evidence Matrix and Synthesis of the Empirical Literature</w:t>
            </w:r>
            <w:r>
              <w:rPr>
                <w:noProof/>
                <w:webHidden/>
              </w:rPr>
              <w:tab/>
              <w:fldChar w:fldCharType="begin"/>
              <w:instrText xml:space="preserve"> PAGEREF _TocRev039 \h </w:instrText>
              <w:fldChar w:fldCharType="separate"/>
              <w:t>50</w:t>
              <w:fldChar w:fldCharType="end"/>
            </w:r>
          </w:hyperlink>
        </w:p>
        <w:p w14:paraId="3936FDF1" w14:textId="77777777" w:rsidR="002363FE" w:rsidRDefault="00CC0653">
          <w:pPr>
            <w:pStyle w:val="TOC2"/>
            <w:tabs>
              <w:tab w:val="right" w:leader="dot" w:pos="9350"/>
            </w:tabs>
            <w:spacing w:after="60" w:line="300" w:lineRule="auto"/>
          </w:pPr>
          <w:hyperlink w:anchor="_TocRev040" w:history="1">
            <w:r>
              <w:rPr>
                <w:noProof/>
              </w:rPr>
              <w:t>2.4 Methodological Approaches in Financial Performance Research</w:t>
            </w:r>
            <w:r>
              <w:rPr>
                <w:noProof/>
                <w:webHidden/>
              </w:rPr>
              <w:tab/>
              <w:fldChar w:fldCharType="begin"/>
              <w:instrText xml:space="preserve"> PAGEREF _TocRev040 \h </w:instrText>
              <w:fldChar w:fldCharType="separate"/>
              <w:t>53</w:t>
              <w:fldChar w:fldCharType="end"/>
            </w:r>
          </w:hyperlink>
        </w:p>
        <w:p w14:paraId="0DB8E0B1" w14:textId="77777777" w:rsidR="002363FE" w:rsidRDefault="00CC0653">
          <w:pPr>
            <w:pStyle w:val="TOC3"/>
            <w:tabs>
              <w:tab w:val="right" w:leader="dot" w:pos="9350"/>
            </w:tabs>
            <w:spacing w:after="60" w:line="300" w:lineRule="auto"/>
          </w:pPr>
          <w:hyperlink w:anchor="_TocRev041" w:history="1">
            <w:r>
              <w:rPr>
                <w:noProof/>
              </w:rPr>
              <w:t>2.4.1 Core Estimation: Addressing Endogeneity in Dynamic Panels</w:t>
            </w:r>
            <w:r>
              <w:rPr>
                <w:noProof/>
                <w:webHidden/>
              </w:rPr>
              <w:tab/>
              <w:fldChar w:fldCharType="begin"/>
              <w:instrText xml:space="preserve"> PAGEREF _TocRev041 \h </w:instrText>
              <w:fldChar w:fldCharType="separate"/>
              <w:t>53</w:t>
              <w:fldChar w:fldCharType="end"/>
            </w:r>
          </w:hyperlink>
        </w:p>
        <w:p w14:paraId="0890AD7D" w14:textId="77777777" w:rsidR="002363FE" w:rsidRDefault="00CC0653">
          <w:pPr>
            <w:pStyle w:val="TOC3"/>
            <w:tabs>
              <w:tab w:val="right" w:leader="dot" w:pos="9350"/>
            </w:tabs>
            <w:spacing w:after="60" w:line="300" w:lineRule="auto"/>
          </w:pPr>
          <w:hyperlink w:anchor="_TocRev042" w:history="1">
            <w:r>
              <w:rPr>
                <w:noProof/>
              </w:rPr>
              <w:t>2.4.2 Volatility Layer: GARCH-Class Models for Exchange Rate Uncertainty</w:t>
            </w:r>
            <w:r>
              <w:rPr>
                <w:noProof/>
                <w:webHidden/>
              </w:rPr>
              <w:tab/>
              <w:fldChar w:fldCharType="begin"/>
              <w:instrText xml:space="preserve"> PAGEREF _TocRev042 \h </w:instrText>
              <w:fldChar w:fldCharType="separate"/>
              <w:t>54</w:t>
              <w:fldChar w:fldCharType="end"/>
            </w:r>
          </w:hyperlink>
        </w:p>
        <w:p w14:paraId="315C36F4" w14:textId="77777777" w:rsidR="002363FE" w:rsidRDefault="00CC0653">
          <w:pPr>
            <w:pStyle w:val="TOC3"/>
            <w:tabs>
              <w:tab w:val="right" w:leader="dot" w:pos="9350"/>
            </w:tabs>
            <w:spacing w:after="60" w:line="300" w:lineRule="auto"/>
          </w:pPr>
          <w:hyperlink w:anchor="_TocRev043" w:history="1">
            <w:r>
              <w:rPr>
                <w:noProof/>
              </w:rPr>
              <w:t>2.4.3 Dynamic Interdependence and Temporal Dynamics: Panel VAR and ARIMAX</w:t>
            </w:r>
            <w:r>
              <w:rPr>
                <w:noProof/>
                <w:webHidden/>
              </w:rPr>
              <w:tab/>
              <w:fldChar w:fldCharType="begin"/>
              <w:instrText xml:space="preserve"> PAGEREF _TocRev043 \h </w:instrText>
              <w:fldChar w:fldCharType="separate"/>
              <w:t>55</w:t>
              <w:fldChar w:fldCharType="end"/>
            </w:r>
          </w:hyperlink>
        </w:p>
        <w:p w14:paraId="39B4FE5D" w14:textId="77777777" w:rsidR="002363FE" w:rsidRDefault="00CC0653">
          <w:pPr>
            <w:pStyle w:val="TOC3"/>
            <w:tabs>
              <w:tab w:val="right" w:leader="dot" w:pos="9350"/>
            </w:tabs>
            <w:spacing w:after="60" w:line="300" w:lineRule="auto"/>
          </w:pPr>
          <w:hyperlink w:anchor="_TocRev044" w:history="1">
            <w:r>
              <w:rPr>
                <w:noProof/>
              </w:rPr>
              <w:t>2.4.4 Robustness Strategy</w:t>
            </w:r>
            <w:r>
              <w:rPr>
                <w:noProof/>
                <w:webHidden/>
              </w:rPr>
              <w:tab/>
              <w:fldChar w:fldCharType="begin"/>
              <w:instrText xml:space="preserve"> PAGEREF _TocRev044 \h </w:instrText>
              <w:fldChar w:fldCharType="separate"/>
              <w:t>56</w:t>
              <w:fldChar w:fldCharType="end"/>
            </w:r>
          </w:hyperlink>
        </w:p>
        <w:p w14:paraId="6F8F19D0" w14:textId="77777777" w:rsidR="002363FE" w:rsidRDefault="00CC0653">
          <w:pPr>
            <w:pStyle w:val="TOC2"/>
            <w:tabs>
              <w:tab w:val="right" w:leader="dot" w:pos="9350"/>
            </w:tabs>
            <w:spacing w:after="60" w:line="300" w:lineRule="auto"/>
          </w:pPr>
          <w:hyperlink w:anchor="_TocRev045" w:history="1">
            <w:r>
              <w:rPr>
                <w:noProof/>
              </w:rPr>
              <w:t>2.5 Identification of Research Gaps and Justification for the Present Study</w:t>
            </w:r>
            <w:r>
              <w:rPr>
                <w:noProof/>
                <w:webHidden/>
              </w:rPr>
              <w:tab/>
              <w:fldChar w:fldCharType="begin"/>
              <w:instrText xml:space="preserve"> PAGEREF _TocRev045 \h </w:instrText>
              <w:fldChar w:fldCharType="separate"/>
              <w:t>56</w:t>
              <w:fldChar w:fldCharType="end"/>
            </w:r>
          </w:hyperlink>
        </w:p>
        <w:p w14:paraId="5FDE2D35" w14:textId="77777777" w:rsidR="002363FE" w:rsidRDefault="00CC0653">
          <w:pPr>
            <w:pStyle w:val="TOC2"/>
            <w:tabs>
              <w:tab w:val="right" w:leader="dot" w:pos="9350"/>
            </w:tabs>
            <w:spacing w:after="60" w:line="300" w:lineRule="auto"/>
          </w:pPr>
          <w:hyperlink w:anchor="_TocRev046" w:history="1">
            <w:r>
              <w:rPr>
                <w:noProof/>
              </w:rPr>
              <w:t>2.6 Development of Research Hypotheses</w:t>
            </w:r>
            <w:r>
              <w:rPr>
                <w:noProof/>
                <w:webHidden/>
              </w:rPr>
              <w:tab/>
              <w:fldChar w:fldCharType="begin"/>
              <w:instrText xml:space="preserve"> PAGEREF _TocRev046 \h </w:instrText>
              <w:fldChar w:fldCharType="separate"/>
              <w:t>58</w:t>
              <w:fldChar w:fldCharType="end"/>
            </w:r>
          </w:hyperlink>
        </w:p>
        <w:p w14:paraId="697932C7" w14:textId="77777777" w:rsidR="002363FE" w:rsidRDefault="00CC0653">
          <w:pPr>
            <w:pStyle w:val="TOC2"/>
            <w:tabs>
              <w:tab w:val="right" w:leader="dot" w:pos="9350"/>
            </w:tabs>
            <w:spacing w:after="60" w:line="300" w:lineRule="auto"/>
          </w:pPr>
          <w:hyperlink w:anchor="_TocRev047" w:history="1">
            <w:r>
              <w:rPr>
                <w:noProof/>
              </w:rPr>
              <w:t>2.7 Summary</w:t>
            </w:r>
            <w:r>
              <w:rPr>
                <w:noProof/>
                <w:webHidden/>
              </w:rPr>
              <w:tab/>
              <w:fldChar w:fldCharType="begin"/>
              <w:instrText xml:space="preserve"> PAGEREF _TocRev047 \h </w:instrText>
              <w:fldChar w:fldCharType="separate"/>
              <w:t>61</w:t>
              <w:fldChar w:fldCharType="end"/>
            </w:r>
          </w:hyperlink>
        </w:p>
        <w:p w14:paraId="699DE50A" w14:textId="77777777" w:rsidR="002363FE" w:rsidRDefault="00CC0653">
          <w:pPr>
            <w:pStyle w:val="TOC1"/>
            <w:tabs>
              <w:tab w:val="right" w:leader="dot" w:pos="9350"/>
            </w:tabs>
            <w:spacing w:after="60" w:line="300" w:lineRule="auto"/>
          </w:pPr>
          <w:hyperlink w:anchor="_TocRev048" w:history="1">
            <w:r>
              <w:rPr>
                <w:noProof/>
              </w:rPr>
              <w:t>CHAPTER THREE</w:t>
            </w:r>
            <w:r>
              <w:rPr>
                <w:noProof/>
                <w:webHidden/>
              </w:rPr>
              <w:tab/>
              <w:fldChar w:fldCharType="begin"/>
              <w:instrText xml:space="preserve"> PAGEREF _TocRev048 \h </w:instrText>
              <w:fldChar w:fldCharType="separate"/>
              <w:t>62</w:t>
              <w:fldChar w:fldCharType="end"/>
            </w:r>
          </w:hyperlink>
        </w:p>
        <w:p w14:paraId="6968AE49" w14:textId="77777777" w:rsidR="002363FE" w:rsidRDefault="00CC0653">
          <w:pPr>
            <w:pStyle w:val="TOC1"/>
            <w:tabs>
              <w:tab w:val="right" w:leader="dot" w:pos="9350"/>
            </w:tabs>
            <w:spacing w:after="60" w:line="300" w:lineRule="auto"/>
          </w:pPr>
          <w:hyperlink w:anchor="_TocRev049" w:history="1">
            <w:r>
              <w:rPr>
                <w:noProof/>
              </w:rPr>
              <w:t>RESEARCH METHODOLOGY</w:t>
            </w:r>
            <w:r>
              <w:rPr>
                <w:noProof/>
                <w:webHidden/>
              </w:rPr>
              <w:tab/>
              <w:fldChar w:fldCharType="begin"/>
              <w:instrText xml:space="preserve"> PAGEREF _TocRev049 \h </w:instrText>
              <w:fldChar w:fldCharType="separate"/>
              <w:t>62</w:t>
              <w:fldChar w:fldCharType="end"/>
            </w:r>
          </w:hyperlink>
        </w:p>
        <w:p w14:paraId="6FF317CF" w14:textId="77777777" w:rsidR="002363FE" w:rsidRDefault="00CC0653">
          <w:pPr>
            <w:pStyle w:val="TOC2"/>
            <w:tabs>
              <w:tab w:val="right" w:leader="dot" w:pos="9350"/>
            </w:tabs>
            <w:spacing w:after="60" w:line="300" w:lineRule="auto"/>
          </w:pPr>
          <w:hyperlink w:anchor="_TocRev050" w:history="1">
            <w:r>
              <w:rPr>
                <w:noProof/>
              </w:rPr>
              <w:t>3.1 Introduction</w:t>
            </w:r>
            <w:r>
              <w:rPr>
                <w:noProof/>
                <w:webHidden/>
              </w:rPr>
              <w:tab/>
              <w:fldChar w:fldCharType="begin"/>
              <w:instrText xml:space="preserve"> PAGEREF _TocRev050 \h </w:instrText>
              <w:fldChar w:fldCharType="separate"/>
              <w:t>62</w:t>
              <w:fldChar w:fldCharType="end"/>
            </w:r>
          </w:hyperlink>
        </w:p>
        <w:p w14:paraId="5BE5529D" w14:textId="77777777" w:rsidR="002363FE" w:rsidRDefault="00CC0653">
          <w:pPr>
            <w:pStyle w:val="TOC2"/>
            <w:tabs>
              <w:tab w:val="right" w:leader="dot" w:pos="9350"/>
            </w:tabs>
            <w:spacing w:after="60" w:line="300" w:lineRule="auto"/>
          </w:pPr>
          <w:hyperlink w:anchor="_TocRev051" w:history="1">
            <w:r>
              <w:rPr>
                <w:noProof/>
              </w:rPr>
              <w:t>3.2 Research Philosophy and Paradigm</w:t>
            </w:r>
            <w:r>
              <w:rPr>
                <w:noProof/>
                <w:webHidden/>
              </w:rPr>
              <w:tab/>
              <w:fldChar w:fldCharType="begin"/>
              <w:instrText xml:space="preserve"> PAGEREF _TocRev051 \h </w:instrText>
              <w:fldChar w:fldCharType="separate"/>
              <w:t>62</w:t>
              <w:fldChar w:fldCharType="end"/>
            </w:r>
          </w:hyperlink>
        </w:p>
        <w:p w14:paraId="079F38F7" w14:textId="77777777" w:rsidR="002363FE" w:rsidRDefault="00CC0653">
          <w:pPr>
            <w:pStyle w:val="TOC2"/>
            <w:tabs>
              <w:tab w:val="right" w:leader="dot" w:pos="9350"/>
            </w:tabs>
            <w:spacing w:after="60" w:line="300" w:lineRule="auto"/>
          </w:pPr>
          <w:hyperlink w:anchor="_TocRev052" w:history="1">
            <w:r>
              <w:rPr>
                <w:noProof/>
              </w:rPr>
              <w:t>3.3 Research Approach</w:t>
            </w:r>
            <w:r>
              <w:rPr>
                <w:noProof/>
                <w:webHidden/>
              </w:rPr>
              <w:tab/>
              <w:fldChar w:fldCharType="begin"/>
              <w:instrText xml:space="preserve"> PAGEREF _TocRev052 \h </w:instrText>
              <w:fldChar w:fldCharType="separate"/>
              <w:t>63</w:t>
              <w:fldChar w:fldCharType="end"/>
            </w:r>
          </w:hyperlink>
        </w:p>
        <w:p w14:paraId="02590CBD" w14:textId="77777777" w:rsidR="002363FE" w:rsidRDefault="00CC0653">
          <w:pPr>
            <w:pStyle w:val="TOC2"/>
            <w:tabs>
              <w:tab w:val="right" w:leader="dot" w:pos="9350"/>
            </w:tabs>
            <w:spacing w:after="60" w:line="300" w:lineRule="auto"/>
          </w:pPr>
          <w:hyperlink w:anchor="_TocRev053" w:history="1">
            <w:r>
              <w:rPr>
                <w:noProof/>
              </w:rPr>
              <w:t>3.4 Research Context</w:t>
            </w:r>
            <w:r>
              <w:rPr>
                <w:noProof/>
                <w:webHidden/>
              </w:rPr>
              <w:tab/>
              <w:fldChar w:fldCharType="begin"/>
              <w:instrText xml:space="preserve"> PAGEREF _TocRev053 \h </w:instrText>
              <w:fldChar w:fldCharType="separate"/>
              <w:t>64</w:t>
              <w:fldChar w:fldCharType="end"/>
            </w:r>
          </w:hyperlink>
        </w:p>
        <w:p w14:paraId="2D4A5A32" w14:textId="77777777" w:rsidR="002363FE" w:rsidRDefault="00CC0653">
          <w:pPr>
            <w:pStyle w:val="TOC2"/>
            <w:tabs>
              <w:tab w:val="right" w:leader="dot" w:pos="9350"/>
            </w:tabs>
            <w:spacing w:after="60" w:line="300" w:lineRule="auto"/>
          </w:pPr>
          <w:hyperlink w:anchor="_TocRev054" w:history="1">
            <w:r>
              <w:rPr>
                <w:noProof/>
              </w:rPr>
              <w:t>3.5 Research Design</w:t>
            </w:r>
            <w:r>
              <w:rPr>
                <w:noProof/>
                <w:webHidden/>
              </w:rPr>
              <w:tab/>
              <w:fldChar w:fldCharType="begin"/>
              <w:instrText xml:space="preserve"> PAGEREF _TocRev054 \h </w:instrText>
              <w:fldChar w:fldCharType="separate"/>
              <w:t>66</w:t>
              <w:fldChar w:fldCharType="end"/>
            </w:r>
          </w:hyperlink>
        </w:p>
        <w:p w14:paraId="1872F81A" w14:textId="77777777" w:rsidR="002363FE" w:rsidRDefault="00CC0653">
          <w:pPr>
            <w:pStyle w:val="TOC2"/>
            <w:tabs>
              <w:tab w:val="right" w:leader="dot" w:pos="9350"/>
            </w:tabs>
            <w:spacing w:after="60" w:line="300" w:lineRule="auto"/>
          </w:pPr>
          <w:hyperlink w:anchor="_TocRev055" w:history="1">
            <w:r>
              <w:rPr>
                <w:noProof/>
              </w:rPr>
              <w:t>3.6 Target Population</w:t>
            </w:r>
            <w:r>
              <w:rPr>
                <w:noProof/>
                <w:webHidden/>
              </w:rPr>
              <w:tab/>
              <w:fldChar w:fldCharType="begin"/>
              <w:instrText xml:space="preserve"> PAGEREF _TocRev055 \h </w:instrText>
              <w:fldChar w:fldCharType="separate"/>
              <w:t>67</w:t>
              <w:fldChar w:fldCharType="end"/>
            </w:r>
          </w:hyperlink>
        </w:p>
        <w:p w14:paraId="0DA4AFF3" w14:textId="77777777" w:rsidR="002363FE" w:rsidRDefault="00CC0653">
          <w:pPr>
            <w:pStyle w:val="TOC3"/>
            <w:tabs>
              <w:tab w:val="right" w:leader="dot" w:pos="9350"/>
            </w:tabs>
            <w:spacing w:after="60" w:line="300" w:lineRule="auto"/>
          </w:pPr>
          <w:hyperlink w:anchor="_TocRev056" w:history="1">
            <w:r>
              <w:rPr>
                <w:noProof/>
              </w:rPr>
              <w:t>3.6.1 Sampling Frame, Sample Size and Allocation</w:t>
            </w:r>
            <w:r>
              <w:rPr>
                <w:noProof/>
                <w:webHidden/>
              </w:rPr>
              <w:tab/>
              <w:fldChar w:fldCharType="begin"/>
              <w:instrText xml:space="preserve"> PAGEREF _TocRev056 \h </w:instrText>
              <w:fldChar w:fldCharType="separate"/>
              <w:t>69</w:t>
              <w:fldChar w:fldCharType="end"/>
            </w:r>
          </w:hyperlink>
        </w:p>
        <w:p w14:paraId="01FEC117" w14:textId="77777777" w:rsidR="002363FE" w:rsidRDefault="00CC0653">
          <w:pPr>
            <w:pStyle w:val="TOC3"/>
            <w:tabs>
              <w:tab w:val="right" w:leader="dot" w:pos="9350"/>
            </w:tabs>
            <w:spacing w:after="60" w:line="300" w:lineRule="auto"/>
          </w:pPr>
          <w:hyperlink w:anchor="_TocRev057" w:history="1">
            <w:r>
              <w:rPr>
                <w:noProof/>
              </w:rPr>
              <w:t>3.6.2 Survivorship and Selection Bias</w:t>
            </w:r>
            <w:r>
              <w:rPr>
                <w:noProof/>
                <w:webHidden/>
              </w:rPr>
              <w:tab/>
              <w:fldChar w:fldCharType="begin"/>
              <w:instrText xml:space="preserve"> PAGEREF _TocRev057 \h </w:instrText>
              <w:fldChar w:fldCharType="separate"/>
              <w:t>71</w:t>
              <w:fldChar w:fldCharType="end"/>
            </w:r>
          </w:hyperlink>
        </w:p>
        <w:p w14:paraId="25425198" w14:textId="77777777" w:rsidR="002363FE" w:rsidRDefault="00CC0653">
          <w:pPr>
            <w:pStyle w:val="TOC2"/>
            <w:tabs>
              <w:tab w:val="right" w:leader="dot" w:pos="9350"/>
            </w:tabs>
            <w:spacing w:after="60" w:line="300" w:lineRule="auto"/>
          </w:pPr>
          <w:hyperlink w:anchor="_TocRev058" w:history="1">
            <w:r>
              <w:rPr>
                <w:noProof/>
              </w:rPr>
              <w:t>3.7 Data Sources and Collection Procedures</w:t>
            </w:r>
            <w:r>
              <w:rPr>
                <w:noProof/>
                <w:webHidden/>
              </w:rPr>
              <w:tab/>
              <w:fldChar w:fldCharType="begin"/>
              <w:instrText xml:space="preserve"> PAGEREF _TocRev058 \h </w:instrText>
              <w:fldChar w:fldCharType="separate"/>
              <w:t>72</w:t>
              <w:fldChar w:fldCharType="end"/>
            </w:r>
          </w:hyperlink>
        </w:p>
        <w:p w14:paraId="7C40FD93" w14:textId="77777777" w:rsidR="002363FE" w:rsidRDefault="00CC0653">
          <w:pPr>
            <w:pStyle w:val="TOC3"/>
            <w:tabs>
              <w:tab w:val="right" w:leader="dot" w:pos="9350"/>
            </w:tabs>
            <w:spacing w:after="60" w:line="300" w:lineRule="auto"/>
          </w:pPr>
          <w:hyperlink w:anchor="_TocRev059" w:history="1">
            <w:r>
              <w:rPr>
                <w:noProof/>
              </w:rPr>
              <w:t>3.7.1 National Petroleum Authority Regulatory Filings</w:t>
            </w:r>
            <w:r>
              <w:rPr>
                <w:noProof/>
                <w:webHidden/>
              </w:rPr>
              <w:tab/>
              <w:fldChar w:fldCharType="begin"/>
              <w:instrText xml:space="preserve"> PAGEREF _TocRev059 \h </w:instrText>
              <w:fldChar w:fldCharType="separate"/>
              <w:t>72</w:t>
              <w:fldChar w:fldCharType="end"/>
            </w:r>
          </w:hyperlink>
        </w:p>
        <w:p w14:paraId="644CDA93" w14:textId="77777777" w:rsidR="002363FE" w:rsidRDefault="00CC0653">
          <w:pPr>
            <w:pStyle w:val="TOC3"/>
            <w:tabs>
              <w:tab w:val="right" w:leader="dot" w:pos="9350"/>
            </w:tabs>
            <w:spacing w:after="60" w:line="300" w:lineRule="auto"/>
          </w:pPr>
          <w:hyperlink w:anchor="_TocRev060" w:history="1">
            <w:r>
              <w:rPr>
                <w:noProof/>
              </w:rPr>
              <w:t>3.7.2 Bank of Ghana Exchange Rate and Forex Publications</w:t>
            </w:r>
            <w:r>
              <w:rPr>
                <w:noProof/>
                <w:webHidden/>
              </w:rPr>
              <w:tab/>
              <w:fldChar w:fldCharType="begin"/>
              <w:instrText xml:space="preserve"> PAGEREF _TocRev060 \h </w:instrText>
              <w:fldChar w:fldCharType="separate"/>
              <w:t>73</w:t>
              <w:fldChar w:fldCharType="end"/>
            </w:r>
          </w:hyperlink>
        </w:p>
        <w:p w14:paraId="736A2213" w14:textId="77777777" w:rsidR="002363FE" w:rsidRDefault="00CC0653">
          <w:pPr>
            <w:pStyle w:val="TOC3"/>
            <w:tabs>
              <w:tab w:val="right" w:leader="dot" w:pos="9350"/>
            </w:tabs>
            <w:spacing w:after="60" w:line="300" w:lineRule="auto"/>
          </w:pPr>
          <w:hyperlink w:anchor="_TocRev061" w:history="1">
            <w:r>
              <w:rPr>
                <w:noProof/>
              </w:rPr>
              <w:t>3.7.3 Ghana Revenue Authority Records (Used Only with Documented Permission)</w:t>
            </w:r>
            <w:r>
              <w:rPr>
                <w:noProof/>
                <w:webHidden/>
              </w:rPr>
              <w:tab/>
              <w:fldChar w:fldCharType="begin"/>
              <w:instrText xml:space="preserve"> PAGEREF _TocRev061 \h </w:instrText>
              <w:fldChar w:fldCharType="separate"/>
              <w:t>74</w:t>
              <w:fldChar w:fldCharType="end"/>
            </w:r>
          </w:hyperlink>
        </w:p>
        <w:p w14:paraId="49AA2997" w14:textId="77777777" w:rsidR="002363FE" w:rsidRDefault="00CC0653">
          <w:pPr>
            <w:pStyle w:val="TOC3"/>
            <w:tabs>
              <w:tab w:val="right" w:leader="dot" w:pos="9350"/>
            </w:tabs>
            <w:spacing w:after="60" w:line="300" w:lineRule="auto"/>
          </w:pPr>
          <w:hyperlink w:anchor="_TocRev062" w:history="1">
            <w:r>
              <w:rPr>
                <w:noProof/>
              </w:rPr>
              <w:t>3.7.4 World Bank and International Monetary Fund Databases</w:t>
            </w:r>
            <w:r>
              <w:rPr>
                <w:noProof/>
                <w:webHidden/>
              </w:rPr>
              <w:tab/>
              <w:fldChar w:fldCharType="begin"/>
              <w:instrText xml:space="preserve"> PAGEREF _TocRev062 \h </w:instrText>
              <w:fldChar w:fldCharType="separate"/>
              <w:t>75</w:t>
              <w:fldChar w:fldCharType="end"/>
            </w:r>
          </w:hyperlink>
        </w:p>
        <w:p w14:paraId="200A54E8" w14:textId="77777777" w:rsidR="002363FE" w:rsidRDefault="00CC0653">
          <w:pPr>
            <w:pStyle w:val="TOC3"/>
            <w:tabs>
              <w:tab w:val="right" w:leader="dot" w:pos="9350"/>
            </w:tabs>
            <w:spacing w:after="60" w:line="300" w:lineRule="auto"/>
          </w:pPr>
          <w:hyperlink w:anchor="_TocRev063" w:history="1">
            <w:r>
              <w:rPr>
                <w:noProof/>
              </w:rPr>
              <w:t>3.7.5 Data Integration, Cleaning and Panel Construction</w:t>
            </w:r>
            <w:r>
              <w:rPr>
                <w:noProof/>
                <w:webHidden/>
              </w:rPr>
              <w:tab/>
              <w:fldChar w:fldCharType="begin"/>
              <w:instrText xml:space="preserve"> PAGEREF _TocRev063 \h </w:instrText>
              <w:fldChar w:fldCharType="separate"/>
              <w:t>75</w:t>
              <w:fldChar w:fldCharType="end"/>
            </w:r>
          </w:hyperlink>
        </w:p>
        <w:p w14:paraId="200A54E8" w14:textId="77777777" w:rsidR="002363FE" w:rsidRDefault="00CC0653">
          <w:pPr>
            <w:pStyle w:val="TOC3"/>
            <w:tabs>
              <w:tab w:val="right" w:leader="dot" w:pos="9350"/>
            </w:tabs>
            <w:spacing w:after="60" w:line="300" w:lineRule="auto"/>
          </w:pPr>
          <w:hyperlink w:anchor="_TocNew1308" w:history="1">
            <w:r>
              <w:rPr>
                <w:noProof/>
              </w:rPr>
              <w:t>3.7.6 Pilot Data Audit and Pre-Specified Decision Rules</w:t>
            </w:r>
            <w:r>
              <w:rPr>
                <w:noProof/>
                <w:webHidden/>
              </w:rPr>
              <w:tab/>
              <w:fldChar w:fldCharType="begin"/>
              <w:instrText xml:space="preserve"> PAGEREF _TocNew1308 \h </w:instrText>
              <w:fldChar w:fldCharType="separate"/>
              <w:t>76</w:t>
              <w:fldChar w:fldCharType="end"/>
            </w:r>
          </w:hyperlink>
        </w:p>
        <w:p w14:paraId="476813F5" w14:textId="77777777" w:rsidR="002363FE" w:rsidRDefault="00CC0653">
          <w:pPr>
            <w:pStyle w:val="TOC2"/>
            <w:tabs>
              <w:tab w:val="right" w:leader="dot" w:pos="9350"/>
            </w:tabs>
            <w:spacing w:after="60" w:line="300" w:lineRule="auto"/>
          </w:pPr>
          <w:hyperlink w:anchor="_TocRev064" w:history="1">
            <w:r>
              <w:rPr>
                <w:noProof/>
              </w:rPr>
              <w:t>3.8 Measurement and Operationalisation of Variables</w:t>
            </w:r>
            <w:r>
              <w:rPr>
                <w:noProof/>
                <w:webHidden/>
              </w:rPr>
              <w:tab/>
              <w:fldChar w:fldCharType="begin"/>
              <w:instrText xml:space="preserve"> PAGEREF _TocRev064 \h </w:instrText>
              <w:fldChar w:fldCharType="separate"/>
              <w:t>78</w:t>
              <w:fldChar w:fldCharType="end"/>
            </w:r>
          </w:hyperlink>
        </w:p>
        <w:p w14:paraId="7ED2895F" w14:textId="77777777" w:rsidR="002363FE" w:rsidRDefault="00CC0653">
          <w:pPr>
            <w:pStyle w:val="TOC3"/>
            <w:tabs>
              <w:tab w:val="right" w:leader="dot" w:pos="9350"/>
            </w:tabs>
            <w:spacing w:after="60" w:line="300" w:lineRule="auto"/>
          </w:pPr>
          <w:hyperlink w:anchor="_TocRev065" w:history="1">
            <w:r>
              <w:rPr>
                <w:noProof/>
              </w:rPr>
              <w:t>3.8.1 Variable Operationalisation</w:t>
            </w:r>
            <w:r>
              <w:rPr>
                <w:noProof/>
                <w:webHidden/>
              </w:rPr>
              <w:tab/>
              <w:fldChar w:fldCharType="begin"/>
              <w:instrText xml:space="preserve"> PAGEREF _TocRev065 \h </w:instrText>
              <w:fldChar w:fldCharType="separate"/>
              <w:t>78</w:t>
              <w:fldChar w:fldCharType="end"/>
            </w:r>
          </w:hyperlink>
        </w:p>
        <w:p w14:paraId="6DED0CE0" w14:textId="77777777" w:rsidR="002363FE" w:rsidRDefault="00CC0653">
          <w:pPr>
            <w:pStyle w:val="TOC3"/>
            <w:tabs>
              <w:tab w:val="right" w:leader="dot" w:pos="9350"/>
            </w:tabs>
            <w:spacing w:after="60" w:line="300" w:lineRule="auto"/>
          </w:pPr>
          <w:hyperlink w:anchor="_TocRev066" w:history="1">
            <w:r>
              <w:rPr>
                <w:noProof/>
              </w:rPr>
              <w:t>3.8.2 Construction of the Forex Accessibility Index</w:t>
            </w:r>
            <w:r>
              <w:rPr>
                <w:noProof/>
                <w:webHidden/>
              </w:rPr>
              <w:tab/>
              <w:fldChar w:fldCharType="begin"/>
              <w:instrText xml:space="preserve"> PAGEREF _TocRev066 \h </w:instrText>
              <w:fldChar w:fldCharType="separate"/>
              <w:t>79</w:t>
              <w:fldChar w:fldCharType="end"/>
            </w:r>
          </w:hyperlink>
        </w:p>
        <w:p w14:paraId="3A13E7E2" w14:textId="77777777" w:rsidR="002363FE" w:rsidRDefault="00CC0653">
          <w:pPr>
            <w:pStyle w:val="TOC3"/>
            <w:tabs>
              <w:tab w:val="right" w:leader="dot" w:pos="9350"/>
            </w:tabs>
            <w:spacing w:after="60" w:line="300" w:lineRule="auto"/>
          </w:pPr>
          <w:hyperlink w:anchor="_TocRev067" w:history="1">
            <w:r>
              <w:rPr>
                <w:noProof/>
              </w:rPr>
              <w:t>3.8.3 Construction of the Financial Risk Index</w:t>
            </w:r>
            <w:r>
              <w:rPr>
                <w:noProof/>
                <w:webHidden/>
              </w:rPr>
              <w:tab/>
              <w:fldChar w:fldCharType="begin"/>
              <w:instrText xml:space="preserve"> PAGEREF _TocRev067 \h </w:instrText>
              <w:fldChar w:fldCharType="separate"/>
              <w:t>81</w:t>
              <w:fldChar w:fldCharType="end"/>
            </w:r>
          </w:hyperlink>
        </w:p>
        <w:p w14:paraId="28B3A258" w14:textId="77777777" w:rsidR="002363FE" w:rsidRDefault="00CC0653">
          <w:pPr>
            <w:pStyle w:val="TOC3"/>
            <w:tabs>
              <w:tab w:val="right" w:leader="dot" w:pos="9350"/>
            </w:tabs>
            <w:spacing w:after="60" w:line="300" w:lineRule="auto"/>
          </w:pPr>
          <w:hyperlink w:anchor="_TocRev068" w:history="1">
            <w:r>
              <w:rPr>
                <w:noProof/>
              </w:rPr>
              <w:t>3.8.4 Measurement of Investment Decisions</w:t>
            </w:r>
            <w:r>
              <w:rPr>
                <w:noProof/>
                <w:webHidden/>
              </w:rPr>
              <w:tab/>
              <w:fldChar w:fldCharType="begin"/>
              <w:instrText xml:space="preserve"> PAGEREF _TocRev068 \h </w:instrText>
              <w:fldChar w:fldCharType="separate"/>
              <w:t>82</w:t>
              <w:fldChar w:fldCharType="end"/>
            </w:r>
          </w:hyperlink>
        </w:p>
        <w:p w14:paraId="0E67CA43" w14:textId="77777777" w:rsidR="002363FE" w:rsidRDefault="00CC0653">
          <w:pPr>
            <w:pStyle w:val="TOC3"/>
            <w:tabs>
              <w:tab w:val="right" w:leader="dot" w:pos="9350"/>
            </w:tabs>
            <w:spacing w:after="60" w:line="300" w:lineRule="auto"/>
          </w:pPr>
          <w:hyperlink w:anchor="_TocRev069" w:history="1">
            <w:r>
              <w:rPr>
                <w:noProof/>
              </w:rPr>
              <w:t>3.8.5 Exchange Rate Volatility, Exposure and Asymmetry</w:t>
            </w:r>
            <w:r>
              <w:rPr>
                <w:noProof/>
                <w:webHidden/>
              </w:rPr>
              <w:tab/>
              <w:fldChar w:fldCharType="begin"/>
              <w:instrText xml:space="preserve"> PAGEREF _TocRev069 \h </w:instrText>
              <w:fldChar w:fldCharType="separate"/>
              <w:t>83</w:t>
              <w:fldChar w:fldCharType="end"/>
            </w:r>
          </w:hyperlink>
        </w:p>
        <w:p w14:paraId="3EC719F9" w14:textId="77777777" w:rsidR="002363FE" w:rsidRDefault="00CC0653">
          <w:pPr>
            <w:pStyle w:val="TOC2"/>
            <w:tabs>
              <w:tab w:val="right" w:leader="dot" w:pos="9350"/>
            </w:tabs>
            <w:spacing w:after="60" w:line="300" w:lineRule="auto"/>
          </w:pPr>
          <w:hyperlink w:anchor="_TocRev070" w:history="1">
            <w:r>
              <w:rPr>
                <w:noProof/>
              </w:rPr>
              <w:t>3.9 Analysis of Data</w:t>
            </w:r>
            <w:r>
              <w:rPr>
                <w:noProof/>
                <w:webHidden/>
              </w:rPr>
              <w:tab/>
              <w:fldChar w:fldCharType="begin"/>
              <w:instrText xml:space="preserve"> PAGEREF _TocRev070 \h </w:instrText>
              <w:fldChar w:fldCharType="separate"/>
              <w:t>84</w:t>
              <w:fldChar w:fldCharType="end"/>
            </w:r>
          </w:hyperlink>
        </w:p>
        <w:p w14:paraId="773C30AF" w14:textId="77777777" w:rsidR="002363FE" w:rsidRDefault="00CC0653">
          <w:pPr>
            <w:pStyle w:val="TOC3"/>
            <w:tabs>
              <w:tab w:val="right" w:leader="dot" w:pos="9350"/>
            </w:tabs>
            <w:spacing w:after="60" w:line="300" w:lineRule="auto"/>
          </w:pPr>
          <w:hyperlink w:anchor="_TocRev071" w:history="1">
            <w:r>
              <w:rPr>
                <w:noProof/>
              </w:rPr>
              <w:t>3.9.1 Analytical Sequence</w:t>
            </w:r>
            <w:r>
              <w:rPr>
                <w:noProof/>
                <w:webHidden/>
              </w:rPr>
              <w:tab/>
              <w:fldChar w:fldCharType="begin"/>
              <w:instrText xml:space="preserve"> PAGEREF _TocRev071 \h </w:instrText>
              <w:fldChar w:fldCharType="separate"/>
              <w:t>84</w:t>
              <w:fldChar w:fldCharType="end"/>
            </w:r>
          </w:hyperlink>
        </w:p>
        <w:p w14:paraId="5B249180" w14:textId="77777777" w:rsidR="002363FE" w:rsidRDefault="00CC0653">
          <w:pPr>
            <w:pStyle w:val="TOC3"/>
            <w:tabs>
              <w:tab w:val="right" w:leader="dot" w:pos="9350"/>
            </w:tabs>
            <w:spacing w:after="60" w:line="300" w:lineRule="auto"/>
          </w:pPr>
          <w:hyperlink w:anchor="_TocRev072" w:history="1">
            <w:r>
              <w:rPr>
                <w:noProof/>
              </w:rPr>
              <w:t>3.9.2 Decision Rules Governing Analytical Progression</w:t>
            </w:r>
            <w:r>
              <w:rPr>
                <w:noProof/>
                <w:webHidden/>
              </w:rPr>
              <w:tab/>
              <w:fldChar w:fldCharType="begin"/>
              <w:instrText xml:space="preserve"> PAGEREF _TocRev072 \h </w:instrText>
              <w:fldChar w:fldCharType="separate"/>
              <w:t>85</w:t>
              <w:fldChar w:fldCharType="end"/>
            </w:r>
          </w:hyperlink>
        </w:p>
        <w:p w14:paraId="24EEB2F1" w14:textId="77777777" w:rsidR="002363FE" w:rsidRDefault="00CC0653">
          <w:pPr>
            <w:pStyle w:val="TOC3"/>
            <w:tabs>
              <w:tab w:val="right" w:leader="dot" w:pos="9350"/>
            </w:tabs>
            <w:spacing w:after="60" w:line="300" w:lineRule="auto"/>
          </w:pPr>
          <w:hyperlink w:anchor="_TocRev073" w:history="1">
            <w:r>
              <w:rPr>
                <w:noProof/>
              </w:rPr>
              <w:t>3.9.3 Integration of Analytical Outputs into Policy Inference</w:t>
            </w:r>
            <w:r>
              <w:rPr>
                <w:noProof/>
                <w:webHidden/>
              </w:rPr>
              <w:tab/>
              <w:fldChar w:fldCharType="begin"/>
              <w:instrText xml:space="preserve"> PAGEREF _TocRev073 \h </w:instrText>
              <w:fldChar w:fldCharType="separate"/>
              <w:t>86</w:t>
              <w:fldChar w:fldCharType="end"/>
            </w:r>
          </w:hyperlink>
        </w:p>
        <w:p w14:paraId="24EEB2F1" w14:textId="77777777" w:rsidR="002363FE" w:rsidRDefault="00CC0653">
          <w:pPr>
            <w:pStyle w:val="TOC3"/>
            <w:tabs>
              <w:tab w:val="right" w:leader="dot" w:pos="9350"/>
            </w:tabs>
            <w:spacing w:after="60" w:line="300" w:lineRule="auto"/>
          </w:pPr>
          <w:hyperlink w:anchor="_TocNew809" w:history="1">
            <w:r>
              <w:rPr>
                <w:noProof/>
              </w:rPr>
              <w:t>3.9.4 Core and Supporting Analyses and When Each Is Dropped</w:t>
            </w:r>
            <w:r>
              <w:rPr>
                <w:noProof/>
                <w:webHidden/>
              </w:rPr>
              <w:tab/>
              <w:fldChar w:fldCharType="begin"/>
              <w:instrText xml:space="preserve"> PAGEREF _TocNew809 \h </w:instrText>
              <w:fldChar w:fldCharType="separate"/>
              <w:t>87</w:t>
              <w:fldChar w:fldCharType="end"/>
            </w:r>
          </w:hyperlink>
        </w:p>
        <w:p w14:paraId="7453A06A" w14:textId="77777777" w:rsidR="002363FE" w:rsidRDefault="00CC0653">
          <w:pPr>
            <w:pStyle w:val="TOC2"/>
            <w:tabs>
              <w:tab w:val="right" w:leader="dot" w:pos="9350"/>
            </w:tabs>
            <w:spacing w:after="60" w:line="300" w:lineRule="auto"/>
          </w:pPr>
          <w:hyperlink w:anchor="_TocRev074" w:history="1">
            <w:r>
              <w:rPr>
                <w:noProof/>
              </w:rPr>
              <w:t>3.10 Model Specifications</w:t>
            </w:r>
            <w:r>
              <w:rPr>
                <w:noProof/>
                <w:webHidden/>
              </w:rPr>
              <w:tab/>
              <w:fldChar w:fldCharType="begin"/>
              <w:instrText xml:space="preserve"> PAGEREF _TocRev074 \h </w:instrText>
              <w:fldChar w:fldCharType="separate"/>
              <w:t>88</w:t>
              <w:fldChar w:fldCharType="end"/>
            </w:r>
          </w:hyperlink>
        </w:p>
        <w:p w14:paraId="473DECAE" w14:textId="77777777" w:rsidR="002363FE" w:rsidRDefault="00CC0653">
          <w:pPr>
            <w:pStyle w:val="TOC3"/>
            <w:tabs>
              <w:tab w:val="right" w:leader="dot" w:pos="9350"/>
            </w:tabs>
            <w:spacing w:after="60" w:line="300" w:lineRule="auto"/>
          </w:pPr>
          <w:hyperlink w:anchor="_TocRev075" w:history="1">
            <w:r>
              <w:rPr>
                <w:noProof/>
              </w:rPr>
              <w:t>3.10.1 Overview of the Empirical Architecture</w:t>
            </w:r>
            <w:r>
              <w:rPr>
                <w:noProof/>
                <w:webHidden/>
              </w:rPr>
              <w:tab/>
              <w:fldChar w:fldCharType="begin"/>
              <w:instrText xml:space="preserve"> PAGEREF _TocRev075 \h </w:instrText>
              <w:fldChar w:fldCharType="separate"/>
              <w:t>88</w:t>
              <w:fldChar w:fldCharType="end"/>
            </w:r>
          </w:hyperlink>
        </w:p>
        <w:p w14:paraId="2DADB7E3" w14:textId="77777777" w:rsidR="002363FE" w:rsidRDefault="00CC0653">
          <w:pPr>
            <w:pStyle w:val="TOC3"/>
            <w:tabs>
              <w:tab w:val="right" w:leader="dot" w:pos="9350"/>
            </w:tabs>
            <w:spacing w:after="60" w:line="300" w:lineRule="auto"/>
          </w:pPr>
          <w:hyperlink w:anchor="_TocRev076" w:history="1">
            <w:r>
              <w:rPr>
                <w:noProof/>
              </w:rPr>
              <w:t>3.10.2 Model 1: Exchange Rate Volatility (GARCH and EGARCH)</w:t>
            </w:r>
            <w:r>
              <w:rPr>
                <w:noProof/>
                <w:webHidden/>
              </w:rPr>
              <w:tab/>
              <w:fldChar w:fldCharType="begin"/>
              <w:instrText xml:space="preserve"> PAGEREF _TocRev076 \h </w:instrText>
              <w:fldChar w:fldCharType="separate"/>
              <w:t>88</w:t>
              <w:fldChar w:fldCharType="end"/>
            </w:r>
          </w:hyperlink>
        </w:p>
        <w:p w14:paraId="7C744FC9" w14:textId="77777777" w:rsidR="002363FE" w:rsidRDefault="00CC0653">
          <w:pPr>
            <w:pStyle w:val="TOC3"/>
            <w:tabs>
              <w:tab w:val="right" w:leader="dot" w:pos="9350"/>
            </w:tabs>
            <w:spacing w:after="60" w:line="300" w:lineRule="auto"/>
          </w:pPr>
          <w:hyperlink w:anchor="_TocRev077" w:history="1">
            <w:r>
              <w:rPr>
                <w:noProof/>
              </w:rPr>
              <w:t>3.10.3 Model 2: Main Dynamic Panel Model</w:t>
            </w:r>
            <w:r>
              <w:rPr>
                <w:noProof/>
                <w:webHidden/>
              </w:rPr>
              <w:tab/>
              <w:fldChar w:fldCharType="begin"/>
              <w:instrText xml:space="preserve"> PAGEREF _TocRev077 \h </w:instrText>
              <w:fldChar w:fldCharType="separate"/>
              <w:t>90</w:t>
              <w:fldChar w:fldCharType="end"/>
            </w:r>
          </w:hyperlink>
        </w:p>
        <w:p w14:paraId="1525C76F" w14:textId="77777777" w:rsidR="002363FE" w:rsidRDefault="00CC0653">
          <w:pPr>
            <w:pStyle w:val="TOC3"/>
            <w:tabs>
              <w:tab w:val="right" w:leader="dot" w:pos="9350"/>
            </w:tabs>
            <w:spacing w:after="60" w:line="300" w:lineRule="auto"/>
          </w:pPr>
          <w:hyperlink w:anchor="_TocRev078" w:history="1">
            <w:r>
              <w:rPr>
                <w:noProof/>
              </w:rPr>
              <w:t>3.10.4 Model 3: Heterogeneity across Firm Categories</w:t>
            </w:r>
            <w:r>
              <w:rPr>
                <w:noProof/>
                <w:webHidden/>
              </w:rPr>
              <w:tab/>
              <w:fldChar w:fldCharType="begin"/>
              <w:instrText xml:space="preserve"> PAGEREF _TocRev078 \h </w:instrText>
              <w:fldChar w:fldCharType="separate"/>
              <w:t>92</w:t>
              <w:fldChar w:fldCharType="end"/>
            </w:r>
          </w:hyperlink>
        </w:p>
        <w:p w14:paraId="6560B913" w14:textId="77777777" w:rsidR="002363FE" w:rsidRDefault="00CC0653">
          <w:pPr>
            <w:pStyle w:val="TOC3"/>
            <w:tabs>
              <w:tab w:val="right" w:leader="dot" w:pos="9350"/>
            </w:tabs>
            <w:spacing w:after="60" w:line="300" w:lineRule="auto"/>
          </w:pPr>
          <w:hyperlink w:anchor="_TocRev079" w:history="1">
            <w:r>
              <w:rPr>
                <w:noProof/>
              </w:rPr>
              <w:t>3.10.5 Model 4: Lagged Investment Channel (Mediation)</w:t>
            </w:r>
            <w:r>
              <w:rPr>
                <w:noProof/>
                <w:webHidden/>
              </w:rPr>
              <w:tab/>
              <w:fldChar w:fldCharType="begin"/>
              <w:instrText xml:space="preserve"> PAGEREF _TocRev079 \h </w:instrText>
              <w:fldChar w:fldCharType="separate"/>
              <w:t>93</w:t>
              <w:fldChar w:fldCharType="end"/>
            </w:r>
          </w:hyperlink>
        </w:p>
        <w:p w14:paraId="4AA9003E" w14:textId="77777777" w:rsidR="002363FE" w:rsidRDefault="00CC0653">
          <w:pPr>
            <w:pStyle w:val="TOC3"/>
            <w:tabs>
              <w:tab w:val="right" w:leader="dot" w:pos="9350"/>
            </w:tabs>
            <w:spacing w:after="60" w:line="300" w:lineRule="auto"/>
          </w:pPr>
          <w:hyperlink w:anchor="_TocRev080" w:history="1">
            <w:r>
              <w:rPr>
                <w:noProof/>
              </w:rPr>
              <w:t>3.10.6 Model 5: Moderation by Financial Risk</w:t>
            </w:r>
            <w:r>
              <w:rPr>
                <w:noProof/>
                <w:webHidden/>
              </w:rPr>
              <w:tab/>
              <w:fldChar w:fldCharType="begin"/>
              <w:instrText xml:space="preserve"> PAGEREF _TocRev080 \h </w:instrText>
              <w:fldChar w:fldCharType="separate"/>
              <w:t>95</w:t>
              <w:fldChar w:fldCharType="end"/>
            </w:r>
          </w:hyperlink>
        </w:p>
        <w:p w14:paraId="507B2B68" w14:textId="77777777" w:rsidR="002363FE" w:rsidRDefault="00CC0653">
          <w:pPr>
            <w:pStyle w:val="TOC3"/>
            <w:tabs>
              <w:tab w:val="right" w:leader="dot" w:pos="9350"/>
            </w:tabs>
            <w:spacing w:after="60" w:line="300" w:lineRule="auto"/>
          </w:pPr>
          <w:hyperlink w:anchor="_TocRev081" w:history="1">
            <w:r>
              <w:rPr>
                <w:noProof/>
              </w:rPr>
              <w:t>3.10.7 Model 6: Panel VAR and ARIMAX for Dynamic Interdependence</w:t>
            </w:r>
            <w:r>
              <w:rPr>
                <w:noProof/>
                <w:webHidden/>
              </w:rPr>
              <w:tab/>
              <w:fldChar w:fldCharType="begin"/>
              <w:instrText xml:space="preserve"> PAGEREF _TocRev081 \h </w:instrText>
              <w:fldChar w:fldCharType="separate"/>
              <w:t>96</w:t>
              <w:fldChar w:fldCharType="end"/>
            </w:r>
          </w:hyperlink>
        </w:p>
        <w:p w14:paraId="203D094D" w14:textId="77777777" w:rsidR="002363FE" w:rsidRDefault="00CC0653">
          <w:pPr>
            <w:pStyle w:val="TOC3"/>
            <w:tabs>
              <w:tab w:val="right" w:leader="dot" w:pos="9350"/>
            </w:tabs>
            <w:spacing w:after="60" w:line="300" w:lineRule="auto"/>
          </w:pPr>
          <w:hyperlink w:anchor="_TocRev082" w:history="1">
            <w:r>
              <w:rPr>
                <w:noProof/>
              </w:rPr>
              <w:t>3.10.8 Supporting Monte Carlo Analysis</w:t>
            </w:r>
            <w:r>
              <w:rPr>
                <w:noProof/>
                <w:webHidden/>
              </w:rPr>
              <w:tab/>
              <w:fldChar w:fldCharType="begin"/>
              <w:instrText xml:space="preserve"> PAGEREF _TocRev082 \h </w:instrText>
              <w:fldChar w:fldCharType="separate"/>
              <w:t>98</w:t>
              <w:fldChar w:fldCharType="end"/>
            </w:r>
          </w:hyperlink>
        </w:p>
        <w:p w14:paraId="609AA49D" w14:textId="77777777" w:rsidR="002363FE" w:rsidRDefault="00CC0653">
          <w:pPr>
            <w:pStyle w:val="TOC2"/>
            <w:tabs>
              <w:tab w:val="right" w:leader="dot" w:pos="9350"/>
            </w:tabs>
            <w:spacing w:after="60" w:line="300" w:lineRule="auto"/>
          </w:pPr>
          <w:hyperlink w:anchor="_TocRev083" w:history="1">
            <w:r>
              <w:rPr>
                <w:noProof/>
              </w:rPr>
              <w:t>3.11 Identification Strategy</w:t>
            </w:r>
            <w:r>
              <w:rPr>
                <w:noProof/>
                <w:webHidden/>
              </w:rPr>
              <w:tab/>
              <w:fldChar w:fldCharType="begin"/>
              <w:instrText xml:space="preserve"> PAGEREF _TocRev083 \h </w:instrText>
              <w:fldChar w:fldCharType="separate"/>
              <w:t>98</w:t>
              <w:fldChar w:fldCharType="end"/>
            </w:r>
          </w:hyperlink>
        </w:p>
        <w:p w14:paraId="27AA0C7A" w14:textId="77777777" w:rsidR="002363FE" w:rsidRDefault="00CC0653">
          <w:pPr>
            <w:pStyle w:val="TOC3"/>
            <w:tabs>
              <w:tab w:val="right" w:leader="dot" w:pos="9350"/>
            </w:tabs>
            <w:spacing w:after="60" w:line="300" w:lineRule="auto"/>
          </w:pPr>
          <w:hyperlink w:anchor="_TocRev084" w:history="1">
            <w:r>
              <w:rPr>
                <w:noProof/>
              </w:rPr>
              <w:t>3.11.1 Sources of Endogeneity and Variable Classification</w:t>
            </w:r>
            <w:r>
              <w:rPr>
                <w:noProof/>
                <w:webHidden/>
              </w:rPr>
              <w:tab/>
              <w:fldChar w:fldCharType="begin"/>
              <w:instrText xml:space="preserve"> PAGEREF _TocRev084 \h </w:instrText>
              <w:fldChar w:fldCharType="separate"/>
              <w:t>99</w:t>
              <w:fldChar w:fldCharType="end"/>
            </w:r>
          </w:hyperlink>
        </w:p>
        <w:p w14:paraId="41AD7E4F" w14:textId="77777777" w:rsidR="002363FE" w:rsidRDefault="00CC0653">
          <w:pPr>
            <w:pStyle w:val="TOC3"/>
            <w:tabs>
              <w:tab w:val="right" w:leader="dot" w:pos="9350"/>
            </w:tabs>
            <w:spacing w:after="60" w:line="300" w:lineRule="auto"/>
          </w:pPr>
          <w:hyperlink w:anchor="_TocRev085" w:history="1">
            <w:r>
              <w:rPr>
                <w:noProof/>
              </w:rPr>
              <w:t>3.11.2 Feasibility of System GMM, Instrument Validity and Diagnostic Reporting</w:t>
            </w:r>
            <w:r>
              <w:rPr>
                <w:noProof/>
                <w:webHidden/>
              </w:rPr>
              <w:tab/>
              <w:fldChar w:fldCharType="begin"/>
              <w:instrText xml:space="preserve"> PAGEREF _TocRev085 \h </w:instrText>
              <w:fldChar w:fldCharType="separate"/>
              <w:t>100</w:t>
              <w:fldChar w:fldCharType="end"/>
            </w:r>
          </w:hyperlink>
        </w:p>
        <w:p w14:paraId="37D37C4F" w14:textId="77777777" w:rsidR="002363FE" w:rsidRDefault="00CC0653">
          <w:pPr>
            <w:pStyle w:val="TOC3"/>
            <w:tabs>
              <w:tab w:val="right" w:leader="dot" w:pos="9350"/>
            </w:tabs>
            <w:spacing w:after="60" w:line="300" w:lineRule="auto"/>
          </w:pPr>
          <w:hyperlink w:anchor="_TocRev086" w:history="1">
            <w:r>
              <w:rPr>
                <w:noProof/>
              </w:rPr>
              <w:t>3.11.3 Standard Errors and the Role of Driscoll–Kraay Estimates</w:t>
            </w:r>
            <w:r>
              <w:rPr>
                <w:noProof/>
                <w:webHidden/>
              </w:rPr>
              <w:tab/>
              <w:fldChar w:fldCharType="begin"/>
              <w:instrText xml:space="preserve"> PAGEREF _TocRev086 \h </w:instrText>
              <w:fldChar w:fldCharType="separate"/>
              <w:t>102</w:t>
              <w:fldChar w:fldCharType="end"/>
            </w:r>
          </w:hyperlink>
        </w:p>
        <w:p w14:paraId="4754B3D9" w14:textId="77777777" w:rsidR="002363FE" w:rsidRDefault="00CC0653">
          <w:pPr>
            <w:pStyle w:val="TOC3"/>
            <w:tabs>
              <w:tab w:val="right" w:leader="dot" w:pos="9350"/>
            </w:tabs>
            <w:spacing w:after="60" w:line="300" w:lineRule="auto"/>
          </w:pPr>
          <w:hyperlink w:anchor="_TocRev087" w:history="1">
            <w:r>
              <w:rPr>
                <w:noProof/>
              </w:rPr>
              <w:t>3.11.4 What Remains Unidentified</w:t>
            </w:r>
            <w:r>
              <w:rPr>
                <w:noProof/>
                <w:webHidden/>
              </w:rPr>
              <w:tab/>
              <w:fldChar w:fldCharType="begin"/>
              <w:instrText xml:space="preserve"> PAGEREF _TocRev087 \h </w:instrText>
              <w:fldChar w:fldCharType="separate"/>
              <w:t>103</w:t>
              <w:fldChar w:fldCharType="end"/>
            </w:r>
          </w:hyperlink>
        </w:p>
        <w:p w14:paraId="17845ACF" w14:textId="77777777" w:rsidR="002363FE" w:rsidRDefault="00CC0653">
          <w:pPr>
            <w:pStyle w:val="TOC2"/>
            <w:tabs>
              <w:tab w:val="right" w:leader="dot" w:pos="9350"/>
            </w:tabs>
            <w:spacing w:after="60" w:line="300" w:lineRule="auto"/>
          </w:pPr>
          <w:hyperlink w:anchor="_TocRev088" w:history="1">
            <w:r>
              <w:rPr>
                <w:noProof/>
              </w:rPr>
              <w:t>3.12 Diagnostic and Robustness Tests</w:t>
            </w:r>
            <w:r>
              <w:rPr>
                <w:noProof/>
                <w:webHidden/>
              </w:rPr>
              <w:tab/>
              <w:fldChar w:fldCharType="begin"/>
              <w:instrText xml:space="preserve"> PAGEREF _TocRev088 \h </w:instrText>
              <w:fldChar w:fldCharType="separate"/>
              <w:t>103</w:t>
              <w:fldChar w:fldCharType="end"/>
            </w:r>
          </w:hyperlink>
        </w:p>
        <w:p w14:paraId="4B9C7BE8" w14:textId="77777777" w:rsidR="002363FE" w:rsidRDefault="00CC0653">
          <w:pPr>
            <w:pStyle w:val="TOC3"/>
            <w:tabs>
              <w:tab w:val="right" w:leader="dot" w:pos="9350"/>
            </w:tabs>
            <w:spacing w:after="60" w:line="300" w:lineRule="auto"/>
          </w:pPr>
          <w:hyperlink w:anchor="_TocRev089" w:history="1">
            <w:r>
              <w:rPr>
                <w:noProof/>
              </w:rPr>
              <w:t>3.12.1 Panel Data Diagnostics</w:t>
            </w:r>
            <w:r>
              <w:rPr>
                <w:noProof/>
                <w:webHidden/>
              </w:rPr>
              <w:tab/>
              <w:fldChar w:fldCharType="begin"/>
              <w:instrText xml:space="preserve"> PAGEREF _TocRev089 \h </w:instrText>
              <w:fldChar w:fldCharType="separate"/>
              <w:t>103</w:t>
              <w:fldChar w:fldCharType="end"/>
            </w:r>
          </w:hyperlink>
        </w:p>
        <w:p w14:paraId="4D4A62C6" w14:textId="77777777" w:rsidR="002363FE" w:rsidRDefault="00CC0653">
          <w:pPr>
            <w:pStyle w:val="TOC3"/>
            <w:tabs>
              <w:tab w:val="right" w:leader="dot" w:pos="9350"/>
            </w:tabs>
            <w:spacing w:after="60" w:line="300" w:lineRule="auto"/>
          </w:pPr>
          <w:hyperlink w:anchor="_TocRev090" w:history="1">
            <w:r>
              <w:rPr>
                <w:noProof/>
              </w:rPr>
              <w:t>3.12.2 Volatility Model Diagnostics</w:t>
            </w:r>
            <w:r>
              <w:rPr>
                <w:noProof/>
                <w:webHidden/>
              </w:rPr>
              <w:tab/>
              <w:fldChar w:fldCharType="begin"/>
              <w:instrText xml:space="preserve"> PAGEREF _TocRev090 \h </w:instrText>
              <w:fldChar w:fldCharType="separate"/>
              <w:t>104</w:t>
              <w:fldChar w:fldCharType="end"/>
            </w:r>
          </w:hyperlink>
        </w:p>
        <w:p w14:paraId="39BC2A8F" w14:textId="77777777" w:rsidR="002363FE" w:rsidRDefault="00CC0653">
          <w:pPr>
            <w:pStyle w:val="TOC3"/>
            <w:tabs>
              <w:tab w:val="right" w:leader="dot" w:pos="9350"/>
            </w:tabs>
            <w:spacing w:after="60" w:line="300" w:lineRule="auto"/>
          </w:pPr>
          <w:hyperlink w:anchor="_TocRev091" w:history="1">
            <w:r>
              <w:rPr>
                <w:noProof/>
              </w:rPr>
              <w:t>3.12.3 Panel VAR and ARIMAX Diagnostics</w:t>
            </w:r>
            <w:r>
              <w:rPr>
                <w:noProof/>
                <w:webHidden/>
              </w:rPr>
              <w:tab/>
              <w:fldChar w:fldCharType="begin"/>
              <w:instrText xml:space="preserve"> PAGEREF _TocRev091 \h </w:instrText>
              <w:fldChar w:fldCharType="separate"/>
              <w:t>104</w:t>
              <w:fldChar w:fldCharType="end"/>
            </w:r>
          </w:hyperlink>
        </w:p>
        <w:p w14:paraId="02B9879F" w14:textId="77777777" w:rsidR="002363FE" w:rsidRDefault="00CC0653">
          <w:pPr>
            <w:pStyle w:val="TOC3"/>
            <w:tabs>
              <w:tab w:val="right" w:leader="dot" w:pos="9350"/>
            </w:tabs>
            <w:spacing w:after="60" w:line="300" w:lineRule="auto"/>
          </w:pPr>
          <w:hyperlink w:anchor="_TocRev092" w:history="1">
            <w:r>
              <w:rPr>
                <w:noProof/>
              </w:rPr>
              <w:t>3.12.4 Robustness Analysis</w:t>
            </w:r>
            <w:r>
              <w:rPr>
                <w:noProof/>
                <w:webHidden/>
              </w:rPr>
              <w:tab/>
              <w:fldChar w:fldCharType="begin"/>
              <w:instrText xml:space="preserve"> PAGEREF _TocRev092 \h </w:instrText>
              <w:fldChar w:fldCharType="separate"/>
              <w:t>105</w:t>
              <w:fldChar w:fldCharType="end"/>
            </w:r>
          </w:hyperlink>
        </w:p>
        <w:p w14:paraId="22947FCF" w14:textId="77777777" w:rsidR="002363FE" w:rsidRDefault="00CC0653">
          <w:pPr>
            <w:pStyle w:val="TOC2"/>
            <w:tabs>
              <w:tab w:val="right" w:leader="dot" w:pos="9350"/>
            </w:tabs>
            <w:spacing w:after="60" w:line="300" w:lineRule="auto"/>
          </w:pPr>
          <w:hyperlink w:anchor="_TocRev093" w:history="1">
            <w:r>
              <w:rPr>
                <w:noProof/>
              </w:rPr>
              <w:t>3.13 Alignment of Objectives, Questions, Hypotheses and Models</w:t>
            </w:r>
            <w:r>
              <w:rPr>
                <w:noProof/>
                <w:webHidden/>
              </w:rPr>
              <w:tab/>
              <w:fldChar w:fldCharType="begin"/>
              <w:instrText xml:space="preserve"> PAGEREF _TocRev093 \h </w:instrText>
              <w:fldChar w:fldCharType="separate"/>
              <w:t>106</w:t>
              <w:fldChar w:fldCharType="end"/>
            </w:r>
          </w:hyperlink>
        </w:p>
        <w:p w14:paraId="35F7DFA6" w14:textId="77777777" w:rsidR="002363FE" w:rsidRDefault="00CC0653">
          <w:pPr>
            <w:pStyle w:val="TOC2"/>
            <w:tabs>
              <w:tab w:val="right" w:leader="dot" w:pos="9350"/>
            </w:tabs>
            <w:spacing w:after="60" w:line="300" w:lineRule="auto"/>
          </w:pPr>
          <w:hyperlink w:anchor="_TocRev094" w:history="1">
            <w:r>
              <w:rPr>
                <w:noProof/>
              </w:rPr>
              <w:t>3.14 Ethical Considerations</w:t>
            </w:r>
            <w:r>
              <w:rPr>
                <w:noProof/>
                <w:webHidden/>
              </w:rPr>
              <w:tab/>
              <w:fldChar w:fldCharType="begin"/>
              <w:instrText xml:space="preserve"> PAGEREF _TocRev094 \h </w:instrText>
              <w:fldChar w:fldCharType="separate"/>
              <w:t>107</w:t>
              <w:fldChar w:fldCharType="end"/>
            </w:r>
          </w:hyperlink>
        </w:p>
        <w:p w14:paraId="014BBDAC" w14:textId="77777777" w:rsidR="002363FE" w:rsidRDefault="00CC0653">
          <w:pPr>
            <w:pStyle w:val="TOC1"/>
            <w:tabs>
              <w:tab w:val="right" w:leader="dot" w:pos="9350"/>
            </w:tabs>
            <w:spacing w:after="60" w:line="300" w:lineRule="auto"/>
          </w:pPr>
          <w:hyperlink w:anchor="_TocRev095" w:history="1">
            <w:r>
              <w:rPr>
                <w:noProof/>
              </w:rPr>
              <w:t>REFERENCES</w:t>
            </w:r>
            <w:r>
              <w:rPr>
                <w:noProof/>
                <w:webHidden/>
              </w:rPr>
              <w:tab/>
              <w:fldChar w:fldCharType="begin"/>
              <w:instrText xml:space="preserve"> PAGEREF _TocRev095 \h </w:instrText>
              <w:fldChar w:fldCharType="separate"/>
              <w:t>110</w:t>
              <w:fldChar w:fldCharType="end"/>
            </w:r>
          </w:hyperlink>
          <w:r>
            <w:fldChar w:fldCharType="end"/>
          </w:r>
        </w:p>
      </w:sdtContent>
    </w:sdt>
    <w:p w14:paraId="51B82535" w14:textId="77777777" w:rsidR="004F4309" w:rsidRDefault="000E7025" w:rsidP="00607B9F">
      <w:pPr>
        <w:pStyle w:val="Heading1"/>
        <w:pageBreakBefore/>
        <w:spacing w:line="480" w:lineRule="auto"/>
      </w:pPr>
      <w:bookmarkStart w:id="0" w:name="_TocRev000"/>
      <w:r>
        <w:lastRenderedPageBreak/>
        <w:t>LIST OF ABBREVIATIONS</w:t>
      </w:r>
      <w:bookmarkEnd w:id="0"/>
    </w:p>
    <w:tbl>
      <w:tblPr>
        <w:tblStyle w:val="TableGrid"/>
        <w:tblW w:w="9446" w:type="dxa"/>
        <w:tblLook w:val="04A0" w:firstRow="1" w:lastRow="0" w:firstColumn="1" w:lastColumn="0" w:noHBand="0" w:noVBand="1"/>
      </w:tblPr>
      <w:tblGrid>
        <w:gridCol w:w="2292"/>
        <w:gridCol w:w="7154"/>
      </w:tblGrid>
      <w:tr w:rsidR="00500B2F" w14:paraId="07814CB4" w14:textId="77777777" w:rsidTr="00500B2F">
        <w:trPr>
          <w:trHeight w:val="399"/>
        </w:trPr>
        <w:tc>
          <w:tcPr>
            <w:tcW w:w="2292" w:type="dxa"/>
            <w:shd w:val="clear" w:color="auto" w:fill="1F3864"/>
          </w:tcPr>
          <w:p w14:paraId="2078452A" w14:textId="77777777" w:rsidR="00500B2F" w:rsidRDefault="00500B2F" w:rsidP="00CD4FCA">
            <w:pPr>
              <w:spacing w:before="40" w:after="40"/>
              <w:jc w:val="center"/>
            </w:pPr>
            <w:r>
              <w:rPr>
                <w:b/>
                <w:color w:val="FFFFFF"/>
              </w:rPr>
              <w:t>Abbreviation</w:t>
            </w:r>
          </w:p>
        </w:tc>
        <w:tc>
          <w:tcPr>
            <w:tcW w:w="7154" w:type="dxa"/>
            <w:shd w:val="clear" w:color="auto" w:fill="1F3864"/>
          </w:tcPr>
          <w:p w14:paraId="41021235" w14:textId="77777777" w:rsidR="00500B2F" w:rsidRDefault="00500B2F" w:rsidP="00CD4FCA">
            <w:pPr>
              <w:spacing w:before="40" w:after="40"/>
              <w:jc w:val="center"/>
            </w:pPr>
            <w:r>
              <w:rPr>
                <w:b/>
                <w:color w:val="FFFFFF"/>
              </w:rPr>
              <w:t>Full Form / Definition</w:t>
            </w:r>
          </w:p>
        </w:tc>
      </w:tr>
      <w:tr w:rsidR="00500B2F" w14:paraId="57938E5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066859E1" w14:textId="77777777" w:rsidR="00500B2F" w:rsidRDefault="00500B2F" w:rsidP="00CD4FCA">
            <w:pPr>
              <w:spacing w:before="40" w:after="40"/>
              <w:jc w:val="center"/>
            </w:pPr>
            <w:r>
              <w:rPr>
                <w:b/>
              </w:rPr>
              <w:t>ADF</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C4CC0F6" w14:textId="77777777" w:rsidR="00500B2F" w:rsidRDefault="00500B2F" w:rsidP="00CD4FCA">
            <w:pPr>
              <w:spacing w:before="40" w:after="40"/>
            </w:pPr>
            <w:r>
              <w:t>Augmented Dickey–Fuller Test</w:t>
            </w:r>
          </w:p>
        </w:tc>
      </w:tr>
      <w:tr w:rsidR="00500B2F" w14:paraId="78FBC64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2C935F7" w14:textId="77777777" w:rsidR="00500B2F" w:rsidRDefault="00500B2F" w:rsidP="00CD4FCA">
            <w:pPr>
              <w:spacing w:before="40" w:after="40"/>
              <w:jc w:val="center"/>
            </w:pPr>
            <w:r>
              <w:rPr>
                <w:b/>
              </w:rPr>
              <w:t>AIC</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C2816B5" w14:textId="77777777" w:rsidR="00500B2F" w:rsidRDefault="00500B2F" w:rsidP="00CD4FCA">
            <w:pPr>
              <w:spacing w:before="40" w:after="40"/>
            </w:pPr>
            <w:r>
              <w:t>Akaike Information Criterion</w:t>
            </w:r>
          </w:p>
        </w:tc>
      </w:tr>
      <w:tr w:rsidR="00500B2F" w14:paraId="44A9AC3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DF2E8FC" w14:textId="77777777" w:rsidR="00500B2F" w:rsidRDefault="00500B2F" w:rsidP="00CD4FCA">
            <w:pPr>
              <w:spacing w:before="40" w:after="40"/>
              <w:jc w:val="center"/>
            </w:pPr>
            <w:r>
              <w:rPr>
                <w:b/>
              </w:rPr>
              <w:t>AR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AE0FF2A" w14:textId="77777777" w:rsidR="00500B2F" w:rsidRDefault="00500B2F" w:rsidP="00CD4FCA">
            <w:pPr>
              <w:spacing w:before="40" w:after="40"/>
            </w:pPr>
            <w:r>
              <w:t>Autoregressive</w:t>
            </w:r>
          </w:p>
        </w:tc>
      </w:tr>
      <w:tr w:rsidR="00500B2F" w14:paraId="1F8820A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C40E8DD" w14:textId="77777777" w:rsidR="00500B2F" w:rsidRDefault="00500B2F" w:rsidP="00CD4FCA">
            <w:pPr>
              <w:spacing w:before="40" w:after="40"/>
              <w:jc w:val="center"/>
            </w:pPr>
            <w:r>
              <w:rPr>
                <w:b/>
              </w:rPr>
              <w:t>ARCH</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21323E2E" w14:textId="77777777" w:rsidR="00500B2F" w:rsidRDefault="00500B2F" w:rsidP="00CD4FCA">
            <w:pPr>
              <w:spacing w:before="40" w:after="40"/>
            </w:pPr>
            <w:r>
              <w:t>Autoregressive Conditional Heteroskedasticity</w:t>
            </w:r>
          </w:p>
        </w:tc>
      </w:tr>
      <w:tr w:rsidR="00500B2F" w14:paraId="59D1A93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459C4D7" w14:textId="77777777" w:rsidR="00500B2F" w:rsidRDefault="00500B2F" w:rsidP="00CD4FCA">
            <w:pPr>
              <w:spacing w:before="40" w:after="40"/>
              <w:jc w:val="center"/>
            </w:pPr>
            <w:r>
              <w:rPr>
                <w:b/>
              </w:rPr>
              <w:t>ARIMAX</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42E156F4" w14:textId="77777777" w:rsidR="00500B2F" w:rsidRDefault="00500B2F" w:rsidP="00CD4FCA">
            <w:pPr>
              <w:spacing w:before="40" w:after="40"/>
            </w:pPr>
            <w:r>
              <w:t>Autoregressive Integrated Moving Average with Exogenous Inputs</w:t>
            </w:r>
          </w:p>
        </w:tc>
      </w:tr>
      <w:tr w:rsidR="00500B2F" w14:paraId="2541C00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B560710" w14:textId="77777777" w:rsidR="00500B2F" w:rsidRDefault="00500B2F" w:rsidP="00CD4FCA">
            <w:pPr>
              <w:spacing w:before="40" w:after="40"/>
              <w:jc w:val="center"/>
            </w:pPr>
            <w:r>
              <w:rPr>
                <w:b/>
              </w:rPr>
              <w:t>ARMA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E59C75C" w14:textId="77777777" w:rsidR="00500B2F" w:rsidRDefault="00500B2F" w:rsidP="00CD4FCA">
            <w:pPr>
              <w:spacing w:before="40" w:after="40"/>
            </w:pPr>
            <w:r>
              <w:t>Autoregressive Moving Average</w:t>
            </w:r>
          </w:p>
        </w:tc>
      </w:tr>
      <w:tr w:rsidR="00500B2F" w14:paraId="24E6EDC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670C1CE" w14:textId="77777777" w:rsidR="00500B2F" w:rsidRDefault="00500B2F" w:rsidP="00CD4FCA">
            <w:pPr>
              <w:spacing w:before="40" w:after="40"/>
              <w:jc w:val="center"/>
            </w:pPr>
            <w:r>
              <w:rPr>
                <w:b/>
              </w:rPr>
              <w:t>BIC</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EC7DFF2" w14:textId="77777777" w:rsidR="00500B2F" w:rsidRDefault="00500B2F" w:rsidP="00CD4FCA">
            <w:pPr>
              <w:spacing w:before="40" w:after="40"/>
            </w:pPr>
            <w:r>
              <w:t>Bayesian Information Criterion</w:t>
            </w:r>
          </w:p>
        </w:tc>
      </w:tr>
      <w:tr w:rsidR="00500B2F" w14:paraId="68A59D7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A3DB5BA" w14:textId="77777777" w:rsidR="00500B2F" w:rsidRDefault="00500B2F" w:rsidP="00CD4FCA">
            <w:pPr>
              <w:spacing w:before="40" w:after="40"/>
              <w:jc w:val="center"/>
            </w:pPr>
            <w:r>
              <w:rPr>
                <w:b/>
              </w:rPr>
              <w:t>BIDECs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C717BC2" w14:textId="77777777" w:rsidR="00500B2F" w:rsidRDefault="00500B2F" w:rsidP="00CD4FCA">
            <w:pPr>
              <w:spacing w:before="40" w:after="40"/>
            </w:pPr>
            <w:r>
              <w:t>Bulk Import, Distribution and Export Companies</w:t>
            </w:r>
          </w:p>
        </w:tc>
      </w:tr>
      <w:tr w:rsidR="00500B2F" w14:paraId="7228A20F"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3497A059" w14:textId="77777777" w:rsidR="00500B2F" w:rsidRDefault="00500B2F" w:rsidP="00CD4FCA">
            <w:pPr>
              <w:spacing w:before="40" w:after="40"/>
              <w:jc w:val="center"/>
            </w:pPr>
            <w:r>
              <w:rPr>
                <w:b/>
              </w:rPr>
              <w:t>BoG</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7EF4B4D" w14:textId="77777777" w:rsidR="00500B2F" w:rsidRDefault="00500B2F" w:rsidP="00CD4FCA">
            <w:pPr>
              <w:spacing w:before="40" w:after="40"/>
            </w:pPr>
            <w:r>
              <w:t>Bank of Ghana</w:t>
            </w:r>
          </w:p>
        </w:tc>
      </w:tr>
      <w:tr w:rsidR="00500B2F" w14:paraId="209FC7A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BDE1888" w14:textId="77777777" w:rsidR="00500B2F" w:rsidRDefault="00500B2F" w:rsidP="00CD4FCA">
            <w:pPr>
              <w:spacing w:before="40" w:after="40"/>
              <w:jc w:val="center"/>
            </w:pPr>
            <w:r>
              <w:rPr>
                <w:b/>
              </w:rPr>
              <w:t>CAPEX</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25FCF48" w14:textId="77777777" w:rsidR="00500B2F" w:rsidRDefault="00500B2F" w:rsidP="00CD4FCA">
            <w:pPr>
              <w:spacing w:before="40" w:after="40"/>
            </w:pPr>
            <w:r>
              <w:t>Capital Expenditure</w:t>
            </w:r>
          </w:p>
        </w:tc>
      </w:tr>
      <w:tr w:rsidR="00500B2F" w14:paraId="5D546D0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CBA80D2" w14:textId="77777777" w:rsidR="00500B2F" w:rsidRDefault="00500B2F" w:rsidP="00CD4FCA">
            <w:pPr>
              <w:spacing w:before="40" w:after="40"/>
              <w:jc w:val="center"/>
            </w:pPr>
            <w:r>
              <w:rPr>
                <w:b/>
              </w:rPr>
              <w:t>CCC</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9ECD282" w14:textId="77777777" w:rsidR="00500B2F" w:rsidRDefault="00500B2F" w:rsidP="00CD4FCA">
            <w:pPr>
              <w:spacing w:before="40" w:after="40"/>
            </w:pPr>
            <w:r>
              <w:t>Cash Conversion Cycle</w:t>
            </w:r>
          </w:p>
        </w:tc>
      </w:tr>
      <w:tr w:rsidR="00500B2F" w14:paraId="10FB577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AE6F73E" w14:textId="77777777" w:rsidR="00500B2F" w:rsidRDefault="00500B2F" w:rsidP="00CD4FCA">
            <w:pPr>
              <w:spacing w:before="40" w:after="40"/>
              <w:jc w:val="center"/>
            </w:pPr>
            <w:r>
              <w:rPr>
                <w:b/>
              </w:rPr>
              <w:t>CFA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59A7AF42" w14:textId="77777777" w:rsidR="00500B2F" w:rsidRDefault="00500B2F" w:rsidP="00CD4FCA">
            <w:pPr>
              <w:spacing w:before="40" w:after="40"/>
            </w:pPr>
            <w:r>
              <w:t>Communauté Financière Africaine (African Financial Community)</w:t>
            </w:r>
          </w:p>
        </w:tc>
      </w:tr>
      <w:tr w:rsidR="00500B2F" w14:paraId="1003F9BB"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15580817" w14:textId="77777777" w:rsidR="00500B2F" w:rsidRDefault="00500B2F" w:rsidP="00CD4FCA">
            <w:pPr>
              <w:spacing w:before="40" w:after="40"/>
              <w:jc w:val="center"/>
            </w:pPr>
            <w:r>
              <w:rPr>
                <w:b/>
              </w:rPr>
              <w:t>CFO</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D3B1E3D" w14:textId="77777777" w:rsidR="00500B2F" w:rsidRDefault="00500B2F" w:rsidP="00CD4FCA">
            <w:pPr>
              <w:spacing w:before="40" w:after="40"/>
            </w:pPr>
            <w:r>
              <w:t>Chief Financial Officer</w:t>
            </w:r>
          </w:p>
        </w:tc>
      </w:tr>
      <w:tr w:rsidR="00500B2F" w14:paraId="4719F44B"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390403F" w14:textId="77777777" w:rsidR="00500B2F" w:rsidRDefault="00500B2F" w:rsidP="00CD4FCA">
            <w:pPr>
              <w:spacing w:before="40" w:after="40"/>
              <w:jc w:val="center"/>
            </w:pPr>
            <w:r>
              <w:rPr>
                <w:b/>
              </w:rPr>
              <w:t>CPI</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4FFD6509" w14:textId="77777777" w:rsidR="00500B2F" w:rsidRDefault="00500B2F" w:rsidP="00CD4FCA">
            <w:pPr>
              <w:spacing w:before="40" w:after="40"/>
            </w:pPr>
            <w:r>
              <w:t>Consumer Price Index</w:t>
            </w:r>
          </w:p>
        </w:tc>
      </w:tr>
      <w:tr w:rsidR="00500B2F" w14:paraId="0F5C3BF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9BDBBE9" w14:textId="77777777" w:rsidR="00500B2F" w:rsidRDefault="00500B2F" w:rsidP="00CD4FCA">
            <w:pPr>
              <w:spacing w:before="40" w:after="40"/>
              <w:jc w:val="center"/>
            </w:pPr>
            <w:r>
              <w:rPr>
                <w:b/>
              </w:rPr>
              <w:t>CR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EDEAB3F" w14:textId="77777777" w:rsidR="00500B2F" w:rsidRDefault="00500B2F" w:rsidP="00CD4FCA">
            <w:pPr>
              <w:spacing w:before="40" w:after="40"/>
            </w:pPr>
            <w:r>
              <w:t>Current Ratio</w:t>
            </w:r>
          </w:p>
        </w:tc>
      </w:tr>
      <w:tr w:rsidR="00500B2F" w14:paraId="52BF305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60748542" w14:textId="77777777" w:rsidR="00500B2F" w:rsidRDefault="00500B2F" w:rsidP="00CD4FCA">
            <w:pPr>
              <w:spacing w:before="40" w:after="40"/>
              <w:jc w:val="center"/>
            </w:pPr>
            <w:r>
              <w:rPr>
                <w:b/>
              </w:rPr>
              <w:t>D/E</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12926B7" w14:textId="77777777" w:rsidR="00500B2F" w:rsidRDefault="00500B2F" w:rsidP="00CD4FCA">
            <w:pPr>
              <w:spacing w:before="40" w:after="40"/>
            </w:pPr>
            <w:r>
              <w:t>Debt-to-Equity Ratio</w:t>
            </w:r>
          </w:p>
        </w:tc>
      </w:tr>
      <w:tr w:rsidR="00500B2F" w14:paraId="132246E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BAE6F2C" w14:textId="77777777" w:rsidR="00500B2F" w:rsidRDefault="00500B2F" w:rsidP="00CD4FCA">
            <w:pPr>
              <w:spacing w:before="40" w:after="40"/>
              <w:jc w:val="center"/>
            </w:pPr>
            <w:r>
              <w:rPr>
                <w:rFonts w:eastAsia="Times New Roman" w:cs="Times New Roman"/>
                <w:b/>
                <w:bCs/>
              </w:rPr>
              <w:t>DEP / APP</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DEB9E3C" w14:textId="77777777" w:rsidR="00500B2F" w:rsidRDefault="00500B2F" w:rsidP="00CD4FCA">
            <w:pPr>
              <w:spacing w:before="40" w:after="40"/>
            </w:pPr>
            <w:r>
              <w:rPr>
                <w:rFonts w:eastAsia="Times New Roman" w:cs="Times New Roman"/>
              </w:rPr>
              <w:t>Depreciation / Appreciation Shock (signed change in log GHS/USD)</w:t>
            </w:r>
          </w:p>
        </w:tc>
      </w:tr>
      <w:tr w:rsidR="00500B2F" w14:paraId="004FA0E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507D7DA" w14:textId="77777777" w:rsidR="00500B2F" w:rsidRDefault="00500B2F" w:rsidP="00CD4FCA">
            <w:pPr>
              <w:spacing w:before="40" w:after="40"/>
              <w:jc w:val="center"/>
            </w:pPr>
            <w:r>
              <w:rPr>
                <w:b/>
              </w:rPr>
              <w:t>DGP</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8F0934C" w14:textId="77777777" w:rsidR="00500B2F" w:rsidRDefault="00500B2F" w:rsidP="00CD4FCA">
            <w:pPr>
              <w:spacing w:before="40" w:after="40"/>
            </w:pPr>
            <w:r>
              <w:t>Data-Generating Process</w:t>
            </w:r>
          </w:p>
        </w:tc>
      </w:tr>
      <w:tr w:rsidR="00500B2F" w14:paraId="63FB9EB1"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09DD8788" w14:textId="77777777" w:rsidR="00500B2F" w:rsidRDefault="00500B2F" w:rsidP="00CD4FCA">
            <w:pPr>
              <w:spacing w:before="40" w:after="40"/>
              <w:jc w:val="center"/>
            </w:pPr>
            <w:r>
              <w:rPr>
                <w:rFonts w:eastAsia="Times New Roman" w:cs="Times New Roman"/>
                <w:b/>
                <w:bCs/>
              </w:rPr>
              <w:t>DK</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2A5214F" w14:textId="77777777" w:rsidR="00500B2F" w:rsidRDefault="00500B2F" w:rsidP="00CD4FCA">
            <w:pPr>
              <w:spacing w:before="40" w:after="40"/>
            </w:pPr>
            <w:r>
              <w:rPr>
                <w:rFonts w:eastAsia="Times New Roman" w:cs="Times New Roman"/>
              </w:rPr>
              <w:t>Driscoll–Kraay Standard Errors</w:t>
            </w:r>
          </w:p>
        </w:tc>
      </w:tr>
      <w:tr w:rsidR="00500B2F" w14:paraId="1AC41A4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703D670" w14:textId="77777777" w:rsidR="00500B2F" w:rsidRDefault="00500B2F" w:rsidP="00CD4FCA">
            <w:pPr>
              <w:spacing w:before="40" w:after="40"/>
              <w:jc w:val="center"/>
            </w:pPr>
            <w:r>
              <w:rPr>
                <w:b/>
              </w:rPr>
              <w:t>ECOWAS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94658A8" w14:textId="77777777" w:rsidR="00500B2F" w:rsidRDefault="00500B2F" w:rsidP="00CD4FCA">
            <w:pPr>
              <w:spacing w:before="40" w:after="40"/>
            </w:pPr>
            <w:r>
              <w:t>Economic Community of West African States</w:t>
            </w:r>
          </w:p>
        </w:tc>
      </w:tr>
      <w:tr w:rsidR="00500B2F" w14:paraId="264D821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031936C" w14:textId="77777777" w:rsidR="00500B2F" w:rsidRDefault="00500B2F" w:rsidP="00CD4FCA">
            <w:pPr>
              <w:spacing w:before="40" w:after="40"/>
              <w:jc w:val="center"/>
            </w:pPr>
            <w:r>
              <w:rPr>
                <w:b/>
              </w:rPr>
              <w:t>EGARCH</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8F190D1" w14:textId="77777777" w:rsidR="00500B2F" w:rsidRDefault="00500B2F" w:rsidP="00CD4FCA">
            <w:pPr>
              <w:spacing w:before="40" w:after="40"/>
            </w:pPr>
            <w:r>
              <w:t>Exponential Generalised Autoregressive Conditional Heteroskedasticity</w:t>
            </w:r>
          </w:p>
        </w:tc>
      </w:tr>
      <w:tr w:rsidR="00500B2F" w14:paraId="65F8177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6835504" w14:textId="77777777" w:rsidR="00500B2F" w:rsidRDefault="00500B2F" w:rsidP="00CD4FCA">
            <w:pPr>
              <w:spacing w:before="40" w:after="40"/>
              <w:jc w:val="center"/>
            </w:pPr>
            <w:r>
              <w:rPr>
                <w:rFonts w:eastAsia="Times New Roman" w:cs="Times New Roman"/>
                <w:b/>
                <w:bCs/>
              </w:rPr>
              <w:t>EXRV</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7612C94" w14:textId="77777777" w:rsidR="00500B2F" w:rsidRDefault="00500B2F" w:rsidP="00CD4FCA">
            <w:pPr>
              <w:spacing w:before="40" w:after="40"/>
            </w:pPr>
            <w:r>
              <w:rPr>
                <w:rFonts w:eastAsia="Times New Roman" w:cs="Times New Roman"/>
              </w:rPr>
              <w:t>Exchange Rate Volatility (aggregate GARCH/EGARCH conditional variance, EXRV</w:t>
            </w:r>
            <w:r>
              <w:rPr>
                <w:rFonts w:eastAsia="Times New Roman" w:cs="Times New Roman"/>
                <w:vertAlign w:val="subscript"/>
              </w:rPr>
              <w:t>t</w:t>
            </w:r>
            <w:r>
              <w:rPr>
                <w:rFonts w:eastAsia="Times New Roman" w:cs="Times New Roman"/>
              </w:rPr>
              <w:t>)</w:t>
            </w:r>
          </w:p>
        </w:tc>
      </w:tr>
      <w:tr w:rsidR="00500B2F" w14:paraId="3D966B8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9A8E0B5" w14:textId="77777777" w:rsidR="00500B2F" w:rsidRDefault="00500B2F" w:rsidP="00CD4FCA">
            <w:pPr>
              <w:spacing w:before="40" w:after="40"/>
              <w:jc w:val="center"/>
            </w:pPr>
            <w:r>
              <w:rPr>
                <w:b/>
              </w:rPr>
              <w:t>FA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5EC16D99" w14:textId="77777777" w:rsidR="00500B2F" w:rsidRDefault="00500B2F" w:rsidP="00CD4FCA">
            <w:pPr>
              <w:spacing w:before="40" w:after="40"/>
            </w:pPr>
            <w:r>
              <w:t>Forex Accessibility</w:t>
            </w:r>
          </w:p>
        </w:tc>
      </w:tr>
      <w:tr w:rsidR="00500B2F" w14:paraId="7693DBB7"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EA74DC4" w14:textId="77777777" w:rsidR="00500B2F" w:rsidRDefault="00500B2F" w:rsidP="00CD4FCA">
            <w:pPr>
              <w:spacing w:before="40" w:after="40"/>
              <w:jc w:val="center"/>
            </w:pPr>
            <w:r>
              <w:rPr>
                <w:b/>
              </w:rPr>
              <w:t>FEVD</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35F357E" w14:textId="77777777" w:rsidR="00500B2F" w:rsidRDefault="00500B2F" w:rsidP="00CD4FCA">
            <w:pPr>
              <w:spacing w:before="40" w:after="40"/>
            </w:pPr>
            <w:r>
              <w:t>Forecast Error Variance Decomposition</w:t>
            </w:r>
          </w:p>
        </w:tc>
      </w:tr>
      <w:tr w:rsidR="00500B2F" w14:paraId="2DF8298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160FD7C" w14:textId="77777777" w:rsidR="00500B2F" w:rsidRDefault="00500B2F" w:rsidP="00CD4FCA">
            <w:pPr>
              <w:spacing w:before="40" w:after="40"/>
              <w:jc w:val="center"/>
            </w:pPr>
            <w:r>
              <w:rPr>
                <w:b/>
              </w:rPr>
              <w:t>FE</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20E93738" w14:textId="77777777" w:rsidR="00500B2F" w:rsidRDefault="00500B2F" w:rsidP="00CD4FCA">
            <w:pPr>
              <w:spacing w:before="40" w:after="40"/>
            </w:pPr>
            <w:r>
              <w:t>Fixed Effects</w:t>
            </w:r>
          </w:p>
        </w:tc>
      </w:tr>
      <w:tr w:rsidR="00500B2F" w14:paraId="4D229724"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45DCCC7" w14:textId="77777777" w:rsidR="00500B2F" w:rsidRDefault="00500B2F" w:rsidP="00CD4FCA">
            <w:pPr>
              <w:spacing w:before="40" w:after="40"/>
              <w:jc w:val="center"/>
            </w:pPr>
            <w:r>
              <w:rPr>
                <w:b/>
              </w:rPr>
              <w:t>FP</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D85B2A1" w14:textId="77777777" w:rsidR="00500B2F" w:rsidRDefault="00500B2F" w:rsidP="00CD4FCA">
            <w:pPr>
              <w:spacing w:before="40" w:after="40"/>
            </w:pPr>
            <w:r>
              <w:t>Financial Performance</w:t>
            </w:r>
          </w:p>
        </w:tc>
      </w:tr>
      <w:tr w:rsidR="00500B2F" w14:paraId="0500ED8F"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30D12F3" w14:textId="77777777" w:rsidR="00500B2F" w:rsidRDefault="00500B2F" w:rsidP="00CD4FCA">
            <w:pPr>
              <w:spacing w:before="40" w:after="40"/>
              <w:jc w:val="center"/>
            </w:pPr>
            <w:r>
              <w:rPr>
                <w:b/>
              </w:rPr>
              <w:t>FR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79CCA11" w14:textId="77777777" w:rsidR="00500B2F" w:rsidRDefault="00500B2F" w:rsidP="00CD4FCA">
            <w:pPr>
              <w:spacing w:before="40" w:after="40"/>
            </w:pPr>
            <w:r>
              <w:t>Financial Risk</w:t>
            </w:r>
          </w:p>
        </w:tc>
      </w:tr>
      <w:tr w:rsidR="00500B2F" w14:paraId="0B19394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FA63256" w14:textId="77777777" w:rsidR="00500B2F" w:rsidRDefault="00500B2F" w:rsidP="00CD4FCA">
            <w:pPr>
              <w:spacing w:before="40" w:after="40"/>
              <w:jc w:val="center"/>
            </w:pPr>
            <w:r>
              <w:rPr>
                <w:b/>
              </w:rPr>
              <w:t>FX</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5E5C73C" w14:textId="77777777" w:rsidR="00500B2F" w:rsidRDefault="00500B2F" w:rsidP="00CD4FCA">
            <w:pPr>
              <w:spacing w:before="40" w:after="40"/>
            </w:pPr>
            <w:r>
              <w:t>Foreign Exchange</w:t>
            </w:r>
          </w:p>
        </w:tc>
      </w:tr>
      <w:tr w:rsidR="00500B2F" w14:paraId="336047E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61B6B1E7" w14:textId="77777777" w:rsidR="00500B2F" w:rsidRDefault="00500B2F" w:rsidP="00CD4FCA">
            <w:pPr>
              <w:spacing w:before="40" w:after="40"/>
              <w:jc w:val="center"/>
            </w:pPr>
            <w:r>
              <w:rPr>
                <w:rFonts w:eastAsia="Times New Roman" w:cs="Times New Roman"/>
                <w:b/>
                <w:bCs/>
              </w:rPr>
              <w:t>FXE</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8D3E0B5" w14:textId="77777777" w:rsidR="00500B2F" w:rsidRDefault="00500B2F" w:rsidP="00CD4FCA">
            <w:pPr>
              <w:spacing w:before="40" w:after="40"/>
            </w:pPr>
            <w:r>
              <w:rPr>
                <w:rFonts w:eastAsia="Times New Roman" w:cs="Times New Roman"/>
              </w:rPr>
              <w:t>Foreign Exchange Exposure (firm-level)</w:t>
            </w:r>
          </w:p>
        </w:tc>
      </w:tr>
      <w:tr w:rsidR="00500B2F" w14:paraId="0AFBCBB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0FB38C6A" w14:textId="77777777" w:rsidR="00500B2F" w:rsidRDefault="00500B2F" w:rsidP="00CD4FCA">
            <w:pPr>
              <w:spacing w:before="40" w:after="40"/>
              <w:jc w:val="center"/>
            </w:pPr>
            <w:r>
              <w:rPr>
                <w:b/>
              </w:rPr>
              <w:t>GARCH</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61E7F05" w14:textId="77777777" w:rsidR="00500B2F" w:rsidRDefault="00500B2F" w:rsidP="00CD4FCA">
            <w:pPr>
              <w:spacing w:before="40" w:after="40"/>
            </w:pPr>
            <w:r>
              <w:t>Generalised Autoregressive Conditional Heteroskedasticity</w:t>
            </w:r>
          </w:p>
        </w:tc>
      </w:tr>
      <w:tr w:rsidR="00500B2F" w14:paraId="2DDE23C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78C310B5" w14:textId="77777777" w:rsidR="00500B2F" w:rsidRDefault="00500B2F" w:rsidP="00CD4FCA">
            <w:pPr>
              <w:spacing w:before="40" w:after="40"/>
              <w:jc w:val="center"/>
            </w:pPr>
            <w:r>
              <w:rPr>
                <w:b/>
              </w:rPr>
              <w:t>GDP</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E64D8CD" w14:textId="77777777" w:rsidR="00500B2F" w:rsidRDefault="00500B2F" w:rsidP="00CD4FCA">
            <w:pPr>
              <w:spacing w:before="40" w:after="40"/>
            </w:pPr>
            <w:r>
              <w:t>Gross Domestic Product</w:t>
            </w:r>
          </w:p>
        </w:tc>
      </w:tr>
      <w:tr w:rsidR="00500B2F" w14:paraId="4322DDF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3E0FC4D7" w14:textId="77777777" w:rsidR="00500B2F" w:rsidRDefault="00500B2F" w:rsidP="00CD4FCA">
            <w:pPr>
              <w:spacing w:before="40" w:after="40"/>
              <w:jc w:val="center"/>
            </w:pPr>
            <w:r>
              <w:rPr>
                <w:b/>
              </w:rPr>
              <w:lastRenderedPageBreak/>
              <w:t>GHS</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DFF3861" w14:textId="77777777" w:rsidR="00500B2F" w:rsidRDefault="00500B2F" w:rsidP="00CD4FCA">
            <w:pPr>
              <w:spacing w:before="40" w:after="40"/>
            </w:pPr>
            <w:r>
              <w:t>Ghanaian Cedi</w:t>
            </w:r>
          </w:p>
        </w:tc>
      </w:tr>
      <w:tr w:rsidR="00500B2F" w14:paraId="58AEEB5F"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BAB43C0" w14:textId="77777777" w:rsidR="00500B2F" w:rsidRDefault="00500B2F" w:rsidP="00CD4FCA">
            <w:pPr>
              <w:spacing w:before="40" w:after="40"/>
              <w:jc w:val="center"/>
            </w:pPr>
            <w:r>
              <w:rPr>
                <w:b/>
              </w:rPr>
              <w:t>GMM</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452D47F" w14:textId="77777777" w:rsidR="00500B2F" w:rsidRDefault="00500B2F" w:rsidP="00CD4FCA">
            <w:pPr>
              <w:spacing w:before="40" w:after="40"/>
            </w:pPr>
            <w:r>
              <w:t>Generalised Method of Moments</w:t>
            </w:r>
          </w:p>
        </w:tc>
      </w:tr>
      <w:tr w:rsidR="00500B2F" w14:paraId="67C79814"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988702E" w14:textId="77777777" w:rsidR="00500B2F" w:rsidRDefault="00500B2F" w:rsidP="00CD4FCA">
            <w:pPr>
              <w:spacing w:before="40" w:after="40"/>
              <w:jc w:val="center"/>
            </w:pPr>
            <w:r>
              <w:rPr>
                <w:b/>
              </w:rPr>
              <w:t>GRA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244784B" w14:textId="77777777" w:rsidR="00500B2F" w:rsidRDefault="00500B2F" w:rsidP="00CD4FCA">
            <w:pPr>
              <w:spacing w:before="40" w:after="40"/>
            </w:pPr>
            <w:r>
              <w:t>Ghana Revenue Authority</w:t>
            </w:r>
          </w:p>
        </w:tc>
      </w:tr>
      <w:tr w:rsidR="00500B2F" w14:paraId="407AA8E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6F22385D" w14:textId="77777777" w:rsidR="00500B2F" w:rsidRDefault="00500B2F" w:rsidP="00CD4FCA">
            <w:pPr>
              <w:spacing w:before="40" w:after="40"/>
              <w:jc w:val="center"/>
            </w:pPr>
            <w:r>
              <w:rPr>
                <w:b/>
              </w:rPr>
              <w:t>GSS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ED946B8" w14:textId="77777777" w:rsidR="00500B2F" w:rsidRDefault="00500B2F" w:rsidP="00CD4FCA">
            <w:pPr>
              <w:spacing w:before="40" w:after="40"/>
            </w:pPr>
            <w:r>
              <w:t>Ghana Statistical Service</w:t>
            </w:r>
          </w:p>
        </w:tc>
      </w:tr>
      <w:tr w:rsidR="00500B2F" w14:paraId="77B93261"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3CAF931E" w14:textId="77777777" w:rsidR="00500B2F" w:rsidRDefault="00500B2F" w:rsidP="00CD4FCA">
            <w:pPr>
              <w:spacing w:before="40" w:after="40"/>
              <w:jc w:val="center"/>
            </w:pPr>
            <w:r>
              <w:rPr>
                <w:b/>
              </w:rPr>
              <w:t>G7</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6ABCBE0" w14:textId="77777777" w:rsidR="00500B2F" w:rsidRDefault="00500B2F" w:rsidP="00CD4FCA">
            <w:pPr>
              <w:spacing w:before="40" w:after="40"/>
            </w:pPr>
            <w:r>
              <w:t>Group of Seven Industrialised Nations</w:t>
            </w:r>
          </w:p>
        </w:tc>
      </w:tr>
      <w:tr w:rsidR="00500B2F" w14:paraId="1C9C0CA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6CEA38F" w14:textId="77777777" w:rsidR="00500B2F" w:rsidRDefault="00500B2F" w:rsidP="00CD4FCA">
            <w:pPr>
              <w:spacing w:before="40" w:after="40"/>
              <w:jc w:val="center"/>
            </w:pPr>
            <w:r>
              <w:rPr>
                <w:b/>
              </w:rPr>
              <w:t>H1–H5</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0656338" w14:textId="77777777" w:rsidR="00500B2F" w:rsidRDefault="00500B2F" w:rsidP="00CD4FCA">
            <w:pPr>
              <w:spacing w:before="40" w:after="40"/>
            </w:pPr>
            <w:r>
              <w:t>Research Hypotheses 1 through 5</w:t>
            </w:r>
          </w:p>
        </w:tc>
      </w:tr>
      <w:tr w:rsidR="00500B2F" w14:paraId="003E7FD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99E03B7" w14:textId="77777777" w:rsidR="00500B2F" w:rsidRDefault="00500B2F" w:rsidP="00CD4FCA">
            <w:pPr>
              <w:spacing w:before="40" w:after="40"/>
              <w:jc w:val="center"/>
            </w:pPr>
            <w:r>
              <w:rPr>
                <w:b/>
              </w:rPr>
              <w:t>ICR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2E013AEE" w14:textId="77777777" w:rsidR="00500B2F" w:rsidRDefault="00500B2F" w:rsidP="00CD4FCA">
            <w:pPr>
              <w:spacing w:before="40" w:after="40"/>
            </w:pPr>
            <w:r>
              <w:t>Interest Coverage Ratio</w:t>
            </w:r>
          </w:p>
        </w:tc>
      </w:tr>
      <w:tr w:rsidR="00500B2F" w14:paraId="5CDB64B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78BA8070" w14:textId="77777777" w:rsidR="00500B2F" w:rsidRDefault="00500B2F" w:rsidP="00CD4FCA">
            <w:pPr>
              <w:spacing w:before="40" w:after="40"/>
              <w:jc w:val="center"/>
            </w:pPr>
            <w:r>
              <w:rPr>
                <w:b/>
              </w:rPr>
              <w:t>ID</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25DE5123" w14:textId="77777777" w:rsidR="00500B2F" w:rsidRDefault="00500B2F" w:rsidP="00CD4FCA">
            <w:pPr>
              <w:spacing w:before="40" w:after="40"/>
            </w:pPr>
            <w:r>
              <w:t>Investment Decisions</w:t>
            </w:r>
          </w:p>
        </w:tc>
      </w:tr>
      <w:tr w:rsidR="00500B2F" w14:paraId="3E468E9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7B462E7" w14:textId="77777777" w:rsidR="00500B2F" w:rsidRDefault="00500B2F" w:rsidP="00CD4FCA">
            <w:pPr>
              <w:spacing w:before="40" w:after="40"/>
              <w:jc w:val="center"/>
            </w:pPr>
            <w:r>
              <w:rPr>
                <w:b/>
              </w:rPr>
              <w:t>IEA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E431342" w14:textId="77777777" w:rsidR="00500B2F" w:rsidRDefault="00500B2F" w:rsidP="00CD4FCA">
            <w:pPr>
              <w:spacing w:before="40" w:after="40"/>
            </w:pPr>
            <w:r>
              <w:t>International Energy Agency</w:t>
            </w:r>
          </w:p>
        </w:tc>
      </w:tr>
      <w:tr w:rsidR="00500B2F" w14:paraId="0F0BAF77"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3D7FE02" w14:textId="77777777" w:rsidR="00500B2F" w:rsidRDefault="00500B2F" w:rsidP="00CD4FCA">
            <w:pPr>
              <w:spacing w:before="40" w:after="40"/>
              <w:jc w:val="center"/>
            </w:pPr>
            <w:r>
              <w:rPr>
                <w:b/>
              </w:rPr>
              <w:t>IGARCH</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0386873" w14:textId="77777777" w:rsidR="00500B2F" w:rsidRDefault="00500B2F" w:rsidP="00CD4FCA">
            <w:pPr>
              <w:spacing w:before="40" w:after="40"/>
            </w:pPr>
            <w:r>
              <w:t>Integrated Generalised Autoregressive Conditional Heteroskedasticity</w:t>
            </w:r>
          </w:p>
        </w:tc>
      </w:tr>
      <w:tr w:rsidR="00500B2F" w14:paraId="0A4C320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E5717BC" w14:textId="77777777" w:rsidR="00500B2F" w:rsidRDefault="00500B2F" w:rsidP="00CD4FCA">
            <w:pPr>
              <w:spacing w:before="40" w:after="40"/>
              <w:jc w:val="center"/>
            </w:pPr>
            <w:r>
              <w:rPr>
                <w:b/>
              </w:rPr>
              <w:t>IMF</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E3675A5" w14:textId="77777777" w:rsidR="00500B2F" w:rsidRDefault="00500B2F" w:rsidP="00CD4FCA">
            <w:pPr>
              <w:spacing w:before="40" w:after="40"/>
            </w:pPr>
            <w:r>
              <w:t>International Monetary Fund</w:t>
            </w:r>
          </w:p>
        </w:tc>
      </w:tr>
      <w:tr w:rsidR="00500B2F" w14:paraId="6F467C7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8271BF8" w14:textId="77777777" w:rsidR="00500B2F" w:rsidRDefault="00500B2F" w:rsidP="00CD4FCA">
            <w:pPr>
              <w:spacing w:before="40" w:after="40"/>
              <w:jc w:val="center"/>
            </w:pPr>
            <w:r>
              <w:rPr>
                <w:b/>
              </w:rPr>
              <w:t>IQR</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F68B721" w14:textId="77777777" w:rsidR="00500B2F" w:rsidRDefault="00500B2F" w:rsidP="00CD4FCA">
            <w:pPr>
              <w:spacing w:before="40" w:after="40"/>
            </w:pPr>
            <w:r>
              <w:t>Interquartile Range</w:t>
            </w:r>
          </w:p>
        </w:tc>
      </w:tr>
      <w:tr w:rsidR="00500B2F" w14:paraId="6257D8C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E222829" w14:textId="77777777" w:rsidR="00500B2F" w:rsidRDefault="00500B2F" w:rsidP="00CD4FCA">
            <w:pPr>
              <w:spacing w:before="40" w:after="40"/>
              <w:jc w:val="center"/>
            </w:pPr>
            <w:r>
              <w:rPr>
                <w:b/>
              </w:rPr>
              <w:t>IRF</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F6BB6FC" w14:textId="77777777" w:rsidR="00500B2F" w:rsidRDefault="00500B2F" w:rsidP="00CD4FCA">
            <w:pPr>
              <w:spacing w:before="40" w:after="40"/>
            </w:pPr>
            <w:r>
              <w:t>Impulse Response Function</w:t>
            </w:r>
          </w:p>
        </w:tc>
      </w:tr>
      <w:tr w:rsidR="00500B2F" w14:paraId="5E0375E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F236404" w14:textId="77777777" w:rsidR="00500B2F" w:rsidRDefault="00500B2F" w:rsidP="00CD4FCA">
            <w:pPr>
              <w:spacing w:before="40" w:after="40"/>
              <w:jc w:val="center"/>
            </w:pPr>
            <w:r>
              <w:rPr>
                <w:b/>
              </w:rPr>
              <w:t>JB</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BC0C99D" w14:textId="77777777" w:rsidR="00500B2F" w:rsidRDefault="00500B2F" w:rsidP="00CD4FCA">
            <w:pPr>
              <w:spacing w:before="40" w:after="40"/>
            </w:pPr>
            <w:r>
              <w:t>Jarque–Bera Test</w:t>
            </w:r>
          </w:p>
        </w:tc>
      </w:tr>
      <w:tr w:rsidR="00500B2F" w14:paraId="7B86AE41"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5CF3872" w14:textId="77777777" w:rsidR="00500B2F" w:rsidRDefault="00500B2F" w:rsidP="00CD4FCA">
            <w:pPr>
              <w:spacing w:before="40" w:after="40"/>
              <w:jc w:val="center"/>
            </w:pPr>
            <w:r>
              <w:rPr>
                <w:b/>
              </w:rPr>
              <w:t>JEL</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9B54E39" w14:textId="77777777" w:rsidR="00500B2F" w:rsidRDefault="00500B2F" w:rsidP="00CD4FCA">
            <w:pPr>
              <w:spacing w:before="40" w:after="40"/>
            </w:pPr>
            <w:r>
              <w:t>Journal of Economic Literature Classification Codes</w:t>
            </w:r>
          </w:p>
        </w:tc>
      </w:tr>
      <w:tr w:rsidR="00500B2F" w14:paraId="36129EE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8D7F3BD" w14:textId="77777777" w:rsidR="00500B2F" w:rsidRDefault="00500B2F" w:rsidP="00CD4FCA">
            <w:pPr>
              <w:spacing w:before="40" w:after="40"/>
              <w:jc w:val="center"/>
            </w:pPr>
            <w:r>
              <w:rPr>
                <w:rFonts w:eastAsia="Times New Roman" w:cs="Times New Roman"/>
                <w:b/>
                <w:bCs/>
              </w:rPr>
              <w:t>KMO</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FAE8AE1" w14:textId="77777777" w:rsidR="00500B2F" w:rsidRDefault="00500B2F" w:rsidP="00CD4FCA">
            <w:pPr>
              <w:spacing w:before="40" w:after="40"/>
            </w:pPr>
            <w:r>
              <w:rPr>
                <w:rFonts w:eastAsia="Times New Roman" w:cs="Times New Roman"/>
              </w:rPr>
              <w:t>Kaiser–Meyer–Olkin Measure of Sampling Adequacy</w:t>
            </w:r>
          </w:p>
        </w:tc>
      </w:tr>
      <w:tr w:rsidR="00500B2F" w14:paraId="658BE58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366AA23" w14:textId="77777777" w:rsidR="00500B2F" w:rsidRDefault="00500B2F" w:rsidP="00CD4FCA">
            <w:pPr>
              <w:spacing w:before="40" w:after="40"/>
              <w:jc w:val="center"/>
            </w:pPr>
            <w:r>
              <w:rPr>
                <w:b/>
              </w:rPr>
              <w:t>KPSS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499A642" w14:textId="77777777" w:rsidR="00500B2F" w:rsidRDefault="00500B2F" w:rsidP="00CD4FCA">
            <w:pPr>
              <w:spacing w:before="40" w:after="40"/>
            </w:pPr>
            <w:r>
              <w:t>Kwiatkowski–Phillips–Schmidt–Shin Test</w:t>
            </w:r>
          </w:p>
        </w:tc>
      </w:tr>
      <w:tr w:rsidR="00500B2F" w14:paraId="2F13A71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2F144AF" w14:textId="77777777" w:rsidR="00500B2F" w:rsidRDefault="00500B2F" w:rsidP="00CD4FCA">
            <w:pPr>
              <w:spacing w:before="40" w:after="40"/>
              <w:jc w:val="center"/>
            </w:pPr>
            <w:r>
              <w:rPr>
                <w:b/>
              </w:rPr>
              <w:t>LC</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CE4C2D8" w14:textId="77777777" w:rsidR="00500B2F" w:rsidRDefault="00500B2F" w:rsidP="00CD4FCA">
            <w:pPr>
              <w:spacing w:before="40" w:after="40"/>
            </w:pPr>
            <w:r>
              <w:t>Letter of Credit</w:t>
            </w:r>
          </w:p>
        </w:tc>
      </w:tr>
      <w:tr w:rsidR="00500B2F" w14:paraId="614370B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FFD25C6" w14:textId="77777777" w:rsidR="00500B2F" w:rsidRDefault="00500B2F" w:rsidP="00CD4FCA">
            <w:pPr>
              <w:spacing w:before="40" w:after="40"/>
              <w:jc w:val="center"/>
            </w:pPr>
            <w:r>
              <w:rPr>
                <w:b/>
              </w:rPr>
              <w:t>LPG</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4D9ED44D" w14:textId="77777777" w:rsidR="00500B2F" w:rsidRDefault="00500B2F" w:rsidP="00CD4FCA">
            <w:pPr>
              <w:spacing w:before="40" w:after="40"/>
            </w:pPr>
            <w:r>
              <w:t>Liquefied Petroleum Gas</w:t>
            </w:r>
          </w:p>
        </w:tc>
      </w:tr>
      <w:tr w:rsidR="00500B2F" w14:paraId="3E820ACB"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34878D7" w14:textId="77777777" w:rsidR="00500B2F" w:rsidRDefault="00500B2F" w:rsidP="00CD4FCA">
            <w:pPr>
              <w:spacing w:before="40" w:after="40"/>
              <w:jc w:val="center"/>
            </w:pPr>
            <w:r>
              <w:rPr>
                <w:b/>
              </w:rPr>
              <w:t>LPGMCs</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E50D82D" w14:textId="77777777" w:rsidR="00500B2F" w:rsidRDefault="00500B2F" w:rsidP="00CD4FCA">
            <w:pPr>
              <w:spacing w:before="40" w:after="40"/>
            </w:pPr>
            <w:r>
              <w:t>Liquefied Petroleum Gas Marketing Companies</w:t>
            </w:r>
          </w:p>
        </w:tc>
      </w:tr>
      <w:tr w:rsidR="00500B2F" w14:paraId="55767DF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DE4DC6C" w14:textId="77777777" w:rsidR="00500B2F" w:rsidRDefault="00500B2F" w:rsidP="00CD4FCA">
            <w:pPr>
              <w:spacing w:before="40" w:after="40"/>
              <w:jc w:val="center"/>
            </w:pPr>
            <w:r>
              <w:rPr>
                <w:b/>
              </w:rPr>
              <w:t>LV</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FE8EA6E" w14:textId="77777777" w:rsidR="00500B2F" w:rsidRDefault="00500B2F" w:rsidP="00CD4FCA">
            <w:pPr>
              <w:spacing w:before="40" w:after="40"/>
            </w:pPr>
            <w:r>
              <w:t>Liquidity Conditions</w:t>
            </w:r>
          </w:p>
        </w:tc>
      </w:tr>
      <w:tr w:rsidR="00500B2F" w14:paraId="7EC791CF"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DCA4351" w14:textId="77777777" w:rsidR="00500B2F" w:rsidRDefault="00500B2F" w:rsidP="00CD4FCA">
            <w:pPr>
              <w:spacing w:before="40" w:after="40"/>
              <w:jc w:val="center"/>
            </w:pPr>
            <w:r>
              <w:rPr>
                <w:rFonts w:eastAsia="Times New Roman" w:cs="Times New Roman"/>
                <w:b/>
                <w:bCs/>
              </w:rPr>
              <w:t>LV²</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385602E" w14:textId="77777777" w:rsidR="00500B2F" w:rsidRDefault="00500B2F" w:rsidP="00CD4FCA">
            <w:pPr>
              <w:spacing w:before="40" w:after="40"/>
            </w:pPr>
            <w:r>
              <w:rPr>
                <w:rFonts w:eastAsia="Times New Roman" w:cs="Times New Roman"/>
              </w:rPr>
              <w:t>Squared Liquidity Term (non-linearity test)</w:t>
            </w:r>
          </w:p>
        </w:tc>
      </w:tr>
      <w:tr w:rsidR="00500B2F" w14:paraId="5D7B39E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931AEE1" w14:textId="77777777" w:rsidR="00500B2F" w:rsidRDefault="00500B2F" w:rsidP="00CD4FCA">
            <w:pPr>
              <w:spacing w:before="40" w:after="40"/>
              <w:jc w:val="center"/>
            </w:pPr>
            <w:r>
              <w:rPr>
                <w:b/>
              </w:rPr>
              <w:t>MA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20ED12C" w14:textId="77777777" w:rsidR="00500B2F" w:rsidRDefault="00500B2F" w:rsidP="00CD4FCA">
            <w:pPr>
              <w:spacing w:before="40" w:after="40"/>
            </w:pPr>
            <w:r>
              <w:t>Moving Average</w:t>
            </w:r>
          </w:p>
        </w:tc>
      </w:tr>
      <w:tr w:rsidR="00500B2F" w14:paraId="3D9D79C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B687615" w14:textId="77777777" w:rsidR="00500B2F" w:rsidRDefault="00500B2F" w:rsidP="00CD4FCA">
            <w:pPr>
              <w:spacing w:before="40" w:after="40"/>
              <w:jc w:val="center"/>
            </w:pPr>
            <w:r>
              <w:rPr>
                <w:b/>
              </w:rPr>
              <w:t>MM</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5186DB72" w14:textId="77777777" w:rsidR="00500B2F" w:rsidRDefault="00500B2F" w:rsidP="00CD4FCA">
            <w:pPr>
              <w:spacing w:before="40" w:after="40"/>
            </w:pPr>
            <w:r>
              <w:t>Modigliani–Miller Theorem</w:t>
            </w:r>
          </w:p>
        </w:tc>
      </w:tr>
      <w:tr w:rsidR="00500B2F" w14:paraId="6A93AEB4"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5D54DD0B" w14:textId="77777777" w:rsidR="00500B2F" w:rsidRDefault="00500B2F" w:rsidP="00CD4FCA">
            <w:pPr>
              <w:spacing w:before="40" w:after="40"/>
              <w:jc w:val="center"/>
            </w:pPr>
            <w:r>
              <w:rPr>
                <w:b/>
              </w:rPr>
              <w:t>MSME</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BB0D979" w14:textId="77777777" w:rsidR="00500B2F" w:rsidRDefault="00500B2F" w:rsidP="00CD4FCA">
            <w:pPr>
              <w:spacing w:before="40" w:after="40"/>
            </w:pPr>
            <w:r>
              <w:t>Micro, Small and Medium Enterprise</w:t>
            </w:r>
          </w:p>
        </w:tc>
      </w:tr>
      <w:tr w:rsidR="00500B2F" w14:paraId="31B12354"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EA20EA0" w14:textId="77777777" w:rsidR="00500B2F" w:rsidRDefault="00500B2F" w:rsidP="00CD4FCA">
            <w:pPr>
              <w:spacing w:before="40" w:after="40"/>
              <w:jc w:val="center"/>
            </w:pPr>
            <w:r>
              <w:rPr>
                <w:b/>
              </w:rPr>
              <w:t>NPA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A17E4CB" w14:textId="77777777" w:rsidR="00500B2F" w:rsidRDefault="00500B2F" w:rsidP="00CD4FCA">
            <w:pPr>
              <w:spacing w:before="40" w:after="40"/>
            </w:pPr>
            <w:r>
              <w:t>National Petroleum Authority (Ghana)</w:t>
            </w:r>
          </w:p>
        </w:tc>
      </w:tr>
      <w:tr w:rsidR="00500B2F" w14:paraId="7602A5F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3A51059" w14:textId="77777777" w:rsidR="00500B2F" w:rsidRDefault="00500B2F" w:rsidP="00CD4FCA">
            <w:pPr>
              <w:spacing w:before="40" w:after="40"/>
              <w:jc w:val="center"/>
            </w:pPr>
            <w:r>
              <w:rPr>
                <w:b/>
              </w:rPr>
              <w:t>NPV</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E712770" w14:textId="77777777" w:rsidR="00500B2F" w:rsidRDefault="00500B2F" w:rsidP="00CD4FCA">
            <w:pPr>
              <w:spacing w:before="40" w:after="40"/>
            </w:pPr>
            <w:r>
              <w:t>Net Present Value</w:t>
            </w:r>
          </w:p>
        </w:tc>
      </w:tr>
      <w:tr w:rsidR="00500B2F" w14:paraId="41B20BEB"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EA5C9FF" w14:textId="77777777" w:rsidR="00500B2F" w:rsidRDefault="00500B2F" w:rsidP="00CD4FCA">
            <w:pPr>
              <w:spacing w:before="40" w:after="40"/>
              <w:jc w:val="center"/>
            </w:pPr>
            <w:r>
              <w:rPr>
                <w:b/>
              </w:rPr>
              <w:t>OLS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94330C1" w14:textId="77777777" w:rsidR="00500B2F" w:rsidRDefault="00500B2F" w:rsidP="00CD4FCA">
            <w:pPr>
              <w:spacing w:before="40" w:after="40"/>
            </w:pPr>
            <w:r>
              <w:t>Ordinary Least Squares</w:t>
            </w:r>
          </w:p>
        </w:tc>
      </w:tr>
      <w:tr w:rsidR="00500B2F" w14:paraId="06AF279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6800BDD" w14:textId="77777777" w:rsidR="00500B2F" w:rsidRDefault="00500B2F" w:rsidP="00CD4FCA">
            <w:pPr>
              <w:spacing w:before="40" w:after="40"/>
              <w:jc w:val="center"/>
            </w:pPr>
            <w:r>
              <w:rPr>
                <w:b/>
              </w:rPr>
              <w:t>OMCs</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595400CA" w14:textId="77777777" w:rsidR="00500B2F" w:rsidRDefault="00500B2F" w:rsidP="00CD4FCA">
            <w:pPr>
              <w:spacing w:before="40" w:after="40"/>
            </w:pPr>
            <w:r>
              <w:t>Oil Marketing Companies</w:t>
            </w:r>
          </w:p>
        </w:tc>
      </w:tr>
      <w:tr w:rsidR="00500B2F" w14:paraId="215B766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88F90E6" w14:textId="77777777" w:rsidR="00500B2F" w:rsidRDefault="00500B2F" w:rsidP="00CD4FCA">
            <w:pPr>
              <w:spacing w:before="40" w:after="40"/>
              <w:jc w:val="center"/>
            </w:pPr>
            <w:r>
              <w:rPr>
                <w:b/>
              </w:rPr>
              <w:t>Panel VAR</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6B67963" w14:textId="77777777" w:rsidR="00500B2F" w:rsidRDefault="00500B2F" w:rsidP="00CD4FCA">
            <w:pPr>
              <w:spacing w:before="40" w:after="40"/>
            </w:pPr>
            <w:r>
              <w:t>Panel Vector Autoregression</w:t>
            </w:r>
          </w:p>
        </w:tc>
      </w:tr>
      <w:tr w:rsidR="00500B2F" w14:paraId="19FC761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CDAF48F" w14:textId="77777777" w:rsidR="00500B2F" w:rsidRDefault="00500B2F" w:rsidP="00CD4FCA">
            <w:pPr>
              <w:spacing w:before="40" w:after="40"/>
              <w:jc w:val="center"/>
            </w:pPr>
            <w:r>
              <w:rPr>
                <w:b/>
              </w:rPr>
              <w:t>PCA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6E4FE4D" w14:textId="77777777" w:rsidR="00500B2F" w:rsidRDefault="00500B2F" w:rsidP="00CD4FCA">
            <w:pPr>
              <w:spacing w:before="40" w:after="40"/>
            </w:pPr>
            <w:r>
              <w:t>Principal Component Analysis</w:t>
            </w:r>
          </w:p>
        </w:tc>
      </w:tr>
      <w:tr w:rsidR="00500B2F" w14:paraId="0F86E0C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54BFB79" w14:textId="77777777" w:rsidR="00500B2F" w:rsidRDefault="00500B2F" w:rsidP="00CD4FCA">
            <w:pPr>
              <w:spacing w:before="40" w:after="40"/>
              <w:jc w:val="center"/>
            </w:pPr>
            <w:r>
              <w:rPr>
                <w:b/>
              </w:rPr>
              <w:t>PRMA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4EFB08A1" w14:textId="77777777" w:rsidR="00500B2F" w:rsidRDefault="00500B2F" w:rsidP="00CD4FCA">
            <w:pPr>
              <w:spacing w:before="40" w:after="40"/>
            </w:pPr>
            <w:r>
              <w:t>Petroleum Revenue Management Act (Ghana, 2011)</w:t>
            </w:r>
          </w:p>
        </w:tc>
      </w:tr>
      <w:tr w:rsidR="00500B2F" w14:paraId="3A9AB2F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46924E7" w14:textId="77777777" w:rsidR="00500B2F" w:rsidRDefault="00500B2F" w:rsidP="00CD4FCA">
            <w:pPr>
              <w:spacing w:before="40" w:after="40"/>
              <w:jc w:val="center"/>
            </w:pPr>
            <w:r>
              <w:rPr>
                <w:b/>
              </w:rPr>
              <w:t>Q-stat</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0B99520" w14:textId="77777777" w:rsidR="00500B2F" w:rsidRDefault="00500B2F" w:rsidP="00CD4FCA">
            <w:pPr>
              <w:spacing w:before="40" w:after="40"/>
            </w:pPr>
            <w:r>
              <w:t>Ljung–Box Q-Statistic</w:t>
            </w:r>
          </w:p>
        </w:tc>
      </w:tr>
      <w:tr w:rsidR="00500B2F" w14:paraId="34D39F3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BD13687" w14:textId="77777777" w:rsidR="00500B2F" w:rsidRDefault="00500B2F" w:rsidP="00CD4FCA">
            <w:pPr>
              <w:spacing w:before="40" w:after="40"/>
              <w:jc w:val="center"/>
            </w:pPr>
            <w:r>
              <w:rPr>
                <w:b/>
              </w:rPr>
              <w:t>QML</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425AFBD" w14:textId="77777777" w:rsidR="00500B2F" w:rsidRDefault="00500B2F" w:rsidP="00CD4FCA">
            <w:pPr>
              <w:spacing w:before="40" w:after="40"/>
            </w:pPr>
            <w:r>
              <w:t>Quasi-Maximum Likelihood</w:t>
            </w:r>
          </w:p>
        </w:tc>
      </w:tr>
      <w:tr w:rsidR="00500B2F" w14:paraId="14F0F1B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358F7AEA" w14:textId="77777777" w:rsidR="00500B2F" w:rsidRDefault="00500B2F" w:rsidP="00CD4FCA">
            <w:pPr>
              <w:spacing w:before="40" w:after="40"/>
              <w:jc w:val="center"/>
            </w:pPr>
            <w:r>
              <w:rPr>
                <w:b/>
              </w:rPr>
              <w:t>RBV</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5C6B217F" w14:textId="77777777" w:rsidR="00500B2F" w:rsidRDefault="00500B2F" w:rsidP="00CD4FCA">
            <w:pPr>
              <w:spacing w:before="40" w:after="40"/>
            </w:pPr>
            <w:r>
              <w:t>Resource-Based View</w:t>
            </w:r>
          </w:p>
        </w:tc>
      </w:tr>
      <w:tr w:rsidR="00500B2F" w14:paraId="25A9394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7A758E28" w14:textId="77777777" w:rsidR="00500B2F" w:rsidRDefault="00500B2F" w:rsidP="00CD4FCA">
            <w:pPr>
              <w:spacing w:before="40" w:after="40"/>
              <w:jc w:val="center"/>
            </w:pPr>
            <w:r>
              <w:rPr>
                <w:b/>
              </w:rPr>
              <w:lastRenderedPageBreak/>
              <w:t>RE</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ADB99D5" w14:textId="77777777" w:rsidR="00500B2F" w:rsidRDefault="00500B2F" w:rsidP="00CD4FCA">
            <w:pPr>
              <w:spacing w:before="40" w:after="40"/>
            </w:pPr>
            <w:r>
              <w:t>Random Effects</w:t>
            </w:r>
          </w:p>
        </w:tc>
      </w:tr>
      <w:tr w:rsidR="00500B2F" w14:paraId="31F5E57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80620EB" w14:textId="77777777" w:rsidR="00500B2F" w:rsidRDefault="00500B2F" w:rsidP="00CD4FCA">
            <w:pPr>
              <w:spacing w:before="40" w:after="40"/>
              <w:jc w:val="center"/>
            </w:pPr>
            <w:r>
              <w:rPr>
                <w:b/>
              </w:rPr>
              <w:t>RMSE</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4E29BAF3" w14:textId="77777777" w:rsidR="00500B2F" w:rsidRDefault="00500B2F" w:rsidP="00CD4FCA">
            <w:pPr>
              <w:spacing w:before="40" w:after="40"/>
            </w:pPr>
            <w:r>
              <w:t>Root Mean Squared Error</w:t>
            </w:r>
          </w:p>
        </w:tc>
      </w:tr>
      <w:tr w:rsidR="00500B2F" w14:paraId="661813C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171540F" w14:textId="77777777" w:rsidR="00500B2F" w:rsidRDefault="00500B2F" w:rsidP="00CD4FCA">
            <w:pPr>
              <w:spacing w:before="40" w:after="40"/>
              <w:jc w:val="center"/>
            </w:pPr>
            <w:r>
              <w:rPr>
                <w:b/>
              </w:rPr>
              <w:t>ROA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3B29C04" w14:textId="77777777" w:rsidR="00500B2F" w:rsidRDefault="00500B2F" w:rsidP="00CD4FCA">
            <w:pPr>
              <w:spacing w:before="40" w:after="40"/>
            </w:pPr>
            <w:r>
              <w:t>Return on Assets</w:t>
            </w:r>
          </w:p>
        </w:tc>
      </w:tr>
      <w:tr w:rsidR="00500B2F" w14:paraId="000130D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4BAA5D6" w14:textId="77777777" w:rsidR="00500B2F" w:rsidRDefault="00500B2F" w:rsidP="00CD4FCA">
            <w:pPr>
              <w:spacing w:before="40" w:after="40"/>
              <w:jc w:val="center"/>
            </w:pPr>
            <w:r>
              <w:rPr>
                <w:b/>
              </w:rPr>
              <w:t>ROE</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4778CA99" w14:textId="77777777" w:rsidR="00500B2F" w:rsidRDefault="00500B2F" w:rsidP="00CD4FCA">
            <w:pPr>
              <w:spacing w:before="40" w:after="40"/>
            </w:pPr>
            <w:r>
              <w:t>Return on Equity</w:t>
            </w:r>
          </w:p>
        </w:tc>
      </w:tr>
      <w:tr w:rsidR="00500B2F" w14:paraId="39167CA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8BB791A" w14:textId="77777777" w:rsidR="00500B2F" w:rsidRDefault="00500B2F" w:rsidP="00CD4FCA">
            <w:pPr>
              <w:spacing w:before="40" w:after="40"/>
              <w:jc w:val="center"/>
            </w:pPr>
            <w:r>
              <w:rPr>
                <w:b/>
              </w:rPr>
              <w:t>SME</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5B21C1D9" w14:textId="77777777" w:rsidR="00500B2F" w:rsidRDefault="00500B2F" w:rsidP="00CD4FCA">
            <w:pPr>
              <w:spacing w:before="40" w:after="40"/>
            </w:pPr>
            <w:r>
              <w:t>Small and Medium Enterprise</w:t>
            </w:r>
          </w:p>
        </w:tc>
      </w:tr>
      <w:tr w:rsidR="00500B2F" w14:paraId="2DE0189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EB8A57A" w14:textId="77777777" w:rsidR="00500B2F" w:rsidRDefault="00500B2F" w:rsidP="00CD4FCA">
            <w:pPr>
              <w:spacing w:before="40" w:after="40"/>
              <w:jc w:val="center"/>
            </w:pPr>
            <w:r>
              <w:rPr>
                <w:b/>
              </w:rPr>
              <w:t>SSA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CB1037F" w14:textId="77777777" w:rsidR="00500B2F" w:rsidRDefault="00500B2F" w:rsidP="00CD4FCA">
            <w:pPr>
              <w:spacing w:before="40" w:after="40"/>
            </w:pPr>
            <w:r>
              <w:t>Sub-Saharan Africa</w:t>
            </w:r>
          </w:p>
        </w:tc>
      </w:tr>
      <w:tr w:rsidR="00500B2F" w14:paraId="023107F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91C69FF" w14:textId="77777777" w:rsidR="00500B2F" w:rsidRDefault="00500B2F" w:rsidP="00CD4FCA">
            <w:pPr>
              <w:spacing w:before="40" w:after="40"/>
              <w:jc w:val="center"/>
            </w:pPr>
            <w:r>
              <w:rPr>
                <w:b/>
              </w:rPr>
              <w:t>System GMM</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221B08E5" w14:textId="77777777" w:rsidR="00500B2F" w:rsidRDefault="00500B2F" w:rsidP="00CD4FCA">
            <w:pPr>
              <w:spacing w:before="40" w:after="40"/>
            </w:pPr>
            <w:r>
              <w:t>System Generalised Method of Moments</w:t>
            </w:r>
          </w:p>
        </w:tc>
      </w:tr>
      <w:tr w:rsidR="00500B2F" w14:paraId="5F7A93C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E0A7EB8" w14:textId="77777777" w:rsidR="00500B2F" w:rsidRDefault="00500B2F" w:rsidP="00CD4FCA">
            <w:pPr>
              <w:spacing w:before="40" w:after="40"/>
              <w:jc w:val="center"/>
            </w:pPr>
            <w:r>
              <w:rPr>
                <w:b/>
              </w:rPr>
              <w:t>i</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3AC2E56" w14:textId="77777777" w:rsidR="00500B2F" w:rsidRDefault="00500B2F" w:rsidP="00CD4FCA">
            <w:pPr>
              <w:spacing w:before="40" w:after="40"/>
            </w:pPr>
            <w:r>
              <w:t>Firm subscript (individual firm identifier)</w:t>
            </w:r>
          </w:p>
        </w:tc>
      </w:tr>
      <w:tr w:rsidR="00500B2F" w14:paraId="51C17B7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7C8305E9" w14:textId="77777777" w:rsidR="00500B2F" w:rsidRDefault="00500B2F" w:rsidP="00CD4FCA">
            <w:pPr>
              <w:spacing w:before="40" w:after="40"/>
              <w:jc w:val="center"/>
            </w:pPr>
            <w:r>
              <w:rPr>
                <w:b/>
              </w:rPr>
              <w:t>t</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4986C1B1" w14:textId="77777777" w:rsidR="00500B2F" w:rsidRDefault="00500B2F" w:rsidP="00CD4FCA">
            <w:pPr>
              <w:spacing w:before="40" w:after="40"/>
            </w:pPr>
            <w:r>
              <w:t>Time subscript (quarterly period identifier)</w:t>
            </w:r>
          </w:p>
        </w:tc>
      </w:tr>
      <w:tr w:rsidR="00500B2F" w14:paraId="24D5E8D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06AB6299" w14:textId="77777777" w:rsidR="00500B2F" w:rsidRDefault="00500B2F" w:rsidP="00CD4FCA">
            <w:pPr>
              <w:spacing w:before="40" w:after="40"/>
              <w:jc w:val="center"/>
            </w:pPr>
            <w:r>
              <w:rPr>
                <w:b/>
              </w:rPr>
              <w:t>N</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7F2488B" w14:textId="77777777" w:rsidR="00500B2F" w:rsidRDefault="00500B2F" w:rsidP="00CD4FCA">
            <w:pPr>
              <w:spacing w:before="40" w:after="40"/>
            </w:pPr>
            <w:r>
              <w:t>Total number of firms in the panel</w:t>
            </w:r>
          </w:p>
        </w:tc>
      </w:tr>
      <w:tr w:rsidR="00500B2F" w14:paraId="59DDD12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D52731F" w14:textId="77777777" w:rsidR="00500B2F" w:rsidRDefault="00500B2F" w:rsidP="00CD4FCA">
            <w:pPr>
              <w:spacing w:before="40" w:after="40"/>
              <w:jc w:val="center"/>
            </w:pPr>
            <w:r>
              <w:rPr>
                <w:b/>
              </w:rPr>
              <w:t>T</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F173F22" w14:textId="77777777" w:rsidR="00500B2F" w:rsidRDefault="00500B2F" w:rsidP="00CD4FCA">
            <w:pPr>
              <w:spacing w:before="40" w:after="40"/>
            </w:pPr>
            <w:r>
              <w:t>Total number of time periods in the panel</w:t>
            </w:r>
          </w:p>
        </w:tc>
      </w:tr>
      <w:tr w:rsidR="00500B2F" w14:paraId="375AC29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DAD5175" w14:textId="77777777" w:rsidR="00500B2F" w:rsidRDefault="00500B2F" w:rsidP="00CD4FCA">
            <w:pPr>
              <w:spacing w:before="40" w:after="40"/>
              <w:jc w:val="center"/>
            </w:pPr>
            <w:r>
              <w:rPr>
                <w:b/>
              </w:rPr>
              <w:t>M</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D1AC740" w14:textId="77777777" w:rsidR="00500B2F" w:rsidRDefault="00500B2F" w:rsidP="00CD4FCA">
            <w:pPr>
              <w:spacing w:before="40" w:after="40"/>
            </w:pPr>
            <w:r>
              <w:rPr>
                <w:rFonts w:eastAsia="Times New Roman" w:cs="Times New Roman"/>
              </w:rPr>
              <w:t>Number of Monte Carlo replications per design (M = 1,000)</w:t>
            </w:r>
          </w:p>
        </w:tc>
      </w:tr>
      <w:tr w:rsidR="00500B2F" w14:paraId="6455F57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FE8A4ED" w14:textId="77777777" w:rsidR="00500B2F" w:rsidRDefault="00500B2F" w:rsidP="00CD4FCA">
            <w:pPr>
              <w:spacing w:before="40" w:after="40"/>
              <w:jc w:val="center"/>
            </w:pPr>
            <w:r>
              <w:rPr>
                <w:b/>
              </w:rPr>
              <w:t>USD</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B0BF22A" w14:textId="77777777" w:rsidR="00500B2F" w:rsidRDefault="00500B2F" w:rsidP="00CD4FCA">
            <w:pPr>
              <w:spacing w:before="40" w:after="40"/>
            </w:pPr>
            <w:r>
              <w:t>United States Dollar</w:t>
            </w:r>
          </w:p>
        </w:tc>
      </w:tr>
      <w:tr w:rsidR="00500B2F" w14:paraId="3D4EE9B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50B6EFFC" w14:textId="77777777" w:rsidR="00500B2F" w:rsidRDefault="00500B2F" w:rsidP="00CD4FCA">
            <w:pPr>
              <w:spacing w:before="40" w:after="40"/>
              <w:jc w:val="center"/>
            </w:pPr>
            <w:r>
              <w:rPr>
                <w:b/>
              </w:rPr>
              <w:t>VAR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52165E6" w14:textId="77777777" w:rsidR="00500B2F" w:rsidRDefault="00500B2F" w:rsidP="00CD4FCA">
            <w:pPr>
              <w:spacing w:before="40" w:after="40"/>
            </w:pPr>
            <w:r>
              <w:t>Vector Autoregression</w:t>
            </w:r>
          </w:p>
        </w:tc>
      </w:tr>
      <w:tr w:rsidR="00500B2F" w14:paraId="3AC31CD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769F8EA" w14:textId="77777777" w:rsidR="00500B2F" w:rsidRDefault="00500B2F" w:rsidP="00CD4FCA">
            <w:pPr>
              <w:spacing w:before="40" w:after="40"/>
              <w:jc w:val="center"/>
            </w:pPr>
            <w:r>
              <w:rPr>
                <w:b/>
              </w:rPr>
              <w:t>VRIN</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577EE925" w14:textId="77777777" w:rsidR="00500B2F" w:rsidRDefault="00500B2F" w:rsidP="00CD4FCA">
            <w:pPr>
              <w:spacing w:before="40" w:after="40"/>
            </w:pPr>
            <w:r>
              <w:t>Valuable, Rare, Inimitable, Non-Substitutable (RBV Framework)</w:t>
            </w:r>
          </w:p>
        </w:tc>
      </w:tr>
      <w:tr w:rsidR="00500B2F" w14:paraId="674A614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A371DC1" w14:textId="77777777" w:rsidR="00500B2F" w:rsidRDefault="00500B2F" w:rsidP="00CD4FCA">
            <w:pPr>
              <w:spacing w:before="40" w:after="40"/>
              <w:jc w:val="center"/>
            </w:pPr>
            <w:r>
              <w:rPr>
                <w:b/>
              </w:rPr>
              <w:t>WDI</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5F7D5C4A" w14:textId="77777777" w:rsidR="00500B2F" w:rsidRDefault="00500B2F" w:rsidP="00CD4FCA">
            <w:pPr>
              <w:spacing w:before="40" w:after="40"/>
            </w:pPr>
            <w:r>
              <w:t>World Development Indicators (World Bank)</w:t>
            </w:r>
          </w:p>
        </w:tc>
      </w:tr>
      <w:tr w:rsidR="00500B2F" w14:paraId="54BBAF95" w14:textId="77777777" w:rsidTr="00500B2F">
        <w:trPr>
          <w:trHeight w:val="241"/>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B834EFE" w14:textId="77777777" w:rsidR="00500B2F" w:rsidRDefault="00500B2F" w:rsidP="00CD4FCA">
            <w:pPr>
              <w:spacing w:before="40" w:after="40"/>
              <w:jc w:val="center"/>
            </w:pPr>
            <w:r>
              <w:rPr>
                <w:b/>
              </w:rPr>
              <w:t>WEO</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77A2A75" w14:textId="77777777" w:rsidR="00500B2F" w:rsidRDefault="00500B2F" w:rsidP="00CD4FCA">
            <w:pPr>
              <w:spacing w:before="40" w:after="40"/>
            </w:pPr>
            <w:r>
              <w:t>World Economic Outlook (IMF)</w:t>
            </w:r>
          </w:p>
        </w:tc>
      </w:tr>
    </w:tbl>
    <w:p w14:paraId="3F4BC23E" w14:textId="77777777" w:rsidR="004F4309" w:rsidRDefault="000E7025" w:rsidP="00607B9F">
      <w:pPr>
        <w:tabs>
          <w:tab w:val="left" w:pos="7037"/>
        </w:tabs>
        <w:spacing w:line="480" w:lineRule="auto"/>
      </w:pPr>
      <w:r>
        <w:tab/>
      </w:r>
    </w:p>
    <w:p w14:paraId="58679991" w14:textId="77777777" w:rsidR="000E7025" w:rsidRDefault="000E7025" w:rsidP="00607B9F">
      <w:pPr>
        <w:tabs>
          <w:tab w:val="left" w:pos="7037"/>
        </w:tabs>
        <w:spacing w:line="480" w:lineRule="auto"/>
      </w:pPr>
    </w:p>
    <w:p w14:paraId="197B2FBD" w14:textId="77777777" w:rsidR="000E7025" w:rsidRDefault="000E7025" w:rsidP="00607B9F">
      <w:pPr>
        <w:tabs>
          <w:tab w:val="left" w:pos="7037"/>
        </w:tabs>
        <w:spacing w:line="480" w:lineRule="auto"/>
      </w:pPr>
    </w:p>
    <w:p w14:paraId="25E313E5" w14:textId="77777777" w:rsidR="000E7025" w:rsidRDefault="000E7025" w:rsidP="00607B9F">
      <w:pPr>
        <w:tabs>
          <w:tab w:val="left" w:pos="7037"/>
        </w:tabs>
        <w:spacing w:line="480" w:lineRule="auto"/>
      </w:pPr>
    </w:p>
    <w:p w14:paraId="137EEE71" w14:textId="77777777" w:rsidR="000E7025" w:rsidRDefault="000E7025" w:rsidP="00607B9F">
      <w:pPr>
        <w:tabs>
          <w:tab w:val="left" w:pos="7037"/>
        </w:tabs>
        <w:spacing w:line="480" w:lineRule="auto"/>
      </w:pPr>
    </w:p>
    <w:p w14:paraId="078E2C03" w14:textId="77777777" w:rsidR="000E7025" w:rsidRDefault="000E7025" w:rsidP="00607B9F">
      <w:pPr>
        <w:tabs>
          <w:tab w:val="left" w:pos="7037"/>
        </w:tabs>
        <w:spacing w:line="480" w:lineRule="auto"/>
      </w:pPr>
    </w:p>
    <w:p w14:paraId="743B2316" w14:textId="77777777" w:rsidR="009867EB" w:rsidRDefault="009867EB" w:rsidP="00607B9F">
      <w:pPr>
        <w:tabs>
          <w:tab w:val="left" w:pos="7037"/>
        </w:tabs>
        <w:spacing w:line="480" w:lineRule="auto"/>
        <w:sectPr w:rsidR="009867EB" w:rsidSect="009867EB">
          <w:footerReference w:type="default" r:id="rId9"/>
          <w:pgSz w:w="12240" w:h="15840"/>
          <w:pgMar w:top="1440" w:right="1440" w:bottom="1440" w:left="1440" w:header="720" w:footer="720" w:gutter="0"/>
          <w:pgNumType w:fmt="lowerRoman" w:start="1"/>
          <w:cols w:space="720"/>
          <w:titlePg/>
          <w:docGrid w:linePitch="360"/>
        </w:sectPr>
      </w:pPr>
    </w:p>
    <w:p w14:paraId="1BBE0572" w14:textId="77777777" w:rsidR="004F4309" w:rsidRDefault="004F4309" w:rsidP="00607B9F">
      <w:pPr>
        <w:spacing w:line="480" w:lineRule="auto"/>
      </w:pPr>
    </w:p>
    <w:p w14:paraId="63E3A307" w14:textId="77777777" w:rsidR="004F4309" w:rsidRDefault="004F4309" w:rsidP="00607B9F">
      <w:pPr>
        <w:pStyle w:val="Heading1"/>
        <w:spacing w:line="480" w:lineRule="auto"/>
      </w:pPr>
      <w:bookmarkStart w:id="1" w:name="_TocRev001"/>
      <w:r>
        <w:t xml:space="preserve">CHAPTER ONE </w:t>
      </w:r>
      <w:bookmarkEnd w:id="1"/>
    </w:p>
    <w:p w14:paraId="2EF241B9" w14:textId="77777777" w:rsidR="004F4309" w:rsidRDefault="004F4309" w:rsidP="00607B9F">
      <w:pPr>
        <w:pStyle w:val="Heading1"/>
        <w:spacing w:line="480" w:lineRule="auto"/>
      </w:pPr>
      <w:bookmarkStart w:id="2" w:name="_TocRev002"/>
      <w:r>
        <w:t>INTRODUCTION</w:t>
      </w:r>
      <w:bookmarkEnd w:id="2"/>
    </w:p>
    <w:p w14:paraId="1ED02B8D" w14:textId="77777777" w:rsidR="004F4309" w:rsidRDefault="004F4309" w:rsidP="00F204DA">
      <w:pPr>
        <w:pStyle w:val="Heading2"/>
        <w:numPr>
          <w:ilvl w:val="1"/>
          <w:numId w:val="4"/>
        </w:numPr>
      </w:pPr>
      <w:bookmarkStart w:id="3" w:name="_TocRev003"/>
      <w:r>
        <w:t>Background of the Study</w:t>
      </w:r>
      <w:bookmarkEnd w:id="3"/>
    </w:p>
    <w:p w14:paraId="332395CB" w14:textId="77777777" w:rsidR="006447A4" w:rsidRDefault="006447A4" w:rsidP="006447A4">
      <w:pPr>
        <w:spacing w:after="240" w:line="480" w:lineRule="auto"/>
      </w:pPr>
      <w:r>
        <w:rPr>
          <w:rFonts w:eastAsia="Times New Roman" w:cs="Times New Roman"/>
        </w:rPr>
        <w:t>The global oil and gas industry occupies a central position in modern economies, serving as the primary energy source for industrial production, transportation, household consumption, and agricultural mechanisation, while also functioning as a key determinant of macroeconomic stability, foreign exchange dynamics, and fiscal sustainability in petroleum dependent nations (International Energy Agency, 2022). Within the African continent, where energy access deficits continue to constrain economic transformation, the downstream petroleum marketing sector holds particular strategic significance, since it forms the institutional interface through which crude oil and refined petroleum products are converted into accessible energy services for households, enterprises, and governments (World Bank, 2021). Ghana, as one of Sub Saharan Africa's prominent oil producing economies, illustrates both the developmental potential and the financial vulnerabilities that characterise petroleum dependent developing economies, making its downstream petroleum marketing sector a relevant context for the present study.</w:t>
      </w:r>
    </w:p>
    <w:p w14:paraId="773650DA" w14:textId="77777777" w:rsidR="006447A4" w:rsidRDefault="006447A4" w:rsidP="006447A4">
      <w:pPr>
        <w:spacing w:after="240" w:line="480" w:lineRule="auto"/>
      </w:pPr>
      <w:r>
        <w:rPr>
          <w:rFonts w:eastAsia="Times New Roman" w:cs="Times New Roman"/>
        </w:rPr>
        <w:t xml:space="preserve">Ghana's entry into oil production began with the commencement of commercial output at the Jubilee Field in December 2010, following the discovery of offshore hydrocarbon reserves in 2007 (Gyimah-Boadi &amp; Prempeh, 2012; Aryeetey et al., 2016). This development generated expectations of increased fiscal revenue, higher foreign exchange earnings and expanded development investment, to be channelled through the Petroleum Revenue Management Act, 2011 (Act 815). Crude oil subsequently became one of Ghana's leading merchandise exports alongside gold and cocoa, although gold has remained the largest single source of export earnings (Bank of Ghana, 2020). These macroeconomic conditions establish the broader context within which the financial performance of downstream petroleum marketing firms must be examined.</w:t>
      </w:r>
    </w:p>
    <w:p w14:paraId="79C8BFAA" w14:textId="77777777" w:rsidR="006447A4" w:rsidRDefault="006447A4" w:rsidP="006447A4">
      <w:pPr>
        <w:spacing w:after="240" w:line="480" w:lineRule="auto"/>
      </w:pPr>
      <w:r>
        <w:rPr>
          <w:rFonts w:eastAsia="Times New Roman" w:cs="Times New Roman"/>
        </w:rPr>
        <w:t xml:space="preserve">The downstream petroleum marketing sector in Ghana is regulated by the National Petroleum Authority (NPA), established under the National Petroleum Authority Act, 2005 (Act 691), which licenses, among other categories, Bulk Import, Distribution and Export Companies (BIDECs), Oil Marketing Companies (OMCs) and Liquefied Petroleum Gas Marketing Companies (LPGMCs) (National Petroleum Authority [NPA], 2022). BIDECs import refined petroleum products in bulk, typically through letters of credit denominated in United States dollars (USD), and supply the wholesale market. OMCs purchase products from BIDECs and distribute them through retail service stations and commercial supply arrangements. LPGMCs handle the storage, bottling and retail distribution of liquefied petroleum gas for household and industrial use (NPA, 2022). The number of licensed companies in each category changes from year to year as licences are issued, renewed, suspended and revoked. The study therefore does not rely on an approximate count at a single date; the population is taken from the NPA register of licensed companies as it stood at the end of each year from 2015 to 2024, and the dated counts are reported in the pilot data audit (Sections 3.6 and 3.7.6).</w:t>
      </w:r>
    </w:p>
    <w:p w14:paraId="256DE25B" w14:textId="77777777" w:rsidR="006447A4" w:rsidRDefault="006447A4" w:rsidP="006447A4">
      <w:pPr>
        <w:spacing w:after="240" w:line="480" w:lineRule="auto"/>
      </w:pPr>
      <w:r>
        <w:rPr>
          <w:rFonts w:eastAsia="Times New Roman" w:cs="Times New Roman"/>
        </w:rPr>
        <w:t xml:space="preserve">The financial performance of these firms is shaped by an interacting set of financial factors, principally foreign exchange accessibility, corporate liquidity conditions, exchange rate volatility, investment decisions, and financial risk exposure. These determinants operate through </w:t>
        <w:lastRenderedPageBreak/>
        <w:t xml:space="preserve">interdependent relationships and feedback effects that make the financial management environment of Ghana's petroleum marketing firms particularly complex (Krugman &amp; Obstfeld, 2022; International Monetary Fund [IMF], 2023).</w:t>
      </w:r>
    </w:p>
    <w:p w14:paraId="039191CE" w14:textId="77777777" w:rsidR="006447A4" w:rsidRDefault="006447A4" w:rsidP="006447A4">
      <w:pPr>
        <w:spacing w:after="240" w:line="480" w:lineRule="auto"/>
      </w:pPr>
      <w:r>
        <w:rPr>
          <w:rFonts w:eastAsia="Times New Roman" w:cs="Times New Roman"/>
        </w:rPr>
        <w:t xml:space="preserve">Forex accessibility, defined as the ease and timeliness with which firms obtain USD for petroleum import financing, represents a fundamental operational constraint, given that international petroleum products are priced in USD while domestic revenues are collected in Ghanaian cedis (GHS) (Beck et al., 2006). Ghana has experienced recurrent episodes of foreign exchange pressure during the study period, including the balance of payments difficulties of 2014 to 2016, the COVID-19 external shock of 2020 and the combined sovereign debt and foreign exchange crisis of 2022. Over the 2022 calendar year the cedi depreciated by about 30 percent against the USD on the interbank market, after a sharper decline earlier in the year that was partly reversed in December (Bank of Ghana, 2023; IMF, 2023). Industry participants reported delays in obtaining foreign exchange for letters of credit during these episodes, with consequences for supply continuity, recourse to more expensive non-bank sources of foreign exchange and working capital. No dated primary source reporting the length of these delays across firms has been identified, however, so the study does not assume a particular waiting period; it measures allocation delay directly where firm records permit (Section 3.8.2). Cross-country evidence shows that financial and legal institutions shape firm size and growth (Beck et al., 2006), and financing constraints are expected to bind most tightly for firms, such as smaller OMCs and LPGMCs, that depend mainly on formal banking channels and lack alternative access to international financial markets.</w:t>
      </w:r>
    </w:p>
    <w:p w14:paraId="02935006" w14:textId="77777777" w:rsidR="006447A4" w:rsidRDefault="006447A4" w:rsidP="006447A4">
      <w:pPr>
        <w:spacing w:after="240" w:line="480" w:lineRule="auto"/>
      </w:pPr>
      <w:r>
        <w:rPr>
          <w:rFonts w:eastAsia="Times New Roman" w:cs="Times New Roman"/>
        </w:rPr>
        <w:t xml:space="preserve">Exchange rate volatility adds a temporal dimension of uncertainty that complicates import cost planning, pricing strategy and investment decisions across the three firm categories (Adler &amp; Dumas, 1984; Krugman &amp; Obstfeld, 2022). The GHS has been volatile against the USD throughout the study period, reflecting persistent inflation differentials with Ghana's main trading partners, recurrent current account and fiscal pressures, and commodity price shocks (Dornbusch et al., 2021; IMF, 2023). Engle (1982) introduced the autoregressive conditional heteroskedasticity (ARCH) model to capture the tendency of large movements in a series to cluster in time, and Bollerslev (1986) and Nelson (1991) extended it into the generalised ARCH (GARCH) and exponential GARCH (EGARCH) models now widely used to measure time-varying exchange rate volatility. Alagidede and Ibrahim (2017) show that shocks to Ghana's real exchange rate are persistent and that misalignments correct only slowly, with implications for the duration of financial stress episodes in the petroleum marketing sector. The economic exposure of petroleum marketing firms to exchange rate movements, defined by Adler and Dumas (1984) as the sensitivity of firm cash flows to unexpected exchange rate changes, is transmitted to financial performance through three channels: the import cost channel, through which GHS depreciation raises the cedi cost of USD-priced petroleum imports; the working capital channel, through which exchange rate movements affect the GHS value of USD-denominated payables and the real value of GHS cash balances; and the investment channel, through which exchange rate uncertainty raises the value of deferring irreversible capital investment (Dixit &amp; Pindyck, 1994; Fazzari et al., 1988; Allayannis &amp; Weston, 2001). Because the exchange rate is common to all firms, the strength of these channels for a given firm depends on its exposure, which is why the study identifies the effect of volatility through differences in firms' foreign exchange exposure (Section 3.8.5).</w:t>
      </w:r>
    </w:p>
    <w:p w14:paraId="6871B4E4" w14:textId="77777777" w:rsidR="006447A4" w:rsidRDefault="006447A4" w:rsidP="006447A4">
      <w:pPr>
        <w:spacing w:after="240" w:line="480" w:lineRule="auto"/>
      </w:pPr>
      <w:r>
        <w:rPr>
          <w:rFonts w:eastAsia="Times New Roman" w:cs="Times New Roman"/>
        </w:rPr>
        <w:t xml:space="preserve">Liquidity conditions constitute a third determinant of firm performance that interacts with forex and exchange rate dynamics. The mismatch between the 30 to 90 day import credit cycles under which BIDECs and OMCs operate and the longer receivable periods associated with sales to government entities and large industrial customers creates a persistent working capital requirement that depends on the availability and cost of banking credit (Deloof, 2003; Baños-Caballero et al., </w:t>
        <w:lastRenderedPageBreak/>
        <w:t xml:space="preserve">2014). The Ghanaian banking sector underwent a clean-up between 2017 and 2019 in which the Bank of Ghana revoked the licences of nine universal banks and of a large number of specialised deposit-taking institutions; the Government reported the cumulative cost of the financial sector clean-up at over GHS 21 billion (Ministry of Finance, 2021). The clean-up potentially reduced the supply of trade finance available to petroleum marketing firms during a period of forex and exchange rate stress, a possibility the study examines rather than assumes. Diamond and Dybvig (1983) show theoretically that liquidity shocks can cause abrupt operational disruptions in financial systems where firms are simultaneously illiquid and solvent, a condition that characterised the financial profile of many Ghanaian petroleum marketing firms during crisis periods. Holmström and Tirole (1998) further establish that informational asymmetries between firms and banks make financial constraints most binding for firms with lower pledgeable income, a condition that disproportionately affects smaller OMCs and LPGMCs with limited collateral, less transparent financial reporting, and shallower banking relationships (Abor &amp; Quartey, 2010). Deloof (2003), studying 1,009 large Belgian firms over 1992–1996, finds that firms can raise profitability by reducing their receivable and inventory days, while Baños-Caballero et al. (2014) report a non linear, inverted U relationship between liquidity and profitability, findings that support the inclusion of liquidity management as a determinant of financial performance in the present study.</w:t>
      </w:r>
    </w:p>
    <w:p w14:paraId="6D35904E" w14:textId="77777777" w:rsidR="006447A4" w:rsidRDefault="006447A4" w:rsidP="006447A4">
      <w:pPr>
        <w:spacing w:after="240" w:line="480" w:lineRule="auto"/>
      </w:pPr>
      <w:r>
        <w:rPr>
          <w:rFonts w:eastAsia="Times New Roman" w:cs="Times New Roman"/>
        </w:rPr>
        <w:t xml:space="preserve">Investment decisions, particularly the allocation of capital to storage infrastructure, transportation assets, retail network expansion, and safety equipment, form the fourth determinant of financial performance examined in this study and are theorised to mediate the relationship between forex accessibility and firm performance (Fazzari et al., 1988; Teece et al., 1997). Fazzari et al. (1988) show empirically that financially constrained firms display elevated investment cash flow sensitivity, indicating that external financing frictions, including those arising from forex scarcity, higher banking credit costs, and exchange rate uncertainty, can reduce capital allocation below the </w:t>
        <w:lastRenderedPageBreak/>
        <w:t>level warranted by demand fundamentals. Dixit and Pindyck (1994) extend this analysis through the real options framework, showing that the irreversibility of infrastructure investment and the variability of petroleum marketing margins increase the value of deferring investment under uncertainty, a mechanism consistent with the infrastructure underdevelopment that the NPA (2022) has identified as a constraint on sector performance. Kaplan and Zingales (1997) and Modigliani and Miller (1958) provide theoretical boundary conditions for these relationships, while Teece et al. (1997), from a dynamic capabilities perspective, argue that the performance benefits of improved resource access, including forex accessibility, depend on the organisational capacity of firms to convert these resources into timely capital investment.</w:t>
      </w:r>
    </w:p>
    <w:p w14:paraId="3AEDEC62" w14:textId="77777777" w:rsidR="006447A4" w:rsidRDefault="006447A4" w:rsidP="006447A4">
      <w:pPr>
        <w:spacing w:after="240" w:line="480" w:lineRule="auto"/>
      </w:pPr>
      <w:r>
        <w:rPr>
          <w:rFonts w:eastAsia="Times New Roman" w:cs="Times New Roman"/>
        </w:rPr>
        <w:t xml:space="preserve">Financial risk, encompassing market risk, credit risk, liquidity risk, and operational risk, forms the fifth determinant of firm performance examined in this study. It is theorised to act both as an independent driver of performance and as a moderating factor that affects the magnitude and direction of the effects of forex accessibility, liquidity, and exchange rate volatility on financial returns (Stulz, 1990; Myers, 1977; Nance et al., 1993). Bartram et al. (2010), using a large international firm sample, find that petroleum sector firms have among the largest exchange rate and commodity price exposures of any industry, reflecting the dependence of their cost structures on international commodity and currency markets. Myers's (1977) debt overhang model shows that highly leveraged firms may forgo positive net present value investments because the gains accrue mainly to creditors rather than shareholders, a mechanism suggesting that financial risk moderates the investment response to improved forex and liquidity conditions and, in turn, the performance effects of these factors. Stulz (1990) and Nance et al. (1993) provide theoretical and empirical support for the role of financial risk management in firm value, while Altman's (1968) </w:t>
        <w:lastRenderedPageBreak/>
        <w:t>financial distress model provides a framework for measuring financial risk through leverage, coverage, and profitability ratios.</w:t>
      </w:r>
    </w:p>
    <w:p w14:paraId="549242BE" w14:textId="77777777" w:rsidR="00FD2D80" w:rsidRPr="00FD2D80" w:rsidRDefault="006447A4" w:rsidP="006447A4">
      <w:pPr>
        <w:spacing w:after="240" w:line="480" w:lineRule="auto"/>
      </w:pPr>
      <w:r>
        <w:rPr>
          <w:rFonts w:eastAsia="Times New Roman" w:cs="Times New Roman"/>
        </w:rPr>
        <w:t>Although these determinants (forex accessibility, liquidity conditions, exchange rate volatility, investment decisions and financial risk) are each supported by established theoretical and empirical literature, the Ghanaian studies reviewed, such as Abor (2005), Akoto et al. (2013), Li et al. (2020) and Najimu and Mahama (2022), have examined them separately, mostly for listed firms outside the downstream petroleum sector. The reviewed literature therefore provides limited evidence on the routes through which these factors affect performance: whether their effects are direct, whether forex accessibility works through the investment behaviour of firms, and whether the existing financial risk of firms determines how far improved financial conditions translate into profitability.</w:t>
      </w:r>
    </w:p>
    <w:p w14:paraId="0A175662" w14:textId="77777777" w:rsidR="002363FE" w:rsidRDefault="00CC0653">
      <w:pPr>
        <w:spacing w:after="240" w:line="480" w:lineRule="auto"/>
      </w:pPr>
      <w:r>
        <w:rPr>
          <w:rFonts w:eastAsia="Times New Roman" w:cs="Times New Roman"/>
        </w:rPr>
        <w:t>Taken together, the argument of this study can be stated briefly. Ghanaian downstream petroleum marketing firms operate under significant foreign exchange and liquidity constraints. Limited access to foreign currency increases import-financing difficulties and working-capital pressure, while exchange rate uncertainty increases the cost and unpredictability of petroleum procurement. These financial constraints may affect profitability directly, but they may also influence performance indirectly by limiting the ability of firms to undertake productive investment. However, the extent to which firms convert improved financial conditions into performance may depend on their existing financial risk. The study therefore examines the direct effects of forex accessibility, liquidity and exchange rate volatility, the investment channel through which forex accessibility may influence performance, and the extent to which financial risk conditions these relationships. Every analytical technique employed in the study is chosen to serve this argument.</w:t>
      </w:r>
    </w:p>
    <w:p w14:paraId="3C599B88" w14:textId="77777777" w:rsidR="004F4309" w:rsidRDefault="004F4309" w:rsidP="00F204DA">
      <w:pPr>
        <w:pStyle w:val="Heading2"/>
        <w:numPr>
          <w:ilvl w:val="1"/>
          <w:numId w:val="4"/>
        </w:numPr>
      </w:pPr>
      <w:bookmarkStart w:id="4" w:name="_TocRev004"/>
      <w:r>
        <w:lastRenderedPageBreak/>
        <w:t>Problem Statement</w:t>
      </w:r>
      <w:bookmarkEnd w:id="4"/>
    </w:p>
    <w:p w14:paraId="54B09782" w14:textId="77777777" w:rsidR="00E35CB6" w:rsidRDefault="00E35CB6" w:rsidP="00E35CB6">
      <w:pPr>
        <w:spacing w:line="480" w:lineRule="auto"/>
      </w:pPr>
      <w:r>
        <w:t>The downstream petroleum marketing sector plays a critical role in Ghana's economy by ensuring the continuous supply and distribution of petroleum products required for transportation, industrial production, commerce, and household consumption. The sector is dominated by Bulk Import, Distribution and Export Companies (BIDECs), Oil Marketing Companies (OMCs), and Liquefied Petroleum Gas Marketing Companies (LPGMCs), whose operations depend heavily on foreign exchange availability due to the import dependent nature of petroleum procurement. Over the past decade, particularly between 2015 and 2024, persistent depreciation of the Ghana cedi, recurrent foreign exchange shortages, tightening liquidity conditions, and heightened macroeconomic uncertainty have created significant financial challenges for firms operating within the sector.</w:t>
      </w:r>
    </w:p>
    <w:p w14:paraId="15B12DAC" w14:textId="77777777" w:rsidR="00E35CB6" w:rsidRDefault="00E35CB6" w:rsidP="00E35CB6">
      <w:pPr>
        <w:spacing w:line="480" w:lineRule="auto"/>
      </w:pPr>
      <w:r>
        <w:t>The dependence of petroleum marketing firms on foreign currency financing exposes them to exchange rate fluctuations and foreign exchange accessibility constraints that directly affect import costs, working capital requirements, debt servicing obligations, and overall profitability. At the same time, liquidity pressures arising from delays in foreign exchange allocation, rising borrowing costs, and constrained credit availability have increased firms' financial vulnerability and reduced their capacity to undertake productive investments. These conditions have raised concerns among regulators, policymakers, and industry stakeholders regarding the financial sustainability and performance of petroleum marketing firms in Ghana.</w:t>
      </w:r>
    </w:p>
    <w:p w14:paraId="4931D1FC" w14:textId="77777777" w:rsidR="002363FE" w:rsidRDefault="00CC0653">
      <w:pPr>
        <w:spacing w:after="240" w:line="480" w:lineRule="auto"/>
      </w:pPr>
      <w:r>
        <w:rPr>
          <w:rFonts w:eastAsia="Times New Roman" w:cs="Times New Roman"/>
        </w:rPr>
        <w:t xml:space="preserve">Several studies have examined exchange rate movements, liquidity management and firm performance in Ghana and other developing economies, and the evidence they provide is valuable (Abor, 2005; Akoto et al., 2013; Li et al., 2020; Najimu &amp; Mahama, 2022). The more important difficulty, however, is not simply that these variables have not been placed together in one </w:t>
        <w:lastRenderedPageBreak/>
        <w:t>regression; that would be a methodological gap rather than an important finance question. The substantive problem is that we do not yet know whether foreign exchange accessibility affects firm performance directly, indirectly through investment, or conditionally depending on the financial risk of firms; nor do we know whether liquidity and exchange rate uncertainty have homogeneous effects across the different business models of Ghana's downstream petroleum sector.</w:t>
      </w:r>
    </w:p>
    <w:p w14:paraId="17519AB9" w14:textId="77777777" w:rsidR="002363FE" w:rsidRDefault="00CC0653">
      <w:pPr>
        <w:spacing w:after="240" w:line="480" w:lineRule="auto"/>
      </w:pPr>
      <w:r>
        <w:rPr>
          <w:rFonts w:eastAsia="Times New Roman" w:cs="Times New Roman"/>
        </w:rPr>
        <w:t>The problem can therefore be stated as three unresolved mechanisms:</w:t>
      </w:r>
    </w:p>
    <w:p w14:paraId="30A96D72" w14:textId="77777777" w:rsidR="002363FE" w:rsidRDefault="00CC0653">
      <w:pPr>
        <w:spacing w:line="480" w:lineRule="auto"/>
        <w:ind w:left="720" w:hanging="360"/>
      </w:pPr>
      <w:r>
        <w:rPr>
          <w:rFonts w:eastAsia="Times New Roman" w:cs="Times New Roman"/>
        </w:rPr>
        <w:t>1.</w:t>
        <w:tab/>
      </w:r>
      <w:r>
        <w:rPr>
          <w:rFonts w:eastAsia="Times New Roman" w:cs="Times New Roman"/>
          <w:b/>
          <w:bCs/>
        </w:rPr>
        <w:t>Direct effect.</w:t>
      </w:r>
      <w:r>
        <w:rPr>
          <w:rFonts w:eastAsia="Times New Roman" w:cs="Times New Roman"/>
        </w:rPr>
        <w:t xml:space="preserve"> Do forex accessibility, liquidity conditions and exchange rate volatility affect the financial performance of petroleum marketing firms, and is the liquidity effect linear or does it exhibit an optimal level beyond which additional liquidity reduces profitability?</w:t>
      </w:r>
    </w:p>
    <w:p w14:paraId="6ED877C4" w14:textId="77777777" w:rsidR="002363FE" w:rsidRDefault="00CC0653">
      <w:pPr>
        <w:spacing w:line="480" w:lineRule="auto"/>
        <w:ind w:left="720" w:hanging="360"/>
      </w:pPr>
      <w:r>
        <w:rPr>
          <w:rFonts w:eastAsia="Times New Roman" w:cs="Times New Roman"/>
        </w:rPr>
        <w:t>2.</w:t>
        <w:tab/>
      </w:r>
      <w:r>
        <w:rPr>
          <w:rFonts w:eastAsia="Times New Roman" w:cs="Times New Roman"/>
          <w:b/>
          <w:bCs/>
        </w:rPr>
        <w:t>Transmission mechanism.</w:t>
      </w:r>
      <w:r>
        <w:rPr>
          <w:rFonts w:eastAsia="Times New Roman" w:cs="Times New Roman"/>
        </w:rPr>
        <w:t xml:space="preserve"> Does forex accessibility affect performance because it changes the investment behaviour of firms, given that investment in storage, transport and retail infrastructure takes several quarters to generate returns?</w:t>
      </w:r>
    </w:p>
    <w:p w14:paraId="017793BE" w14:textId="77777777" w:rsidR="002363FE" w:rsidRDefault="00CC0653">
      <w:pPr>
        <w:spacing w:line="480" w:lineRule="auto"/>
        <w:ind w:left="720" w:hanging="360"/>
      </w:pPr>
      <w:r>
        <w:rPr>
          <w:rFonts w:eastAsia="Times New Roman" w:cs="Times New Roman"/>
        </w:rPr>
        <w:t>3.</w:t>
        <w:tab/>
      </w:r>
      <w:r>
        <w:rPr>
          <w:rFonts w:eastAsia="Times New Roman" w:cs="Times New Roman"/>
          <w:b/>
          <w:bCs/>
        </w:rPr>
        <w:t>Boundary condition.</w:t>
      </w:r>
      <w:r>
        <w:rPr>
          <w:rFonts w:eastAsia="Times New Roman" w:cs="Times New Roman"/>
        </w:rPr>
        <w:t xml:space="preserve"> Does the existing financial risk of firms (their leverage, debt-service capacity and cash-flow volatility) determine whether they can convert improved forex access and liquidity into performance, and whether exchange rate volatility hurts them more?</w:t>
      </w:r>
    </w:p>
    <w:p w14:paraId="636B851C" w14:textId="77777777" w:rsidR="002363FE" w:rsidRDefault="00CC0653">
      <w:pPr>
        <w:spacing w:after="240" w:line="480" w:lineRule="auto"/>
      </w:pPr>
      <w:r>
        <w:rPr>
          <w:rFonts w:eastAsia="Times New Roman" w:cs="Times New Roman"/>
        </w:rPr>
        <w:t xml:space="preserve">Two further features of the sector sharpen the problem. First, BIDECs, OMCs and LPGMCs differ in their import exposure, regulated pricing and capital intensity, so a single sector-wide coefficient may conceal effects that differ in size or even in sign across firm categories. Second, forex shortages, liquidity stress and exchange rate shocks unfold over several quarters and feed back on one another, yet the existing Ghanaian evidence is largely static or aggregate and cannot show how </w:t>
        <w:lastRenderedPageBreak/>
        <w:t>long performance responses persist or how shocks to one financial condition propagate to the others (Alagidede &amp; Ibrahim, 2017; Najimu &amp; Mahama, 2022).</w:t>
      </w:r>
    </w:p>
    <w:p w14:paraId="2EDE8001" w14:textId="77777777" w:rsidR="00E35CB6" w:rsidRDefault="00E35CB6" w:rsidP="00E35CB6">
      <w:pPr>
        <w:spacing w:line="480" w:lineRule="auto"/>
      </w:pPr>
      <w:r>
        <w:t>The absence of integrated empirical evidence limits the ability of policymakers and regulators to design effective foreign exchange allocation mechanisms, liquidity support interventions, and sector specific financial policies. It also constrains the ability of firm managers to make informed decisions regarding investment planning, liquidity management, and risk mitigation strategies under conditions of foreign exchange uncertainty.</w:t>
      </w:r>
    </w:p>
    <w:p w14:paraId="28E17CD5" w14:textId="77777777" w:rsidR="002363FE" w:rsidRDefault="00CC0653">
      <w:pPr>
        <w:spacing w:after="240" w:line="480" w:lineRule="auto"/>
      </w:pPr>
      <w:r>
        <w:rPr>
          <w:rFonts w:eastAsia="Times New Roman" w:cs="Times New Roman"/>
        </w:rPr>
        <w:t>This study therefore examines the direct, heterogeneous, investment-mediated, risk-conditioned and dynamic relationships between foreign exchange accessibility, liquidity conditions, exchange rate volatility and the financial performance of BIDECs, OMCs and LPGMCs in Ghana over the period 2015:Q1 to 2024:Q4. By providing evidence on these mechanisms, the study aims to contribute to financial management scholarship and to support evidence-based decision making within Ghana's downstream petroleum marketing sector.</w:t>
      </w:r>
    </w:p>
    <w:p w14:paraId="6D7EC261" w14:textId="77777777" w:rsidR="00E550E8" w:rsidRDefault="00E550E8" w:rsidP="00F204DA">
      <w:pPr>
        <w:pStyle w:val="Heading2"/>
      </w:pPr>
      <w:bookmarkStart w:id="5" w:name="_TocRev005"/>
      <w:r>
        <w:t>1.3 Main Objective</w:t>
      </w:r>
      <w:bookmarkEnd w:id="5"/>
    </w:p>
    <w:p w14:paraId="32F3FCA0" w14:textId="77777777" w:rsidR="00E550E8" w:rsidRDefault="00E550E8" w:rsidP="00E550E8">
      <w:pPr>
        <w:spacing w:after="240" w:line="480" w:lineRule="auto"/>
      </w:pPr>
      <w:r>
        <w:rPr>
          <w:rFonts w:eastAsia="Times New Roman" w:cs="Times New Roman"/>
        </w:rPr>
        <w:t>The main objective of the study is to examine how foreign exchange accessibility, liquidity conditions and exchange rate volatility affect the financial performance of Bulk Import, Distribution and Export Companies (BIDECs), Oil Marketing Companies (OMCs) and Liquefied Petroleum Gas Marketing Companies (LPGMCs) in Ghana, directly, through investment decisions, and conditionally on financial risk, over the period 2015:Q1 to 2024:Q4.</w:t>
      </w:r>
    </w:p>
    <w:p w14:paraId="552F437E" w14:textId="77777777" w:rsidR="00E550E8" w:rsidRDefault="00E550E8" w:rsidP="00B07880">
      <w:pPr>
        <w:pStyle w:val="Heading3"/>
      </w:pPr>
      <w:bookmarkStart w:id="6" w:name="_TocRev006"/>
      <w:r>
        <w:t>1.3.1 Specific Objectives</w:t>
      </w:r>
      <w:bookmarkEnd w:id="6"/>
    </w:p>
    <w:p w14:paraId="113D098D" w14:textId="77777777" w:rsidR="002363FE" w:rsidRDefault="00CC0653">
      <w:pPr>
        <w:spacing w:after="240" w:line="480" w:lineRule="auto"/>
      </w:pPr>
      <w:r>
        <w:rPr>
          <w:rFonts w:eastAsia="Times New Roman" w:cs="Times New Roman"/>
        </w:rPr>
        <w:t>Specifically, the study seeks to:</w:t>
      </w:r>
    </w:p>
    <w:p w14:paraId="6DA4125A" w14:textId="77777777" w:rsidR="002363FE" w:rsidRDefault="00CC0653">
      <w:pPr>
        <w:spacing w:line="480" w:lineRule="auto"/>
        <w:ind w:left="720" w:hanging="360"/>
      </w:pPr>
      <w:r>
        <w:rPr>
          <w:rFonts w:eastAsia="Times New Roman" w:cs="Times New Roman"/>
        </w:rPr>
        <w:lastRenderedPageBreak/>
        <w:t>1.</w:t>
        <w:tab/>
        <w:t>examine the effects of foreign exchange accessibility, liquidity conditions and exchange rate volatility on the financial performance of Ghana's downstream petroleum marketing firms;</w:t>
      </w:r>
    </w:p>
    <w:p w14:paraId="4A61065F" w14:textId="77777777" w:rsidR="002363FE" w:rsidRDefault="00CC0653">
      <w:pPr>
        <w:spacing w:line="480" w:lineRule="auto"/>
        <w:ind w:left="720" w:hanging="360"/>
      </w:pPr>
      <w:r>
        <w:rPr>
          <w:rFonts w:eastAsia="Times New Roman" w:cs="Times New Roman"/>
        </w:rPr>
        <w:t>2.</w:t>
        <w:tab/>
        <w:t>examine whether the effects of foreign exchange accessibility, liquidity conditions and exchange rate volatility on financial performance differ across BIDECs, OMCs and LPGMCs;</w:t>
      </w:r>
    </w:p>
    <w:p w14:paraId="073E5823" w14:textId="77777777" w:rsidR="002363FE" w:rsidRDefault="00CC0653">
      <w:pPr>
        <w:spacing w:line="480" w:lineRule="auto"/>
        <w:ind w:left="720" w:hanging="360"/>
      </w:pPr>
      <w:r>
        <w:rPr>
          <w:rFonts w:eastAsia="Times New Roman" w:cs="Times New Roman"/>
        </w:rPr>
        <w:t xml:space="preserve">3.</w:t>
      </w:r>
      <w:r>
        <w:rPr>
          <w:rFonts w:eastAsia="Times New Roman" w:cs="Times New Roman"/>
        </w:rPr>
        <w:tab/>
      </w:r>
      <w:r>
        <w:rPr>
          <w:rFonts w:eastAsia="Times New Roman" w:cs="Times New Roman"/>
        </w:rPr>
        <w:t xml:space="preserve">examine whether foreign exchange accessibility is associated with financial performance indirectly, through its association with subsequent investment decisions;</w:t>
      </w:r>
    </w:p>
    <w:p w14:paraId="7DC7E039" w14:textId="77777777" w:rsidR="002363FE" w:rsidRDefault="00CC0653">
      <w:pPr>
        <w:spacing w:line="480" w:lineRule="auto"/>
        <w:ind w:left="720" w:hanging="360"/>
      </w:pPr>
      <w:r>
        <w:rPr>
          <w:rFonts w:eastAsia="Times New Roman" w:cs="Times New Roman"/>
        </w:rPr>
        <w:t>4.</w:t>
        <w:tab/>
        <w:t>determine whether financial risk moderates the relationships between foreign exchange accessibility, liquidity conditions, exchange rate volatility and financial performance; and</w:t>
      </w:r>
    </w:p>
    <w:p w14:paraId="77F1DCAB" w14:textId="77777777" w:rsidR="002363FE" w:rsidRDefault="00CC0653">
      <w:pPr>
        <w:spacing w:line="480" w:lineRule="auto"/>
        <w:ind w:left="720" w:hanging="360"/>
      </w:pPr>
      <w:r>
        <w:rPr>
          <w:rFonts w:eastAsia="Times New Roman" w:cs="Times New Roman"/>
        </w:rPr>
        <w:t xml:space="preserve">5.</w:t>
      </w:r>
      <w:r>
        <w:rPr>
          <w:rFonts w:eastAsia="Times New Roman" w:cs="Times New Roman"/>
        </w:rPr>
        <w:tab/>
      </w:r>
      <w:r>
        <w:rPr>
          <w:rFonts w:eastAsia="Times New Roman" w:cs="Times New Roman"/>
        </w:rPr>
        <w:t xml:space="preserve">analyse how the financial performance of the firms responds over subsequent quarters to shocks in foreign exchange accessibility, liquidity conditions and exchange rate volatility.</w:t>
      </w:r>
    </w:p>
    <w:p w14:paraId="14AB96F7" w14:textId="77777777" w:rsidR="002363FE" w:rsidRDefault="00CC0653">
      <w:pPr>
        <w:spacing w:after="240" w:line="480" w:lineRule="auto"/>
      </w:pPr>
      <w:r>
        <w:rPr>
          <w:rFonts w:eastAsia="Times New Roman" w:cs="Times New Roman"/>
        </w:rPr>
        <w:t>Policy and managerial recommendations are not treated as an empirical objective; they are an output of the study and are presented in Chapter Five on the basis of the findings under the five objectives.</w:t>
      </w:r>
    </w:p>
    <w:p w14:paraId="15CB4B8A" w14:textId="77777777" w:rsidR="00E550E8" w:rsidRDefault="00E550E8" w:rsidP="00F204DA">
      <w:pPr>
        <w:pStyle w:val="Heading2"/>
      </w:pPr>
      <w:bookmarkStart w:id="7" w:name="_TocRev007"/>
      <w:r>
        <w:t>1.4 Main Research Question</w:t>
      </w:r>
      <w:bookmarkEnd w:id="7"/>
    </w:p>
    <w:p w14:paraId="331D9D63" w14:textId="77777777" w:rsidR="00E550E8" w:rsidRDefault="00E550E8" w:rsidP="00E550E8">
      <w:pPr>
        <w:spacing w:after="240" w:line="480" w:lineRule="auto"/>
      </w:pPr>
      <w:r>
        <w:rPr>
          <w:rFonts w:eastAsia="Times New Roman" w:cs="Times New Roman"/>
        </w:rPr>
        <w:t>How do foreign exchange accessibility, liquidity conditions and exchange rate volatility affect the financial performance of BIDECs, OMCs and LPGMCs in Ghana, directly, through investment decisions, and conditionally on financial risk, and how do these relationships evolve over time?</w:t>
      </w:r>
    </w:p>
    <w:p w14:paraId="122BB7E8" w14:textId="77777777" w:rsidR="00E550E8" w:rsidRDefault="00E550E8" w:rsidP="00B07880">
      <w:pPr>
        <w:pStyle w:val="Heading3"/>
      </w:pPr>
      <w:bookmarkStart w:id="8" w:name="_TocRev008"/>
      <w:r>
        <w:lastRenderedPageBreak/>
        <w:t>1.4.1 Specific Research Questions</w:t>
      </w:r>
      <w:bookmarkEnd w:id="8"/>
    </w:p>
    <w:p w14:paraId="323B0A10" w14:textId="77777777" w:rsidR="002363FE" w:rsidRDefault="00CC0653">
      <w:pPr>
        <w:spacing w:line="480" w:lineRule="auto"/>
        <w:ind w:left="720" w:hanging="360"/>
      </w:pPr>
      <w:r>
        <w:rPr>
          <w:rFonts w:eastAsia="Times New Roman" w:cs="Times New Roman"/>
        </w:rPr>
        <w:t>1.</w:t>
        <w:tab/>
        <w:t>What are the effects of foreign exchange accessibility, liquidity conditions and exchange rate volatility on the financial performance of Ghana's downstream petroleum marketing firms?</w:t>
      </w:r>
    </w:p>
    <w:p w14:paraId="1DFDC5EE" w14:textId="77777777" w:rsidR="002363FE" w:rsidRDefault="00CC0653">
      <w:pPr>
        <w:spacing w:line="480" w:lineRule="auto"/>
        <w:ind w:left="720" w:hanging="360"/>
      </w:pPr>
      <w:r>
        <w:rPr>
          <w:rFonts w:eastAsia="Times New Roman" w:cs="Times New Roman"/>
        </w:rPr>
        <w:t>2.</w:t>
        <w:tab/>
        <w:t>Do the effects of foreign exchange accessibility, liquidity conditions and exchange rate volatility on financial performance differ across BIDECs, OMCs and LPGMCs?</w:t>
      </w:r>
    </w:p>
    <w:p w14:paraId="2B9F0531" w14:textId="77777777" w:rsidR="002363FE" w:rsidRDefault="00CC0653">
      <w:pPr>
        <w:spacing w:line="480" w:lineRule="auto"/>
        <w:ind w:left="720" w:hanging="360"/>
      </w:pPr>
      <w:r>
        <w:rPr>
          <w:rFonts w:eastAsia="Times New Roman" w:cs="Times New Roman"/>
        </w:rPr>
        <w:t xml:space="preserve">3.</w:t>
      </w:r>
      <w:r>
        <w:rPr>
          <w:rFonts w:eastAsia="Times New Roman" w:cs="Times New Roman"/>
        </w:rPr>
        <w:tab/>
      </w:r>
      <w:r>
        <w:rPr>
          <w:rFonts w:eastAsia="Times New Roman" w:cs="Times New Roman"/>
        </w:rPr>
        <w:t xml:space="preserve">Is foreign exchange accessibility associated with financial performance indirectly, through subsequent investment decisions?</w:t>
      </w:r>
    </w:p>
    <w:p w14:paraId="0E96F874" w14:textId="77777777" w:rsidR="002363FE" w:rsidRDefault="00CC0653">
      <w:pPr>
        <w:spacing w:line="480" w:lineRule="auto"/>
        <w:ind w:left="720" w:hanging="360"/>
      </w:pPr>
      <w:r>
        <w:rPr>
          <w:rFonts w:eastAsia="Times New Roman" w:cs="Times New Roman"/>
        </w:rPr>
        <w:t>4.</w:t>
        <w:tab/>
        <w:t>Does financial risk moderate the relationships between foreign exchange accessibility, liquidity conditions, exchange rate volatility and financial performance?</w:t>
      </w:r>
    </w:p>
    <w:p w14:paraId="50C630D6" w14:textId="77777777" w:rsidR="002363FE" w:rsidRDefault="00CC0653">
      <w:pPr>
        <w:spacing w:line="480" w:lineRule="auto"/>
        <w:ind w:left="720" w:hanging="360"/>
      </w:pPr>
      <w:r>
        <w:rPr>
          <w:rFonts w:eastAsia="Times New Roman" w:cs="Times New Roman"/>
        </w:rPr>
        <w:t xml:space="preserve">5.</w:t>
      </w:r>
      <w:r>
        <w:rPr>
          <w:rFonts w:eastAsia="Times New Roman" w:cs="Times New Roman"/>
        </w:rPr>
        <w:tab/>
      </w:r>
      <w:r>
        <w:rPr>
          <w:rFonts w:eastAsia="Times New Roman" w:cs="Times New Roman"/>
        </w:rPr>
        <w:t xml:space="preserve">How does financial performance respond over subsequent quarters to shocks in foreign exchange accessibility, liquidity conditions and exchange rate volatility?</w:t>
      </w:r>
    </w:p>
    <w:p w14:paraId="5E4C7282" w14:textId="77777777" w:rsidR="00DD66E9" w:rsidRDefault="002F21A0" w:rsidP="00F204DA">
      <w:pPr>
        <w:pStyle w:val="Heading2"/>
      </w:pPr>
      <w:bookmarkStart w:id="9" w:name="_TocRev009"/>
      <w:r>
        <w:t>1.5 Research Hypotheses</w:t>
      </w:r>
      <w:bookmarkEnd w:id="9"/>
    </w:p>
    <w:p w14:paraId="35D1CD3A" w14:textId="77777777" w:rsidR="002363FE" w:rsidRDefault="00CC0653">
      <w:pPr>
        <w:spacing w:after="240" w:line="480" w:lineRule="auto"/>
      </w:pPr>
      <w:r>
        <w:rPr>
          <w:rFonts w:eastAsia="Times New Roman" w:cs="Times New Roman"/>
        </w:rPr>
        <w:t xml:space="preserve">The following hypotheses, stated in alternative form, are tested. Their theoretical and empirical derivation is presented in Section 2.6, and Table 3.8 (Section 3.13) maps each hypothesis to its objective, research question, variables, model, coefficient of interest, decision rule and diagnostics. The three firm-category hypotheses are stated separately because each is tested with a different set of coefficients.</w:t>
      </w:r>
    </w:p>
    <w:p>
      <w:pPr>
        <w:spacing w:line="480" w:lineRule="auto"/>
        <w:ind w:left="720" w:hanging="360"/>
        <w:jc w:val="both"/>
      </w:pPr>
      <w:r>
        <w:rPr>
          <w:rFonts w:eastAsia="Times New Roman" w:cs="Times New Roman"/>
          <w:b/>
          <w:bCs/>
        </w:rPr>
        <w:t xml:space="preserve">H1:</w:t>
      </w:r>
      <w:r>
        <w:rPr>
          <w:rFonts w:eastAsia="Times New Roman" w:cs="Times New Roman"/>
        </w:rPr>
        <w:t xml:space="preserve"> Foreign exchange accessibility has a positive effect on the financial performance of downstream petroleum marketing firms in Ghana.</w:t>
      </w:r>
    </w:p>
    <w:p>
      <w:pPr>
        <w:spacing w:line="480" w:lineRule="auto"/>
        <w:ind w:left="720" w:hanging="360"/>
        <w:jc w:val="both"/>
      </w:pPr>
      <w:r>
        <w:rPr>
          <w:rFonts w:eastAsia="Times New Roman" w:cs="Times New Roman"/>
          <w:b/>
          <w:bCs/>
        </w:rPr>
        <w:t xml:space="preserve">H2:</w:t>
      </w:r>
      <w:r>
        <w:rPr>
          <w:rFonts w:eastAsia="Times New Roman" w:cs="Times New Roman"/>
        </w:rPr>
        <w:t xml:space="preserve"> Liquidity has an inverted-U relationship with financial performance: the effect of liquidity is positive at low levels and negative at high levels, with a turning point inside the observed range of liquidity.</w:t>
      </w:r>
    </w:p>
    <w:p>
      <w:pPr>
        <w:spacing w:line="480" w:lineRule="auto"/>
        <w:ind w:left="720" w:hanging="360"/>
        <w:jc w:val="both"/>
      </w:pPr>
      <w:r>
        <w:rPr>
          <w:rFonts w:eastAsia="Times New Roman" w:cs="Times New Roman"/>
          <w:b/>
          <w:bCs/>
        </w:rPr>
        <w:t xml:space="preserve">H3:</w:t>
      </w:r>
      <w:r>
        <w:rPr>
          <w:rFonts w:eastAsia="Times New Roman" w:cs="Times New Roman"/>
        </w:rPr>
        <w:t xml:space="preserve"> Exchange rate volatility reduces financial performance more for firms with greater predetermined foreign exchange exposure.</w:t>
      </w:r>
    </w:p>
    <w:p>
      <w:pPr>
        <w:spacing w:line="480" w:lineRule="auto"/>
        <w:ind w:left="720" w:hanging="360"/>
        <w:jc w:val="both"/>
      </w:pPr>
      <w:r>
        <w:rPr>
          <w:rFonts w:eastAsia="Times New Roman" w:cs="Times New Roman"/>
          <w:b/>
          <w:bCs/>
        </w:rPr>
        <w:t xml:space="preserve">H1a:</w:t>
      </w:r>
      <w:r>
        <w:rPr>
          <w:rFonts w:eastAsia="Times New Roman" w:cs="Times New Roman"/>
        </w:rPr>
        <w:t xml:space="preserve"> The effect of foreign exchange accessibility on financial performance differs across BIDECs, OMCs and LPGMCs.</w:t>
      </w:r>
    </w:p>
    <w:p>
      <w:pPr>
        <w:spacing w:line="480" w:lineRule="auto"/>
        <w:ind w:left="720" w:hanging="360"/>
        <w:jc w:val="both"/>
      </w:pPr>
      <w:r>
        <w:rPr>
          <w:rFonts w:eastAsia="Times New Roman" w:cs="Times New Roman"/>
          <w:b/>
          <w:bCs/>
        </w:rPr>
        <w:t xml:space="preserve">H2a:</w:t>
      </w:r>
      <w:r>
        <w:rPr>
          <w:rFonts w:eastAsia="Times New Roman" w:cs="Times New Roman"/>
        </w:rPr>
        <w:t xml:space="preserve"> The shape of the liquidity–performance relationship (its linear and squared terms jointly) differs across BIDECs, OMCs and LPGMCs.</w:t>
      </w:r>
    </w:p>
    <w:p>
      <w:pPr>
        <w:spacing w:line="480" w:lineRule="auto"/>
        <w:ind w:left="720" w:hanging="360"/>
        <w:jc w:val="both"/>
      </w:pPr>
      <w:r>
        <w:rPr>
          <w:rFonts w:eastAsia="Times New Roman" w:cs="Times New Roman"/>
          <w:b/>
          <w:bCs/>
        </w:rPr>
        <w:t xml:space="preserve">H3a:</w:t>
      </w:r>
      <w:r>
        <w:rPr>
          <w:rFonts w:eastAsia="Times New Roman" w:cs="Times New Roman"/>
        </w:rPr>
        <w:t xml:space="preserve"> The exposure-conditioned effect of exchange rate volatility on financial performance differs across BIDECs, OMCs and LPGMCs.</w:t>
      </w:r>
    </w:p>
    <w:p>
      <w:pPr>
        <w:spacing w:line="480" w:lineRule="auto"/>
        <w:ind w:left="720" w:hanging="360"/>
        <w:jc w:val="both"/>
      </w:pPr>
      <w:r>
        <w:rPr>
          <w:rFonts w:eastAsia="Times New Roman" w:cs="Times New Roman"/>
          <w:b/>
          <w:bCs/>
        </w:rPr>
        <w:t xml:space="preserve">H4:</w:t>
      </w:r>
      <w:r>
        <w:rPr>
          <w:rFonts w:eastAsia="Times New Roman" w:cs="Times New Roman"/>
        </w:rPr>
        <w:t xml:space="preserve"> Foreign exchange accessibility in quarter t is associated with higher investment (capital expenditure intensity) in quarter t+1, which is in turn associated with higher financial performance in quarter t+2, so that the indirect association of foreign exchange accessibility with performance through investment is positive.</w:t>
      </w:r>
    </w:p>
    <w:p>
      <w:pPr>
        <w:spacing w:line="480" w:lineRule="auto"/>
        <w:ind w:left="720" w:hanging="360"/>
        <w:jc w:val="both"/>
      </w:pPr>
      <w:r>
        <w:rPr>
          <w:rFonts w:eastAsia="Times New Roman" w:cs="Times New Roman"/>
          <w:b/>
          <w:bCs/>
        </w:rPr>
        <w:t xml:space="preserve">H5a:</w:t>
      </w:r>
      <w:r>
        <w:rPr>
          <w:rFonts w:eastAsia="Times New Roman" w:cs="Times New Roman"/>
        </w:rPr>
        <w:t xml:space="preserve"> Financial risk weakens the positive effect of foreign exchange accessibility on financial performance.</w:t>
      </w:r>
    </w:p>
    <w:p>
      <w:pPr>
        <w:spacing w:line="480" w:lineRule="auto"/>
        <w:ind w:left="720" w:hanging="360"/>
        <w:jc w:val="both"/>
      </w:pPr>
      <w:r>
        <w:rPr>
          <w:rFonts w:eastAsia="Times New Roman" w:cs="Times New Roman"/>
          <w:b/>
          <w:bCs/>
        </w:rPr>
        <w:t xml:space="preserve">H5b:</w:t>
      </w:r>
      <w:r>
        <w:rPr>
          <w:rFonts w:eastAsia="Times New Roman" w:cs="Times New Roman"/>
        </w:rPr>
        <w:t xml:space="preserve"> Financial risk weakens the performance benefit of liquidity.</w:t>
      </w:r>
    </w:p>
    <w:p>
      <w:pPr>
        <w:spacing w:line="480" w:lineRule="auto"/>
        <w:ind w:left="720" w:hanging="360"/>
        <w:jc w:val="both"/>
      </w:pPr>
      <w:r>
        <w:rPr>
          <w:rFonts w:eastAsia="Times New Roman" w:cs="Times New Roman"/>
          <w:b/>
          <w:bCs/>
        </w:rPr>
        <w:t xml:space="preserve">H5c:</w:t>
      </w:r>
      <w:r>
        <w:rPr>
          <w:rFonts w:eastAsia="Times New Roman" w:cs="Times New Roman"/>
        </w:rPr>
        <w:t xml:space="preserve"> Financial risk strengthens the negative effect of exchange rate volatility on financial performance.</w:t>
      </w:r>
    </w:p>
    <w:p>
      <w:pPr>
        <w:spacing w:line="480" w:lineRule="auto"/>
        <w:ind w:left="720" w:hanging="360"/>
        <w:jc w:val="both"/>
      </w:pPr>
      <w:r>
        <w:rPr>
          <w:rFonts w:eastAsia="Times New Roman" w:cs="Times New Roman"/>
          <w:b/>
          <w:bCs/>
        </w:rPr>
        <w:t xml:space="preserve">H6:</w:t>
      </w:r>
      <w:r>
        <w:rPr>
          <w:rFonts w:eastAsia="Times New Roman" w:cs="Times New Roman"/>
        </w:rPr>
        <w:t xml:space="preserve"> Shocks to foreign exchange accessibility and liquidity produce statistically significant responses in financial performance within one to eight subsequent quarters.</w:t>
      </w:r>
    </w:p>
    <w:p>
      <w:pPr>
        <w:spacing w:after="240" w:line="480" w:lineRule="auto"/>
        <w:jc w:val="both"/>
      </w:pPr>
      <w:r>
        <w:rPr>
          <w:rFonts w:eastAsia="Times New Roman" w:cs="Times New Roman"/>
        </w:rPr>
        <w:t xml:space="preserve">Hypothesis H6 belongs to the supporting dynamic analysis and is tested only if the data meet the conditions for the Panel VAR model set out in Section 3.9.4; the conclusions on H1 to H5c do not depend on it.</w:t>
      </w:r>
    </w:p>
    <w:p w14:paraId="120881F9" w14:textId="77777777" w:rsidR="002F21A0" w:rsidRDefault="00DD66E9" w:rsidP="00F204DA">
      <w:pPr>
        <w:pStyle w:val="Heading2"/>
      </w:pPr>
      <w:bookmarkStart w:id="10" w:name="_TocRev010"/>
      <w:r>
        <w:lastRenderedPageBreak/>
        <w:t>1.6 Significance of the Study</w:t>
      </w:r>
      <w:bookmarkEnd w:id="10"/>
    </w:p>
    <w:p w14:paraId="6B6EECC5" w14:textId="77777777" w:rsidR="002F21A0" w:rsidRDefault="002F21A0" w:rsidP="00607B9F">
      <w:pPr>
        <w:spacing w:line="480" w:lineRule="auto"/>
      </w:pPr>
      <w:r>
        <w:t>This study makes meaningful contributions across three interconnected dimensions — academic scholarship, regulatory policy, and corporate financial management — each of which addresses a specific deficit identified in the preceding problem statement.</w:t>
      </w:r>
    </w:p>
    <w:p w14:paraId="197E2E11" w14:textId="77777777" w:rsidR="002F21A0" w:rsidRDefault="002F21A0" w:rsidP="00607B9F">
      <w:pPr>
        <w:spacing w:line="480" w:lineRule="auto"/>
      </w:pPr>
      <w:r>
        <w:rPr>
          <w:rFonts w:eastAsia="Times New Roman" w:cs="Times New Roman"/>
          <w:b/>
          <w:bCs/>
        </w:rPr>
        <w:t>Academic Contribution.</w:t>
      </w:r>
      <w:r>
        <w:rPr>
          <w:rFonts w:eastAsia="Times New Roman" w:cs="Times New Roman"/>
        </w:rPr>
        <w:t xml:space="preserve"> The study contributes to the finance literature by examining, within one coherent framework, the direct, investment-mediated and risk-conditioned effects of foreign exchange accessibility, liquidity and exchange rate volatility on the financial performance of downstream petroleum marketing firms in Ghana. It models the non-linear liquidity–profitability relationship explicitly, treats exchange rate volatility correctly as a common macroeconomic shock whose firm-level impact depends on exposure, and establishes temporal ordering in the mediation analysis. To the best of the researcher's knowledge, no identified Ghana-specific study has combined these elements, and the reviewed literature provides limited evidence on them for BIDECs, OMCs and LPGMCs. The study also illustrates a transparent identification strategy for dynamic panel research in data-constrained Sub-Saharan African settings.</w:t>
      </w:r>
    </w:p>
    <w:p w14:paraId="18B9F641" w14:textId="77777777" w:rsidR="002F21A0" w:rsidRDefault="002F21A0" w:rsidP="00607B9F">
      <w:pPr>
        <w:spacing w:line="480" w:lineRule="auto"/>
      </w:pPr>
      <w:r>
        <w:rPr>
          <w:rFonts w:eastAsia="Times New Roman" w:cs="Times New Roman"/>
          <w:b/>
          <w:bCs/>
        </w:rPr>
        <w:t>Regulatory and Policy Contribution.</w:t>
      </w:r>
      <w:r>
        <w:rPr>
          <w:rFonts w:eastAsia="Times New Roman" w:cs="Times New Roman"/>
        </w:rPr>
        <w:t xml:space="preserve"> The study provides the Bank of Ghana and the National Petroleum Authority with firm-level evidence, estimated under an identification strategy designed to mitigate endogeneity and reverse causality, for designing forex allocation frameworks, petroleum price adjustment mechanisms and liquidity support instruments calibrated to the different vulnerabilities of BIDECs, OMCs and LPGMCs. Where the data support them, the Panel VAR impulse responses and ARIMAX scenario projections indicate how long the performance effects of forex rationing, cedi depreciation and liquidity stress persist, giving regulators forward-looking information for contingency planning and crisis preparedness.</w:t>
      </w:r>
    </w:p>
    <w:p w14:paraId="3128D84E" w14:textId="77777777" w:rsidR="002F21A0" w:rsidRDefault="002F21A0" w:rsidP="00607B9F">
      <w:pPr>
        <w:spacing w:line="480" w:lineRule="auto"/>
      </w:pPr>
      <w:r>
        <w:rPr>
          <w:rFonts w:eastAsia="Times New Roman" w:cs="Times New Roman"/>
          <w:b/>
          <w:bCs/>
        </w:rPr>
        <w:lastRenderedPageBreak/>
        <w:t>Corporate Financial Management Contribution.</w:t>
      </w:r>
      <w:r>
        <w:rPr>
          <w:rFonts w:eastAsia="Times New Roman" w:cs="Times New Roman"/>
        </w:rPr>
        <w:t xml:space="preserve"> At the firm level, the investment-channel findings indicate whether the performance benefits of improved forex access operate directly or through investment behaviour, a distinction that shapes how managers should allocate incremental forex resources between working capital and capital expenditure. The estimated optimal liquidity level indicates when holding additional liquidity stops improving profitability, and the moderation findings identify the levels of financial risk beyond which improved forex and liquidity conditions fail to translate into better performance. These insights are particularly valuable for smaller OMCs and LPGMCs that lack the analytical resources to make these distinctions independently.</w:t>
      </w:r>
    </w:p>
    <w:p w14:paraId="06FF0720" w14:textId="77777777" w:rsidR="002F21A0" w:rsidRDefault="002F21A0" w:rsidP="00F204DA">
      <w:pPr>
        <w:pStyle w:val="Heading2"/>
      </w:pPr>
      <w:bookmarkStart w:id="11" w:name="_TocRev011"/>
      <w:r>
        <w:t xml:space="preserve">1.7 Definition of Terms </w:t>
      </w:r>
      <w:bookmarkEnd w:id="11"/>
    </w:p>
    <w:p w14:paraId="00C1017D" w14:textId="77777777" w:rsidR="00DD0065" w:rsidRDefault="00DD0065" w:rsidP="00607B9F">
      <w:pPr>
        <w:spacing w:line="480" w:lineRule="auto"/>
      </w:pPr>
      <w:r>
        <w:rPr>
          <w:rFonts w:eastAsia="Times New Roman" w:cs="Times New Roman"/>
        </w:rPr>
        <w:t xml:space="preserve">Foreign Exchange Accessibility refers to the ease, speed, completeness and cost with which a firm obtains foreign currency, specifically United States dollars, through formal banking channels to settle its petroleum import obligations. It is measured by up to five firm-level indicators: the delay between a foreign exchange request and its allocation, the share of requests rejected or left unfunded, the ratio of foreign exchange allocated to foreign exchange requested, the premium paid over the Bank of Ghana interbank rate, and the share of import payments funded through formal bank purchases (Beck et al., 2006; Section 3.8.2).</w:t>
      </w:r>
    </w:p>
    <w:p w14:paraId="0762C7FE" w14:textId="77777777" w:rsidR="00DD0065" w:rsidRDefault="00DD0065" w:rsidP="00607B9F">
      <w:pPr>
        <w:spacing w:line="480" w:lineRule="auto"/>
      </w:pPr>
      <w:r>
        <w:t>Liquidity refers to the capacity of a firm to meet its short-term financial obligations as they fall due without incurring unacceptable losses or operational disruptions. It is measured through the current ratio, quick ratio, cash conversion cycle, and cash balance, and reflects the degree to which a firm's current assets are sufficient to cover its current liabilities within the normal operating cycle (Diamond &amp; Dybvig, 1983; Deloof, 2003; Baños-Caballero et al., 2014).</w:t>
      </w:r>
    </w:p>
    <w:p w14:paraId="739F1BDC" w14:textId="77777777" w:rsidR="00DD0065" w:rsidRDefault="00DD0065" w:rsidP="00607B9F">
      <w:pPr>
        <w:spacing w:line="480" w:lineRule="auto"/>
      </w:pPr>
      <w:r>
        <w:rPr>
          <w:rFonts w:eastAsia="Times New Roman" w:cs="Times New Roman"/>
        </w:rPr>
        <w:t xml:space="preserve">Exchange Rate Volatility refers to the degree of variability and unpredictability of the GHS/USD exchange rate over time. In this study, exchange rate volatility (EXRV</w:t>
      </w:r>
      <w:r>
        <w:rPr>
          <w:rFonts w:eastAsia="Times New Roman" w:cs="Times New Roman"/>
          <w:vertAlign w:val="subscript"/>
        </w:rPr>
        <w:t xml:space="preserve">t</w:t>
      </w:r>
      <w:r>
        <w:rPr>
          <w:rFonts w:eastAsia="Times New Roman" w:cs="Times New Roman"/>
        </w:rPr>
        <w:t xml:space="preserve">) is the quarterly average of the daily conditional variance of GHS/USD returns estimated with a GARCH(1,1) or EGARCH(1,1) model on daily Bank of Ghana interbank rates. Because it is estimated from a single national exchange rate series, it is an aggregate shock common to all firms in a quarter, and its effect on performance is identified only through its interaction with each firm's predetermined foreign exchange exposure (Engle, 1982; Bollerslev, 1986; Nelson, 1991; Adler &amp; Dumas, 1984).</w:t>
      </w:r>
    </w:p>
    <w:p>
      <w:pPr>
        <w:spacing w:after="240" w:line="480" w:lineRule="auto"/>
        <w:jc w:val="both"/>
      </w:pPr>
      <w:r>
        <w:rPr>
          <w:rFonts w:eastAsia="Times New Roman" w:cs="Times New Roman"/>
        </w:rPr>
        <w:t xml:space="preserve">Foreign Exchange Exposure (FXE</w:t>
      </w:r>
      <w:r>
        <w:rPr>
          <w:rFonts w:eastAsia="Times New Roman" w:cs="Times New Roman"/>
          <w:vertAlign w:val="subscript"/>
        </w:rPr>
        <w:t xml:space="preserve">i</w:t>
      </w:r>
      <w:r>
        <w:rPr>
          <w:rFonts w:eastAsia="Times New Roman" w:cs="Times New Roman"/>
        </w:rPr>
        <w:t xml:space="preserve">) refers to the sensitivity of a firm's cash flows to movements in the GHS/USD exchange rate arising from its balance sheet and purchases. It is measured as the firm's net USD-denominated monetary liabilities divided by total assets, taken from the currency-risk disclosure that IFRS 7 requires in audited financial statements, in the firm's first available financial year; the share of purchases invoiced in USD is used as an alternative measure (Adler &amp; Dumas, 1984; Jorion, 1990).</w:t>
      </w:r>
    </w:p>
    <w:p w14:paraId="39FCC24B" w14:textId="77777777" w:rsidR="00DD0065" w:rsidRDefault="00DD0065" w:rsidP="00607B9F">
      <w:pPr>
        <w:spacing w:line="480" w:lineRule="auto"/>
      </w:pPr>
      <w:r>
        <w:rPr>
          <w:rFonts w:eastAsia="Times New Roman" w:cs="Times New Roman"/>
        </w:rPr>
        <w:t>Investment Decisions refer to the deliberate choices made by firm management regarding the allocation of financial capital to productive long-term assets, including bulk storage infrastructure, transportation equipment, retail outlet development, safety systems and information technology (Fazzari et al., 1988; Dixit &amp; Pindyck, 1994). In this study, investment decisions are measured primarily by capital expenditure intensity (capital expenditure divided by total assets), which serves as the mediator. The number of retail outlets added or upgraded is used only as a robustness measure where reliable quarterly data exist.</w:t>
      </w:r>
    </w:p>
    <w:p w14:paraId="30B680C1" w14:textId="77777777" w:rsidR="00DD0065" w:rsidRDefault="00DD0065" w:rsidP="00607B9F">
      <w:pPr>
        <w:spacing w:line="480" w:lineRule="auto"/>
      </w:pPr>
      <w:r>
        <w:rPr>
          <w:rFonts w:eastAsia="Times New Roman" w:cs="Times New Roman"/>
        </w:rPr>
        <w:t xml:space="preserve">Financial Risk refers to the exposure of a firm to losses and to the risk of being unable to meet its obligations because of the way it is financed (Stulz, 1990; Altman, 1968). It is measured by a composite of three indicators, each oriented so that a higher value means greater risk: book leverage (total debt to total assets), debt maturity (short-term to total interest-bearing debt) and cash-flow volatility (the standard deviation of operating cash flow to total assets over the previous eight quarters). Indicators built from current profit, such as the interest coverage ratio, are excluded from the core index so that the moderator is not mechanically related to the outcome (Section 3.8.3).</w:t>
      </w:r>
    </w:p>
    <w:p w14:paraId="647626DB" w14:textId="77777777" w:rsidR="00DD0065" w:rsidRDefault="00DD0065" w:rsidP="00607B9F">
      <w:pPr>
        <w:spacing w:line="480" w:lineRule="auto"/>
      </w:pPr>
      <w:r>
        <w:t xml:space="preserve">Financial Performance refers to the overall effectiveness with which a firm generates profit from its asset base and equity capital relative to the financial resources deployed in its operations </w:t>
        <w:lastRenderedPageBreak/>
        <w:t>(Demsetz &amp; Villalonga, 2001; Barney, 1991). In this study, financial performance is operationalised through two complementary accounting-based profitability indicators: Return on Assets (ROA), defined as net income divided by total assets, which measures operational efficiency independent of financing structure; and Return on Equity (ROE), defined as net income divided by total shareholders' equity, which measures the return generated specifically for equity providers and reflects the magnifying effect of financial leverage on operational performance outcomes.</w:t>
      </w:r>
    </w:p>
    <w:p w14:paraId="23BD88FC" w14:textId="77777777" w:rsidR="00DD0065" w:rsidRDefault="00DD0065" w:rsidP="00607B9F">
      <w:pPr>
        <w:spacing w:line="480" w:lineRule="auto"/>
      </w:pPr>
      <w:r>
        <w:t>BIDECs (Bulk Import, Distribution and Export Companies) are NPA-licensed entities that occupy the apex of Ghana's downstream petroleum supply chain, responsible for the bulk importation of refined petroleum products — including gasoline, gasoil, residual fuel oil, and aviation kerosene — through USD-denominated letters of credit, and their wholesale distribution to OMCs and other downstream customers (NPA, 2022).</w:t>
      </w:r>
    </w:p>
    <w:p w14:paraId="393CF4D4" w14:textId="77777777" w:rsidR="00DD0065" w:rsidRDefault="00DD0065" w:rsidP="00607B9F">
      <w:pPr>
        <w:spacing w:line="480" w:lineRule="auto"/>
      </w:pPr>
      <w:r>
        <w:t>OMCs (Oil Marketing Companies) are NPA-licensed entities that operate at the intermediate and retail tier of Ghana's downstream petroleum marketing sector, purchasing refined products from BIDECs and marketing them through retail service station networks, commercial bulk supply arrangements, and export operations to landlocked neighbouring countries (NPA, 2022).</w:t>
      </w:r>
    </w:p>
    <w:p w14:paraId="72893537" w14:textId="77777777" w:rsidR="00DD0065" w:rsidRDefault="00DD0065" w:rsidP="00607B9F">
      <w:pPr>
        <w:spacing w:line="480" w:lineRule="auto"/>
      </w:pPr>
      <w:r>
        <w:t>LPGMCs (Liquefied Petroleum Gas Marketing Companies) are NPA-licensed entities specialising in the importation, bulk storage, bottling, and retail distribution of liquefied petroleum gas for household, commercial, and industrial energy consumption in Ghana, operating under structurally thin profit margins that render them particularly sensitive to import cost escalation arising from exchange rate depreciation and forex scarcity (NPA, 2022).</w:t>
      </w:r>
    </w:p>
    <w:p w14:paraId="14CB74C5" w14:textId="77777777" w:rsidR="00DD0065" w:rsidRDefault="00DD0065" w:rsidP="00607B9F">
      <w:pPr>
        <w:spacing w:line="480" w:lineRule="auto"/>
      </w:pPr>
      <w:r>
        <w:rPr>
          <w:rFonts w:eastAsia="Times New Roman" w:cs="Times New Roman"/>
        </w:rPr>
        <w:t xml:space="preserve">Empirical Framework refers to the sequenced econometric architecture of the study. Its core consists of a dynamic panel model of the direct effects, firm-category comparisons, a lagged model of the investment channel and a moderation model, preceded by GARCH/EGARCH estimation of exchange rate volatility as a measurement step. Panel Vector Autoregression (Panel VAR), ARIMAX and Monte Carlo analyses are supporting analyses that are reported only when the data meet pre-specified conditions (Section 3.9.4) (Baltagi, 2021; Wooldridge, 2019; Love &amp; Zicchino, 2006; Hayes, 2018).</w:t>
      </w:r>
    </w:p>
    <w:p w14:paraId="5C4B71B9" w14:textId="77777777" w:rsidR="00DD0065" w:rsidRDefault="00DD0065" w:rsidP="00607B9F">
      <w:pPr>
        <w:spacing w:line="480" w:lineRule="auto"/>
      </w:pPr>
      <w:r>
        <w:rPr>
          <w:rFonts w:eastAsia="Times New Roman" w:cs="Times New Roman"/>
        </w:rPr>
        <w:t>Monte Carlo Simulation refers to a computational procedure in which many synthetic datasets are generated from a known data-generating process in order to assess the finite-sample behaviour of an estimator, including its bias, root mean squared error and confidence-interval coverage (Hendry, 1995; Davidson &amp; MacKinnon, 2004). In this study it is a supporting methodological exercise used to assess how the System GMM and mediation estimators perform under panel dimensions resembling the Ghanaian data; it does not, by itself, validate the substantive model.</w:t>
      </w:r>
    </w:p>
    <w:p w14:paraId="55569CF9" w14:textId="77777777" w:rsidR="00DD0065" w:rsidRDefault="00DD0065" w:rsidP="00607B9F">
      <w:pPr>
        <w:spacing w:line="480" w:lineRule="auto"/>
      </w:pPr>
      <w:r>
        <w:rPr>
          <w:rFonts w:eastAsia="Times New Roman" w:cs="Times New Roman"/>
        </w:rPr>
        <w:t xml:space="preserve">Mediation refers to the process through which an independent variable affects a dependent variable indirectly, via an intervening variable called the mediator, so that the total effect can be decomposed into a direct and an indirect component (Baron &amp; Kenny, 1986; Hayes, 2018; Preacher &amp; Hayes, 2008). A causal reading of an indirect effect requires assumptions about confounding that observational data cannot guarantee (Imai et al., 2010); in this study, the estimated indirect effect is therefore described as an indirect association through investment unless the conditions in Section 3.10.5 are met.</w:t>
      </w:r>
    </w:p>
    <w:p w14:paraId="76D0E355" w14:textId="77777777" w:rsidR="002F21A0" w:rsidRDefault="00DD0065" w:rsidP="00607B9F">
      <w:pPr>
        <w:spacing w:line="480" w:lineRule="auto"/>
      </w:pPr>
      <w:r>
        <w:t>Moderation refers to the statistical phenomenon whereby the strength, direction, or significance of the relationship between an independent variable and a dependent variable varies systematically as a function of a third variable — the moderator — such that the independent variable's effect on the dependent variable is conditional upon the level of the moderating variable (Aiken &amp; West, 1991; Hayes, 2018).</w:t>
      </w:r>
    </w:p>
    <w:p w14:paraId="46AE1CC7" w14:textId="77777777" w:rsidR="00DD0065" w:rsidRDefault="00DD0065" w:rsidP="00F204DA">
      <w:pPr>
        <w:pStyle w:val="Heading2"/>
      </w:pPr>
      <w:bookmarkStart w:id="12" w:name="_TocRev012"/>
      <w:r>
        <w:lastRenderedPageBreak/>
        <w:t>1.8 Organisation of the Study</w:t>
      </w:r>
      <w:bookmarkEnd w:id="12"/>
    </w:p>
    <w:p w14:paraId="2092E386" w14:textId="77777777" w:rsidR="00DD0065" w:rsidRDefault="00DD0065" w:rsidP="00607B9F">
      <w:pPr>
        <w:spacing w:line="480" w:lineRule="auto"/>
      </w:pPr>
      <w:r>
        <w:rPr>
          <w:rFonts w:eastAsia="Times New Roman" w:cs="Times New Roman"/>
        </w:rPr>
        <w:t>This study is structured into five chapters. Chapter One introduces the study by presenting the background, problem statement, research objectives, research questions, hypotheses, significance, definition of terms and organisation of the study. Chapter Two reviews the related literature, beginning with a conceptual review of the key variables and the conceptual framework, followed by the theoretical review, the empirical review, the methodological literature, the research gaps and the development of hypotheses. Chapter Three presents the research methodology, including the research philosophy and design, target population and sampling, data sources, variable measurement, the identification strategy, and the specification of the GARCH/EGARCH, dynamic panel, mediation, moderation, Panel VAR and ARIMAX models. Chapter Four presents and discusses the empirical findings for each specific objective, drawing on firm-level evidence for BIDECs, OMCs and LPGMCs over 2015:Q1–2024:Q4. Chapter Five summarises the key findings, draws conclusions and presents policy and managerial recommendations for regulators, policymakers and firm management in Ghana's downstream petroleum marketing sector.</w:t>
      </w:r>
    </w:p>
    <w:p w14:paraId="3E2F4E5E" w14:textId="77777777" w:rsidR="002363FE" w:rsidRDefault="00CC0653">
      <w:r>
        <w:br w:type="page"/>
      </w:r>
    </w:p>
    <w:p w14:paraId="37DE38F3" w14:textId="77777777" w:rsidR="00DD0065" w:rsidRPr="00DD0065" w:rsidRDefault="00DD0065" w:rsidP="00607B9F">
      <w:pPr>
        <w:pStyle w:val="Heading1"/>
        <w:spacing w:line="480" w:lineRule="auto"/>
      </w:pPr>
      <w:bookmarkStart w:id="13" w:name="_TocRev013"/>
      <w:r>
        <w:lastRenderedPageBreak/>
        <w:t xml:space="preserve">CHAPTER TWO </w:t>
      </w:r>
      <w:bookmarkEnd w:id="13"/>
    </w:p>
    <w:p w14:paraId="633BA315" w14:textId="77777777" w:rsidR="00DD0065" w:rsidDel="00DD66E9" w:rsidRDefault="00DD0065" w:rsidP="00607B9F">
      <w:pPr>
        <w:pStyle w:val="Heading1"/>
        <w:spacing w:line="480" w:lineRule="auto"/>
      </w:pPr>
      <w:bookmarkStart w:id="14" w:name="_TocRev014"/>
      <w:r>
        <w:t>LITERATURE REVIEW</w:t>
      </w:r>
      <w:bookmarkEnd w:id="14"/>
    </w:p>
    <w:p w14:paraId="01EC508C" w14:textId="77777777" w:rsidR="002363FE" w:rsidRDefault="00CC0653">
      <w:pPr>
        <w:pStyle w:val="Heading2"/>
      </w:pPr>
      <w:bookmarkStart w:id="15" w:name="_TocRev015"/>
      <w:r>
        <w:t>Introduction</w:t>
      </w:r>
      <w:bookmarkEnd w:id="15"/>
    </w:p>
    <w:p w14:paraId="61DABE42" w14:textId="77777777" w:rsidR="00D60ADD" w:rsidRDefault="00D60ADD" w:rsidP="00607B9F">
      <w:pPr>
        <w:spacing w:line="480" w:lineRule="auto"/>
      </w:pPr>
      <w:r>
        <w:rPr>
          <w:rFonts w:eastAsia="Times New Roman" w:cs="Times New Roman"/>
        </w:rPr>
        <w:t>This chapter reviews the literature that forms the intellectual foundation of the study. It begins with a conceptual review of the key variables, discussing each with its sub-variables in the order of independent variables (foreign exchange accessibility, liquidity conditions and exchange rate volatility), the mediating variable (investment decisions), the dependent variable (financial performance) and the moderating variable (financial risk), and concludes that section with the conceptual framework. The chapter then presents the theoretical review, organised as a hierarchy of a primary theory, a supporting theory, a mechanism theory and a boundary-condition theory. The empirical review follows, covering forex accessibility, liquidity, exchange rate volatility, investment as a mediating mechanism and financial risk as a moderating variable, the evidence from Ghana and comparable Sub-Saharan African petroleum sectors, and an evidence matrix that compares the studies systematically. The chapter closes with the methodological literature, the research gaps, the development of hypotheses and a summary.</w:t>
      </w:r>
    </w:p>
    <w:p w14:paraId="1FC1DB0C" w14:textId="77777777" w:rsidR="00D60ADD" w:rsidRDefault="00D60ADD" w:rsidP="00607B9F">
      <w:pPr>
        <w:spacing w:line="480" w:lineRule="auto"/>
      </w:pPr>
      <w:r>
        <w:t xml:space="preserve">The review draws deliberately on both classical foundational scholarship and current literature published between 2018 and 2025, reflecting the sustained theoretical relevance of foundational contributions alongside the evolving empirical evidence from emerging markets, Sub-Saharan African economies, and the petroleum sector specifically. This dual temporal horizon is methodologically necessary: the foundational theories that underpin the study's hypotheses were established across several decades of scholarship and cannot be meaningfully replaced by recent empirical work; at the same time, the current empirical literature provides essential evidence on </w:t>
        <w:lastRenderedPageBreak/>
        <w:t>the financial dynamics of developing-economy petroleum sectors under the macroeconomic conditions of the 2015–2024 period that are directly relevant to this study's research context.</w:t>
      </w:r>
    </w:p>
    <w:p w14:paraId="6AFD2982" w14:textId="77777777" w:rsidR="002363FE" w:rsidRDefault="00CC0653">
      <w:pPr>
        <w:pStyle w:val="Heading2"/>
      </w:pPr>
      <w:bookmarkStart w:id="16" w:name="_TocRev016"/>
      <w:r>
        <w:t>2.1 Conceptual Review</w:t>
      </w:r>
      <w:bookmarkEnd w:id="16"/>
    </w:p>
    <w:p w14:paraId="0D2E4B61" w14:textId="77777777" w:rsidR="002363FE" w:rsidRDefault="00CC0653">
      <w:pPr>
        <w:spacing w:after="240" w:line="480" w:lineRule="auto"/>
      </w:pPr>
      <w:r>
        <w:rPr>
          <w:rFonts w:eastAsia="Times New Roman" w:cs="Times New Roman"/>
        </w:rPr>
        <w:t>This section explains and discusses each key variable together with its sub-variables, compares and contrasts how the literature defines and measures it, and synthesises the implications for the present study. Following the logic of the study, the independent variables are discussed first, followed by the mediating, dependent and moderating variables.</w:t>
      </w:r>
    </w:p>
    <w:p w14:paraId="440E7220" w14:textId="77777777" w:rsidR="002363FE" w:rsidRDefault="00CC0653">
      <w:pPr>
        <w:pStyle w:val="Heading3"/>
      </w:pPr>
      <w:bookmarkStart w:id="17" w:name="_TocRev017"/>
      <w:r>
        <w:t>2.1.1 Foreign Exchange Accessibility (Independent Variable)</w:t>
      </w:r>
      <w:bookmarkEnd w:id="17"/>
    </w:p>
    <w:p w14:paraId="793CFDB4" w14:textId="77777777" w:rsidR="002363FE" w:rsidRDefault="00CC0653">
      <w:pPr>
        <w:spacing w:after="240" w:line="480" w:lineRule="auto"/>
      </w:pPr>
      <w:r>
        <w:rPr>
          <w:rFonts w:eastAsia="Times New Roman" w:cs="Times New Roman"/>
        </w:rPr>
        <w:t xml:space="preserve">Foreign exchange accessibility is the ease, speed and completeness with which a firm obtains foreign currency through formal channels to settle its international obligations (Beck et al., 2006; Bank of Ghana, 2023). For petroleum marketing firms, whose products are priced in United States dollars but sold in cedis, it is the gateway through which every import transaction must pass. The construct is commonly decomposed into three sub-variables. The first is the </w:t>
      </w:r>
      <w:r>
        <w:rPr>
          <w:rFonts w:eastAsia="Times New Roman" w:cs="Times New Roman"/>
          <w:b/>
          <w:bCs/>
        </w:rPr>
        <w:t>volume</w:t>
      </w:r>
      <w:r>
        <w:rPr>
          <w:rFonts w:eastAsia="Times New Roman" w:cs="Times New Roman"/>
        </w:rPr>
        <w:t xml:space="preserve"> of foreign exchange obtained relative to requirements, which captures allocation adequacy (Beck et al., 2006). The second is </w:t>
      </w:r>
      <w:r>
        <w:rPr>
          <w:rFonts w:eastAsia="Times New Roman" w:cs="Times New Roman"/>
          <w:b/>
          <w:bCs/>
        </w:rPr>
        <w:t>allocation delay</w:t>
      </w:r>
      <w:r>
        <w:rPr>
          <w:rFonts w:eastAsia="Times New Roman" w:cs="Times New Roman"/>
        </w:rPr>
        <w:t xml:space="preserve">, the time between application and receipt of foreign currency, which captures timeliness and the associated demurrage, supply disruption and working-capital costs (NPA, 2022). The third is the </w:t>
      </w:r>
      <w:r>
        <w:rPr>
          <w:rFonts w:eastAsia="Times New Roman" w:cs="Times New Roman"/>
          <w:b/>
          <w:bCs/>
        </w:rPr>
        <w:t>proportion of imports financed through formal banking channels</w:t>
      </w:r>
      <w:r>
        <w:rPr>
          <w:rFonts w:eastAsia="Times New Roman" w:cs="Times New Roman"/>
        </w:rPr>
        <w:t>, which captures the extent to which a firm avoids the premium of the parallel market (Bank of Ghana, 2023).</w:t>
      </w:r>
    </w:p>
    <w:p w14:paraId="33DDD88E" w14:textId="77777777" w:rsidR="002363FE" w:rsidRDefault="00CC0653">
      <w:pPr>
        <w:spacing w:after="240" w:line="480" w:lineRule="auto"/>
      </w:pPr>
      <w:r>
        <w:rPr>
          <w:rFonts w:eastAsia="Times New Roman" w:cs="Times New Roman"/>
        </w:rPr>
        <w:t xml:space="preserve">The literature differs in how these dimensions are measured. Cross-country studies treat foreign exchange access as part of broader financing constraints and measure it through survey-based </w:t>
        <w:lastRenderedPageBreak/>
        <w:t>obstacle scores or indicators of financial development (Beck et al., 2006; Love, 2003). Trade studies examine how currency risk affects firms with different degrees of financial vulnerability: Héricourt and Poncet (2015), using more than 100,000 Chinese exporters over 2000–2006, show that exchange rate volatility reduces exports and that the effect is stronger for financially vulnerable firms. Direct firm-level measures of forex allocation, such as the volume obtained, the delay and the share financed formally, are rarely available in published studies of Sub-Saharan African petroleum firms; the Ghanaian sector study reviewed uses the exchange rate level instead (Najimu &amp; Mahama, 2022). Survey measures capture perceived severity but are subjective, single administrative indicators are objective but capture only one dimension, and composite indices raise questions about the direction and weighting of their components, since a larger volume and a higher formal-financing share indicate better access whereas a longer delay indicates worse access.</w:t>
      </w:r>
    </w:p>
    <w:p w14:paraId="60C9844B" w14:textId="77777777" w:rsidR="002363FE" w:rsidRDefault="00CC0653">
      <w:pPr>
        <w:spacing w:after="240" w:line="480" w:lineRule="auto"/>
      </w:pPr>
      <w:r>
        <w:rPr>
          <w:rFonts w:eastAsia="Times New Roman" w:cs="Times New Roman"/>
        </w:rPr>
        <w:t xml:space="preserve">The synthesis for this study is that foreign exchange accessibility is multidimensional and should be measured with objective firm-level indicators whose direction is made explicit. The study therefore constructs a composite index from up to five firm-quarter indicators (allocation delay, the share of requests rejected or left unfunded, the ratio of foreign exchange allocated to foreign exchange requested, the premium paid over the interbank rate, and the share of import payments funded through formal bank purchases), after orienting each so that a higher value means better access, and also estimates each indicator separately as a robustness check. Because the firm-level availability of these indicators is uncertain, it is established in a pilot data audit before the index is fixed, and a pre-specified fallback measure is used if they are not available (Sections 3.7.6 and 3.8.2).</w:t>
      </w:r>
    </w:p>
    <w:p w14:paraId="2DE520BE" w14:textId="77777777" w:rsidR="002363FE" w:rsidRDefault="00CC0653">
      <w:pPr>
        <w:pStyle w:val="Heading3"/>
      </w:pPr>
      <w:bookmarkStart w:id="18" w:name="_TocRev018"/>
      <w:r>
        <w:t>2.1.2 Liquidity Conditions (Independent Variable)</w:t>
      </w:r>
      <w:bookmarkEnd w:id="18"/>
    </w:p>
    <w:p w14:paraId="4A25D74A" w14:textId="77777777" w:rsidR="002363FE" w:rsidRDefault="00CC0653">
      <w:pPr>
        <w:spacing w:after="240" w:line="480" w:lineRule="auto"/>
      </w:pPr>
      <w:r>
        <w:rPr>
          <w:rFonts w:eastAsia="Times New Roman" w:cs="Times New Roman"/>
        </w:rPr>
        <w:t xml:space="preserve">Liquidity is the capacity of a firm to meet its short-term obligations as they fall due without incurring unacceptable losses or operational disruption (Keynes, 1936; Diamond &amp; Dybvig, 1983). The literature distinguishes between </w:t>
      </w:r>
      <w:r>
        <w:rPr>
          <w:rFonts w:eastAsia="Times New Roman" w:cs="Times New Roman"/>
          <w:b/>
          <w:bCs/>
        </w:rPr>
        <w:t>static, balance-sheet measures</w:t>
      </w:r>
      <w:r>
        <w:rPr>
          <w:rFonts w:eastAsia="Times New Roman" w:cs="Times New Roman"/>
        </w:rPr>
        <w:t xml:space="preserve"> and </w:t>
      </w:r>
      <w:r>
        <w:rPr>
          <w:rFonts w:eastAsia="Times New Roman" w:cs="Times New Roman"/>
          <w:b/>
          <w:bCs/>
        </w:rPr>
        <w:t>dynamic, flow measures</w:t>
      </w:r>
      <w:r>
        <w:rPr>
          <w:rFonts w:eastAsia="Times New Roman" w:cs="Times New Roman"/>
        </w:rPr>
        <w:t xml:space="preserve">. The static measures are the current ratio (current assets to current liabilities) and the quick ratio, which excludes inventory and therefore measures the more immediately realisable </w:t>
        <w:lastRenderedPageBreak/>
        <w:t>resources of a firm. The dynamic measure is the cash conversion cycle, the number of days between paying suppliers and collecting cash from customers, which combines inventory days, receivable days and payable days into a single indicator of how efficiently working capital is managed (Gitman, 1974; Shin &amp; Soenen, 1998; Deloof, 2003).</w:t>
      </w:r>
    </w:p>
    <w:p w14:paraId="28C1098D" w14:textId="77777777" w:rsidR="002363FE" w:rsidRDefault="00CC0653">
      <w:pPr>
        <w:spacing w:after="240" w:line="480" w:lineRule="auto"/>
      </w:pPr>
      <w:r>
        <w:rPr>
          <w:rFonts w:eastAsia="Times New Roman" w:cs="Times New Roman"/>
        </w:rPr>
        <w:t xml:space="preserve">The two families of measures do not always move together, and the evidence reflects this. Static ratios capture the stock of liquidity available to absorb shocks, but a high current ratio may indicate idle resources rather than strength, which is why Smith (1980) frames liquidity as a trade-off against profitability. Studies using the cash conversion cycle in developed markets generally report a negative relationship with profitability (Shin &amp; Soenen, 1998; Deloof, 2003). Evidence from Ghana is mixed: Akoto et al. (2013), studying all 13 listed manufacturing firms over 2005–2009, find receivable days negatively related to profitability but the cash conversion cycle and current asset ratio positively related to it, whereas Li et al. (2020), studying 15 listed non-financial firms over 2008–2017, find that the current ratio has a significant negative effect on ROE. Baños-Caballero et al. (2014) help reconcile such findings by showing an inverted-U relationship: liquidity improves profitability up to an optimal level beyond which further liquidity becomes costly.</w:t>
      </w:r>
    </w:p>
    <w:p w14:paraId="10982DA2" w14:textId="77777777" w:rsidR="002363FE" w:rsidRDefault="00CC0653">
      <w:pPr>
        <w:spacing w:after="240" w:line="480" w:lineRule="auto"/>
      </w:pPr>
      <w:r>
        <w:rPr>
          <w:rFonts w:eastAsia="Times New Roman" w:cs="Times New Roman"/>
        </w:rPr>
        <w:t>For petroleum marketing firms, which combine 30- to 90-day import credit with government receivables that may exceed 120 days, both dimensions are relevant. The study therefore measures liquidity primarily through the current ratio, includes its squared term to test the hypothesised inverted-U relationship, and uses the cash conversion cycle and quick ratio as alternative liquidity measures. This treatment aligns the measurement of liquidity with the non-linear theoretical argument rather than assuming a uniformly positive effect.</w:t>
      </w:r>
    </w:p>
    <w:p w14:paraId="391B574D" w14:textId="77777777" w:rsidR="002363FE" w:rsidRDefault="00CC0653">
      <w:pPr>
        <w:pStyle w:val="Heading3"/>
      </w:pPr>
      <w:bookmarkStart w:id="19" w:name="_TocRev019"/>
      <w:r>
        <w:lastRenderedPageBreak/>
        <w:t>2.1.3 Exchange Rate Volatility (Independent Variable)</w:t>
      </w:r>
      <w:bookmarkEnd w:id="19"/>
    </w:p>
    <w:p w14:paraId="68F0E855" w14:textId="77777777" w:rsidR="002363FE" w:rsidRDefault="00CC0653">
      <w:pPr>
        <w:spacing w:after="240" w:line="480" w:lineRule="auto"/>
      </w:pPr>
      <w:r>
        <w:rPr>
          <w:rFonts w:eastAsia="Times New Roman" w:cs="Times New Roman"/>
        </w:rPr>
        <w:t xml:space="preserve">Exchange rate volatility refers to the variability and unpredictability of the exchange rate over time; it is distinct from the level or direction of the exchange rate, which is captured by depreciation (Adler &amp; Dumas, 1984; Krugman &amp; Obstfeld, 2022). The literature identifies several measures. The simplest are the </w:t>
      </w:r>
      <w:r>
        <w:rPr>
          <w:rFonts w:eastAsia="Times New Roman" w:cs="Times New Roman"/>
          <w:b/>
          <w:bCs/>
        </w:rPr>
        <w:t>rate of depreciation</w:t>
      </w:r>
      <w:r>
        <w:rPr>
          <w:rFonts w:eastAsia="Times New Roman" w:cs="Times New Roman"/>
        </w:rPr>
        <w:t xml:space="preserve"> and the </w:t>
      </w:r>
      <w:r>
        <w:rPr>
          <w:rFonts w:eastAsia="Times New Roman" w:cs="Times New Roman"/>
          <w:b/>
          <w:bCs/>
        </w:rPr>
        <w:t>rolling standard deviation</w:t>
      </w:r>
      <w:r>
        <w:rPr>
          <w:rFonts w:eastAsia="Times New Roman" w:cs="Times New Roman"/>
        </w:rPr>
        <w:t xml:space="preserve"> of exchange rate changes. More refined measures are model-based: the </w:t>
      </w:r>
      <w:r>
        <w:rPr>
          <w:rFonts w:eastAsia="Times New Roman" w:cs="Times New Roman"/>
          <w:b/>
          <w:bCs/>
        </w:rPr>
        <w:t>conditional variance from GARCH-type models</w:t>
      </w:r>
      <w:r>
        <w:rPr>
          <w:rFonts w:eastAsia="Times New Roman" w:cs="Times New Roman"/>
        </w:rPr>
        <w:t xml:space="preserve"> (Engle, 1982; Bollerslev, 1986) and its asymmetric extension, </w:t>
      </w:r>
      <w:r>
        <w:rPr>
          <w:rFonts w:eastAsia="Times New Roman" w:cs="Times New Roman"/>
          <w:b/>
          <w:bCs/>
        </w:rPr>
        <w:t>EGARCH</w:t>
      </w:r>
      <w:r>
        <w:rPr>
          <w:rFonts w:eastAsia="Times New Roman" w:cs="Times New Roman"/>
        </w:rPr>
        <w:t xml:space="preserve"> (Nelson, 1991), which allows depreciation and appreciation shocks to affect volatility differently. A related but distinct concept is </w:t>
      </w:r>
      <w:r>
        <w:rPr>
          <w:rFonts w:eastAsia="Times New Roman" w:cs="Times New Roman"/>
          <w:b/>
          <w:bCs/>
        </w:rPr>
        <w:t>exchange rate exposure</w:t>
      </w:r>
      <w:r>
        <w:rPr>
          <w:rFonts w:eastAsia="Times New Roman" w:cs="Times New Roman"/>
        </w:rPr>
        <w:t>, the sensitivity of a firm's cash flows or value to exchange rate movements (Adler &amp; Dumas, 1984; Jorion, 1990; Bodnar et al., 1995).</w:t>
      </w:r>
    </w:p>
    <w:p w14:paraId="7D0DEA07" w14:textId="77777777" w:rsidR="002363FE" w:rsidRDefault="00CC0653">
      <w:pPr>
        <w:spacing w:after="240" w:line="480" w:lineRule="auto"/>
      </w:pPr>
      <w:r>
        <w:rPr>
          <w:rFonts w:eastAsia="Times New Roman" w:cs="Times New Roman"/>
        </w:rPr>
        <w:t>These measures carry different meanings. Depreciation captures the level effect on import costs, whereas volatility captures uncertainty; studies that use the exchange rate level or its changes, such as Abdul-Mumuni (2016) and Najimu and Mahama (2022), therefore cannot separate the two. Rolling standard deviations are backward-looking and give equal weight to distant and recent observations, while GARCH-type conditional variances capture volatility clustering and are better suited to measuring the uncertainty facing decision makers (Pagan &amp; Schwert, 1990). A further point, often overlooked in the applied literature, is that a GARCH variance estimated from a single national exchange rate series is common to all firms in a given period: it is a macroeconomic shock, not a firm characteristic. The firm-level impact of that shock depends on exposure, which differs with the share of imports and foreign-currency liabilities of each firm (Jorion, 1990; Bartram et al., 2010).</w:t>
      </w:r>
    </w:p>
    <w:p w14:paraId="19D816FD" w14:textId="77777777" w:rsidR="002363FE" w:rsidRDefault="00CC0653">
      <w:pPr>
        <w:spacing w:after="240" w:line="480" w:lineRule="auto"/>
      </w:pPr>
      <w:r>
        <w:rPr>
          <w:rFonts w:eastAsia="Times New Roman" w:cs="Times New Roman"/>
        </w:rPr>
        <w:t xml:space="preserve">The synthesis for this study is therefore twofold. Exchange rate volatility is measured as the quarterly average of the GARCH or EGARCH conditional variance of daily GHS/USD returns and written as EXRV</w:t>
      </w:r>
      <w:r>
        <w:rPr>
          <w:rFonts w:eastAsia="Times New Roman" w:cs="Times New Roman"/>
          <w:vertAlign w:val="subscript"/>
        </w:rPr>
        <w:t xml:space="preserve">t</w:t>
      </w:r>
      <w:r>
        <w:rPr>
          <w:rFonts w:eastAsia="Times New Roman" w:cs="Times New Roman"/>
        </w:rPr>
        <w:t xml:space="preserve"> (time-varying but common to all firms). Because EXRV</w:t>
      </w:r>
      <w:r>
        <w:rPr>
          <w:rFonts w:eastAsia="Times New Roman" w:cs="Times New Roman"/>
          <w:vertAlign w:val="subscript"/>
        </w:rPr>
        <w:t xml:space="preserve">t</w:t>
      </w:r>
      <w:r>
        <w:rPr>
          <w:rFonts w:eastAsia="Times New Roman" w:cs="Times New Roman"/>
        </w:rPr>
        <w:t xml:space="preserve"> takes the same value for every firm in a quarter, its separate effect cannot be distinguished from other macroeconomic shocks occurring in the same quarter once common time effects are controlled. The study therefore identifies the volatility effect from the interaction EXRV</w:t>
      </w:r>
      <w:r>
        <w:rPr>
          <w:rFonts w:eastAsia="Times New Roman" w:cs="Times New Roman"/>
          <w:vertAlign w:val="subscript"/>
        </w:rPr>
        <w:t xml:space="preserve">t</w:t>
      </w:r>
      <w:r>
        <w:rPr>
          <w:rFonts w:eastAsia="Times New Roman" w:cs="Times New Roman"/>
        </w:rPr>
        <w:t xml:space="preserve"> × FXE</w:t>
      </w:r>
      <w:r>
        <w:rPr>
          <w:rFonts w:eastAsia="Times New Roman" w:cs="Times New Roman"/>
          <w:vertAlign w:val="subscript"/>
        </w:rPr>
        <w:t xml:space="preserve">i</w:t>
      </w:r>
      <w:r>
        <w:rPr>
          <w:rFonts w:eastAsia="Times New Roman" w:cs="Times New Roman"/>
        </w:rPr>
        <w:t xml:space="preserve">, where FXE</w:t>
      </w:r>
      <w:r>
        <w:rPr>
          <w:rFonts w:eastAsia="Times New Roman" w:cs="Times New Roman"/>
          <w:vertAlign w:val="subscript"/>
        </w:rPr>
        <w:t xml:space="preserve">i</w:t>
      </w:r>
      <w:r>
        <w:rPr>
          <w:rFonts w:eastAsia="Times New Roman" w:cs="Times New Roman"/>
        </w:rPr>
        <w:t xml:space="preserve"> is a predetermined firm-level measure of foreign exchange exposure: the question asked is whether the same volatility shock lowers performance more for more exposed firms (Section 3.8.5). The asymmetry identified by EGARCH concerns the volatility process itself; whether depreciation hurts performance more than appreciation is tested separately with signed depreciation and appreciation variables interacted with exposure (Section 3.8.5).</w:t>
      </w:r>
    </w:p>
    <w:p w14:paraId="11F6B8E9" w14:textId="77777777" w:rsidR="002363FE" w:rsidRDefault="00CC0653">
      <w:pPr>
        <w:pStyle w:val="Heading3"/>
      </w:pPr>
      <w:bookmarkStart w:id="20" w:name="_TocRev020"/>
      <w:r>
        <w:t>2.1.4 Investment Decisions (Mediating Variable)</w:t>
      </w:r>
      <w:bookmarkEnd w:id="20"/>
    </w:p>
    <w:p w14:paraId="412083AF" w14:textId="77777777" w:rsidR="002363FE" w:rsidRDefault="00CC0653">
      <w:pPr>
        <w:spacing w:after="240" w:line="480" w:lineRule="auto"/>
      </w:pPr>
      <w:r>
        <w:rPr>
          <w:rFonts w:eastAsia="Times New Roman" w:cs="Times New Roman"/>
        </w:rPr>
        <w:t xml:space="preserve">Investment decisions are the choices firms make about committing capital to long-lived productive assets (Fazzari et al., 1988; Dixit &amp; Pindyck, 1994). For downstream petroleum firms, the relevant sub-variables are </w:t>
      </w:r>
      <w:r>
        <w:rPr>
          <w:rFonts w:eastAsia="Times New Roman" w:cs="Times New Roman"/>
          <w:b/>
          <w:bCs/>
        </w:rPr>
        <w:t>capital expenditure</w:t>
      </w:r>
      <w:r>
        <w:rPr>
          <w:rFonts w:eastAsia="Times New Roman" w:cs="Times New Roman"/>
        </w:rPr>
        <w:t xml:space="preserve"> on storage depots, transport fleets, retail outlets, LPG bottling plants and safety systems; </w:t>
      </w:r>
      <w:r>
        <w:rPr>
          <w:rFonts w:eastAsia="Times New Roman" w:cs="Times New Roman"/>
          <w:b/>
          <w:bCs/>
        </w:rPr>
        <w:t>capital expenditure intensity</w:t>
      </w:r>
      <w:r>
        <w:rPr>
          <w:rFonts w:eastAsia="Times New Roman" w:cs="Times New Roman"/>
        </w:rPr>
        <w:t xml:space="preserve">, which scales capital expenditure by total assets to make firms of different size comparable; and </w:t>
      </w:r>
      <w:r>
        <w:rPr>
          <w:rFonts w:eastAsia="Times New Roman" w:cs="Times New Roman"/>
          <w:b/>
          <w:bCs/>
        </w:rPr>
        <w:t>physical expansion indicators</w:t>
      </w:r>
      <w:r>
        <w:rPr>
          <w:rFonts w:eastAsia="Times New Roman" w:cs="Times New Roman"/>
        </w:rPr>
        <w:t xml:space="preserve"> such as the number of retail outlets added or upgraded. Some studies also use the growth of fixed assets or the investment-to-capital ratio (Kaplan &amp; Zingales, 1997).</w:t>
      </w:r>
    </w:p>
    <w:p w14:paraId="17689D87" w14:textId="77777777" w:rsidR="002363FE" w:rsidRDefault="00CC0653">
      <w:pPr>
        <w:spacing w:after="240" w:line="480" w:lineRule="auto"/>
      </w:pPr>
      <w:r>
        <w:rPr>
          <w:rFonts w:eastAsia="Times New Roman" w:cs="Times New Roman"/>
        </w:rPr>
        <w:t xml:space="preserve">Financing-constraints studies measure investment through the investment-to-capital ratio and examine its sensitivity to cash flow (Fazzari et al., 1988; Kaplan &amp; Zingales, 1997), whereas real-options studies emphasise the timing of investment and the value of waiting under uncertainty (Dixit &amp; Pindyck, 1994). Accounting-based measures such as capital expenditure intensity are widely available and comparable across firms, while physical indicators such as outlet counts are closer to the operational reality of petroleum marketing but are not reported consistently and do not capture investment in storage or transport. Investment also takes time to affect performance: </w:t>
        <w:lastRenderedPageBreak/>
        <w:t>capital projects require several periods between the commitment of funds and the start of production (Kydland &amp; Prescott, 1982), and depots, storage tanks, bottling plants and retail outlets are typical multi-quarter projects.</w:t>
      </w:r>
    </w:p>
    <w:p w14:paraId="23700C6D" w14:textId="77777777" w:rsidR="002363FE" w:rsidRDefault="00CC0653">
      <w:pPr>
        <w:spacing w:after="240" w:line="480" w:lineRule="auto"/>
      </w:pPr>
      <w:r>
        <w:rPr>
          <w:rFonts w:eastAsia="Times New Roman" w:cs="Times New Roman"/>
        </w:rPr>
        <w:t>The study therefore uses capital expenditure divided by total assets as the primary measure of investment decisions and treats the number of outlets added or upgraded as a robustness measure where reliable quarterly data exist. Because investment responds to resources with a delay and affects performance with a further delay, the mediation analysis is specified with explicit temporal ordering rather than contemporaneous relationships.</w:t>
      </w:r>
    </w:p>
    <w:p w14:paraId="1C9976E9" w14:textId="77777777" w:rsidR="002363FE" w:rsidRDefault="00CC0653">
      <w:pPr>
        <w:pStyle w:val="Heading3"/>
      </w:pPr>
      <w:bookmarkStart w:id="21" w:name="_TocRev021"/>
      <w:r>
        <w:t>2.1.5 Financial Performance (Dependent Variable)</w:t>
      </w:r>
      <w:bookmarkEnd w:id="21"/>
    </w:p>
    <w:p w14:paraId="46737CCB" w14:textId="77777777" w:rsidR="002363FE" w:rsidRDefault="00CC0653">
      <w:pPr>
        <w:spacing w:after="240" w:line="480" w:lineRule="auto"/>
      </w:pPr>
      <w:r>
        <w:rPr>
          <w:rFonts w:eastAsia="Times New Roman" w:cs="Times New Roman"/>
        </w:rPr>
        <w:t xml:space="preserve">Financial performance refers to how effectively a firm generates returns from the resources it controls (Demsetz &amp; Villalonga, 2001; Barney, 1991). It is measured in two broad ways. </w:t>
      </w:r>
      <w:r>
        <w:rPr>
          <w:rFonts w:eastAsia="Times New Roman" w:cs="Times New Roman"/>
          <w:b/>
          <w:bCs/>
        </w:rPr>
        <w:t>Accounting-based measures</w:t>
      </w:r>
      <w:r>
        <w:rPr>
          <w:rFonts w:eastAsia="Times New Roman" w:cs="Times New Roman"/>
        </w:rPr>
        <w:t xml:space="preserve"> include return on assets (net income to total assets), return on equity (net income to shareholders' equity), net profit margin and EBITDA margin. </w:t>
      </w:r>
      <w:r>
        <w:rPr>
          <w:rFonts w:eastAsia="Times New Roman" w:cs="Times New Roman"/>
          <w:b/>
          <w:bCs/>
        </w:rPr>
        <w:t>Market-based measures</w:t>
      </w:r>
      <w:r>
        <w:rPr>
          <w:rFonts w:eastAsia="Times New Roman" w:cs="Times New Roman"/>
        </w:rPr>
        <w:t xml:space="preserve"> include Tobin's Q and stock returns, which reflect investors' expectations about future cash flows (Demsetz &amp; Villalonga, 2001; Allayannis &amp; Weston, 2001).</w:t>
      </w:r>
    </w:p>
    <w:p w14:paraId="578761C5" w14:textId="77777777" w:rsidR="002363FE" w:rsidRDefault="00CC0653">
      <w:pPr>
        <w:spacing w:after="240" w:line="480" w:lineRule="auto"/>
      </w:pPr>
      <w:r>
        <w:rPr>
          <w:rFonts w:eastAsia="Times New Roman" w:cs="Times New Roman"/>
        </w:rPr>
        <w:t xml:space="preserve">Market-based measures are forward-looking but are available only for listed firms; since most Ghanaian petroleum marketing firms are privately held, Ghanaian studies rely on accounting measures (Abor, 2005; Akoto et al., 2013; Li et al., 2020; Najimu &amp; Mahama, 2022). Among the accounting measures, ROA reflects operating efficiency independent of capital structure, while ROE reflects the return to shareholders and is magnified by leverage, which makes it sensitive to the financial risk variable examined in this study. Margin-based measures relate profit to revenue </w:t>
        <w:lastRenderedPageBreak/>
        <w:t>and are useful in a sector where regulated prices affect revenue, but they are sensitive to swings in product prices.</w:t>
      </w:r>
    </w:p>
    <w:p w14:paraId="7FBE9D3A" w14:textId="77777777" w:rsidR="002363FE" w:rsidRDefault="00CC0653">
      <w:pPr>
        <w:spacing w:after="240" w:line="480" w:lineRule="auto"/>
      </w:pPr>
      <w:r>
        <w:rPr>
          <w:rFonts w:eastAsia="Times New Roman" w:cs="Times New Roman"/>
        </w:rPr>
        <w:t>The study therefore uses ROA as the primary dependent variable, ROE as a secondary measure, and net profit margin and EBITDA margin as robustness measures. Using several measures ensures that conclusions do not depend on a single definition of performance.</w:t>
      </w:r>
    </w:p>
    <w:p w14:paraId="4EA2B208" w14:textId="77777777" w:rsidR="002363FE" w:rsidRDefault="00CC0653">
      <w:pPr>
        <w:pStyle w:val="Heading3"/>
      </w:pPr>
      <w:bookmarkStart w:id="22" w:name="_TocRev022"/>
      <w:r>
        <w:t>2.1.6 Financial Risk (Moderating Variable)</w:t>
      </w:r>
      <w:bookmarkEnd w:id="22"/>
    </w:p>
    <w:p w14:paraId="5294AF67" w14:textId="77777777" w:rsidR="002363FE" w:rsidRDefault="00CC0653">
      <w:pPr>
        <w:spacing w:after="240" w:line="480" w:lineRule="auto"/>
      </w:pPr>
      <w:r>
        <w:rPr>
          <w:rFonts w:eastAsia="Times New Roman" w:cs="Times New Roman"/>
        </w:rPr>
        <w:t xml:space="preserve">Financial risk is the risk that a firm will be unable to meet its financial obligations or will suffer losses because of the way it is financed (Altman, 1968; Stulz, 1990). Its sub-variables cover four dimensions: </w:t>
      </w:r>
      <w:r>
        <w:rPr>
          <w:rFonts w:eastAsia="Times New Roman" w:cs="Times New Roman"/>
          <w:b/>
          <w:bCs/>
        </w:rPr>
        <w:t>leverage</w:t>
      </w:r>
      <w:r>
        <w:rPr>
          <w:rFonts w:eastAsia="Times New Roman" w:cs="Times New Roman"/>
        </w:rPr>
        <w:t xml:space="preserve">, measured by the debt-to-equity ratio; </w:t>
      </w:r>
      <w:r>
        <w:rPr>
          <w:rFonts w:eastAsia="Times New Roman" w:cs="Times New Roman"/>
          <w:b/>
          <w:bCs/>
        </w:rPr>
        <w:t>debt-service capacity</w:t>
      </w:r>
      <w:r>
        <w:rPr>
          <w:rFonts w:eastAsia="Times New Roman" w:cs="Times New Roman"/>
        </w:rPr>
        <w:t xml:space="preserve">, measured by the interest coverage ratio (EBIT to interest expense); </w:t>
      </w:r>
      <w:r>
        <w:rPr>
          <w:rFonts w:eastAsia="Times New Roman" w:cs="Times New Roman"/>
          <w:b/>
          <w:bCs/>
        </w:rPr>
        <w:t>earnings variability</w:t>
      </w:r>
      <w:r>
        <w:rPr>
          <w:rFonts w:eastAsia="Times New Roman" w:cs="Times New Roman"/>
        </w:rPr>
        <w:t xml:space="preserve">, measured by the volatility of operating cash flow; and </w:t>
      </w:r>
      <w:r>
        <w:rPr>
          <w:rFonts w:eastAsia="Times New Roman" w:cs="Times New Roman"/>
          <w:b/>
          <w:bCs/>
        </w:rPr>
        <w:t>maturity structure</w:t>
      </w:r>
      <w:r>
        <w:rPr>
          <w:rFonts w:eastAsia="Times New Roman" w:cs="Times New Roman"/>
        </w:rPr>
        <w:t>, measured by the ratio of short-term to long-term liabilities, which captures refinancing risk (Myers, 1977; Nance et al., 1993; Damodaran, 2022).</w:t>
      </w:r>
    </w:p>
    <w:p w14:paraId="2D19DBBC" w14:textId="77777777" w:rsidR="002363FE" w:rsidRDefault="00CC0653">
      <w:pPr>
        <w:spacing w:after="240" w:line="480" w:lineRule="auto"/>
      </w:pPr>
      <w:r>
        <w:rPr>
          <w:rFonts w:eastAsia="Times New Roman" w:cs="Times New Roman"/>
        </w:rPr>
        <w:t>Studies differ in whether they measure financial risk through a single ratio or a composite. Capital-structure studies generally use leverage alone (Rajan &amp; Zingales, 1995; Fosu, 2013), while distress-prediction models such as Altman (1968) combine several ratios. The dimensions do not point in the same direction: a higher debt-to-equity ratio, higher cash-flow volatility and a higher share of short-term liabilities indicate greater risk, while a higher interest coverage ratio indicates lower risk. Some ratios also behave badly at the extremes, for example when equity is negative or when interest expense is zero.</w:t>
      </w:r>
    </w:p>
    <w:p w14:paraId="540F828E" w14:textId="77777777" w:rsidR="002363FE" w:rsidRDefault="00CC0653">
      <w:pPr>
        <w:spacing w:after="240" w:line="480" w:lineRule="auto"/>
      </w:pPr>
      <w:r>
        <w:rPr>
          <w:rFonts w:eastAsia="Times New Roman" w:cs="Times New Roman"/>
        </w:rPr>
        <w:t xml:space="preserve">The study therefore measures financial risk as a composite index constructed by principal component analysis from three indicators oriented so that a higher value means greater risk: book leverage (total debt to total assets), debt maturity (short-term to total interest-bearing debt) and cash-flow volatility measured over the previous eight quarters. Indicators built from current profit, such as the interest coverage ratio, or from the components of the outcome and key predictors, such as the debt-to-equity ratio (whose denominator is the denominator of ROE) and the ratio of short-term to long-term liabilities (which overlaps with the current ratio), are excluded from the core index so that the moderator is not mechanically related to performance or liquidity; they are used only in robustness checks (Section 3.8.3). Financial risk enters the analysis both as a direct determinant of performance and as a moderator of the effects of forex accessibility, liquidity and exchange rate volatility.</w:t>
      </w:r>
    </w:p>
    <w:p w14:paraId="72105175" w14:textId="77777777" w:rsidR="002363FE" w:rsidRDefault="00CC0653">
      <w:pPr>
        <w:pStyle w:val="Heading3"/>
      </w:pPr>
      <w:bookmarkStart w:id="23" w:name="_TocRev023"/>
      <w:r>
        <w:t>2.1.7 Conceptual Framework</w:t>
      </w:r>
      <w:bookmarkEnd w:id="23"/>
    </w:p>
    <w:p w14:paraId="7711E778" w14:textId="77777777" w:rsidR="00C67E05" w:rsidRPr="00C67E05" w:rsidRDefault="00C67E05" w:rsidP="00C67E05">
      <w:pPr>
        <w:spacing w:after="200" w:line="480" w:lineRule="auto"/>
        <w:rPr>
          <w:rFonts w:cs="Times New Roman"/>
          <w:color w:val="000000" w:themeColor="text1"/>
        </w:rPr>
      </w:pPr>
      <w:r>
        <w:rPr>
          <w:rFonts w:eastAsia="Calibri" w:cs="Times New Roman"/>
          <w:color w:val="000000" w:themeColor="text1"/>
        </w:rPr>
        <w:t>The conceptual framework of this study synthesises the theoretical and empirical streams reviewed in the preceding sections into an integrated framework that specifies the hypothesised relationships among the independent, mediating and moderating variables and firm financial performance, capturing direct effects, a mediated pathway, and a moderated boundary condition within a unified analytical structure.</w:t>
      </w:r>
    </w:p>
    <w:p w14:paraId="04E9CB14" w14:textId="77777777" w:rsidR="00C67E05" w:rsidRPr="00C67E05" w:rsidRDefault="00C67E05" w:rsidP="00C67E05">
      <w:pPr>
        <w:spacing w:after="200" w:line="480" w:lineRule="auto"/>
        <w:rPr>
          <w:rFonts w:cs="Times New Roman"/>
          <w:color w:val="000000" w:themeColor="text1"/>
        </w:rPr>
      </w:pPr>
      <w:r>
        <w:rPr>
          <w:rFonts w:eastAsia="Calibri" w:cs="Times New Roman"/>
          <w:color w:val="000000" w:themeColor="text1"/>
        </w:rPr>
        <w:t xml:space="preserve">At the core of the conceptual framework is the distinction between direct and indirect determinants of firm financial performance. Forex accessibility, liquidity conditions, and exchange rate volatility are theorised as direct determinants that affect performance through the import cost, working capital, and operating margin channels discussed in Sections 2.1.1 to 2.1.3. Investment decisions occupy a dual role in the framework: they function simultaneously as a direct determinant of long-run performance — through the productive capacity effects of capital accumulation — and as a mediating mechanism through which the effect of forex accessibility is partially transmitted to performance outcomes. This dual role reflects the theoretical prediction of the dynamic capabilities framework (Teece et al., 1997) that resource access translates into </w:t>
        <w:lastRenderedPageBreak/>
        <w:t>performance gains only insofar as firms possess the organisational capability to deploy those resources productively.</w:t>
      </w:r>
    </w:p>
    <w:p w14:paraId="182061B6" w14:textId="77777777" w:rsidR="00C67E05" w:rsidRPr="00C67E05" w:rsidRDefault="00C67E05" w:rsidP="00C67E05">
      <w:pPr>
        <w:spacing w:after="200" w:line="480" w:lineRule="auto"/>
        <w:rPr>
          <w:rFonts w:cs="Times New Roman"/>
          <w:color w:val="000000" w:themeColor="text1"/>
        </w:rPr>
      </w:pPr>
      <w:r>
        <w:rPr>
          <w:rFonts w:eastAsia="Calibri" w:cs="Times New Roman"/>
          <w:color w:val="000000" w:themeColor="text1"/>
        </w:rPr>
        <w:t>Financial risk occupies a boundary-condition role in the framework as a moderating variable that shapes the magnitude and direction of the relationships among the direct determinants and performance. Consistent with Myers's (1977) debt overhang prediction and Stulz's (1990) optimal hedging framework, high financial risk is theorised to attenuate the positive performance effects of improved forex accessibility and liquidity by diverting the incremental resources generated by improved financial conditions towards debt service rather than productive investment, and to amplify the negative performance effects of exchange rate volatility by eliminating the financial flexibility needed to buffer import cost shocks. The moderation effects are therefore predicted to be negative for all three interaction terms — FR × FA, FR × LV, and FR × EXRV — which is tested empirically through the interaction terms in the moderation specification.</w:t>
      </w:r>
    </w:p>
    <w:p w14:paraId="2D51335F" w14:textId="77777777" w:rsidR="002363FE" w:rsidRDefault="00CC0653">
      <w:pPr>
        <w:spacing w:after="240" w:line="480" w:lineRule="auto"/>
      </w:pPr>
      <w:r>
        <w:rPr>
          <w:rFonts w:eastAsia="Times New Roman" w:cs="Times New Roman"/>
        </w:rPr>
        <w:t xml:space="preserve">Timing is central to the framework. Because investment in petroleum infrastructure takes several quarters to be completed and to affect profitability (Kydland &amp; Prescott, 1982), the mediating path is specified with temporal ordering: forex accessibility in quarter t is expected to affect investment in quarters t+1 to t+2, which in turn is expected to affect performance in quarters t+2 to t+3. The dynamic feedback among the financial conditions and performance, and the persistence of their effects over time, are examined separately through Panel VAR and ARIMAX models. Figure 2.1 presents the conceptual framework.</w:t>
      </w:r>
    </w:p>
    <w:p w14:paraId="1F2C9C74" w14:textId="77777777" w:rsidR="002363FE" w:rsidRDefault="00CC0653">
      <w:pPr>
        <w:keepNext/>
        <w:spacing w:before="240" w:after="120"/>
        <w:jc w:val="left"/>
      </w:pPr>
      <w:r>
        <w:rPr>
          <w:rFonts w:eastAsia="Times New Roman" w:cs="Times New Roman"/>
          <w:b/>
          <w:bCs/>
        </w:rPr>
        <w:lastRenderedPageBreak/>
        <w:t>Figure 2.1: Conceptual Framework of the Study</w:t>
      </w:r>
    </w:p>
    <w:p w14:paraId="0D7AD8EC" w14:textId="77777777" w:rsidR="002363FE" w:rsidRDefault="00CC0653">
      <w:pPr>
        <w:keepNext/>
        <w:spacing w:after="60"/>
        <w:jc w:val="center"/>
      </w:pPr>
      <w:r>
        <w:rPr>
          <w:noProof/>
        </w:rPr>
        <w:drawing>
          <wp:inline distT="0" distB="0" distL="0" distR="0" wp14:anchorId="2FC41B50" wp14:editId="115896D8">
            <wp:extent cx="5760720" cy="3753577"/>
            <wp:effectExtent l="0" t="0" r="0" b="0"/>
            <wp:docPr id="501" name="Conceptual Framework"/>
            <wp:cNvGraphicFramePr/>
            <a:graphic xmlns:a="http://schemas.openxmlformats.org/drawingml/2006/main">
              <a:graphicData uri="http://schemas.openxmlformats.org/drawingml/2006/picture">
                <pic:pic xmlns:pic="http://schemas.openxmlformats.org/drawingml/2006/picture">
                  <pic:nvPicPr>
                    <pic:cNvPr id="501" name="cf.png"/>
                    <pic:cNvPicPr/>
                  </pic:nvPicPr>
                  <pic:blipFill>
                    <a:blip r:embed="rId10"/>
                    <a:stretch>
                      <a:fillRect/>
                    </a:stretch>
                  </pic:blipFill>
                  <pic:spPr>
                    <a:xfrm>
                      <a:off x="0" y="0"/>
                      <a:ext cx="5760720" cy="3753577"/>
                    </a:xfrm>
                    <a:prstGeom prst="rect">
                      <a:avLst/>
                    </a:prstGeom>
                  </pic:spPr>
                </pic:pic>
              </a:graphicData>
            </a:graphic>
          </wp:inline>
        </w:drawing>
      </w:r>
    </w:p>
    <w:p w14:paraId="3CE093DA" w14:textId="77777777" w:rsidR="002363FE" w:rsidRDefault="00CC0653">
      <w:pPr>
        <w:spacing w:before="60" w:after="240"/>
        <w:jc w:val="left"/>
      </w:pPr>
      <w:r>
        <w:rPr>
          <w:rFonts w:eastAsia="Times New Roman" w:cs="Times New Roman"/>
          <w:i/>
          <w:iCs/>
          <w:sz w:val="20"/>
          <w:szCs w:val="20"/>
        </w:rPr>
        <w:t>Source: Author's construct based on the reviewed literature (2026).</w:t>
      </w:r>
    </w:p>
    <w:p w14:paraId="0E94DBEE" w14:textId="77777777" w:rsidR="002363FE" w:rsidRDefault="00CC0653">
      <w:pPr>
        <w:pStyle w:val="Heading2"/>
      </w:pPr>
      <w:bookmarkStart w:id="24" w:name="_TocRev024"/>
      <w:r>
        <w:t>2.2 Theoretical Review</w:t>
      </w:r>
      <w:bookmarkEnd w:id="24"/>
    </w:p>
    <w:p w14:paraId="7FC5E2BE" w14:textId="77777777" w:rsidR="002363FE" w:rsidRDefault="00CC0653">
      <w:pPr>
        <w:spacing w:after="240" w:line="480" w:lineRule="auto"/>
      </w:pPr>
      <w:r>
        <w:rPr>
          <w:rFonts w:eastAsia="Times New Roman" w:cs="Times New Roman"/>
        </w:rPr>
        <w:t xml:space="preserve">The theoretical framework is organised as a hierarchy so that each theory has a defined role in explaining the conceptual framework rather than forming a catalogue of theories. </w:t>
      </w:r>
      <w:r>
        <w:rPr>
          <w:rFonts w:eastAsia="Times New Roman" w:cs="Times New Roman"/>
          <w:b/>
          <w:bCs/>
        </w:rPr>
        <w:t>Financing Constraints Theory</w:t>
      </w:r>
      <w:r>
        <w:rPr>
          <w:rFonts w:eastAsia="Times New Roman" w:cs="Times New Roman"/>
        </w:rPr>
        <w:t xml:space="preserve"> is the primary theory, explaining the effects of foreign exchange accessibility and liquidity on performance and of forex accessibility on investment. </w:t>
      </w:r>
      <w:r>
        <w:rPr>
          <w:rFonts w:eastAsia="Times New Roman" w:cs="Times New Roman"/>
          <w:b/>
          <w:bCs/>
        </w:rPr>
        <w:t>Exchange Rate Exposure Theory</w:t>
      </w:r>
      <w:r>
        <w:rPr>
          <w:rFonts w:eastAsia="Times New Roman" w:cs="Times New Roman"/>
        </w:rPr>
        <w:t xml:space="preserve"> is the supporting theory, explaining the effect of exchange rate uncertainty on performance. </w:t>
      </w:r>
      <w:r>
        <w:rPr>
          <w:rFonts w:eastAsia="Times New Roman" w:cs="Times New Roman"/>
          <w:b/>
          <w:bCs/>
        </w:rPr>
        <w:t>Dynamic Capabilities Theory</w:t>
      </w:r>
      <w:r>
        <w:rPr>
          <w:rFonts w:eastAsia="Times New Roman" w:cs="Times New Roman"/>
        </w:rPr>
        <w:t xml:space="preserve"> is the mechanism theory, explaining why firms with access to resources differ in their ability to transform them into productive investment. </w:t>
      </w:r>
      <w:r>
        <w:rPr>
          <w:rFonts w:eastAsia="Times New Roman" w:cs="Times New Roman"/>
          <w:b/>
          <w:bCs/>
        </w:rPr>
        <w:t>Capital Structure and Financial Risk Theory</w:t>
      </w:r>
      <w:r>
        <w:rPr>
          <w:rFonts w:eastAsia="Times New Roman" w:cs="Times New Roman"/>
        </w:rPr>
        <w:t xml:space="preserve"> is the boundary-condition theory, explaining why leverage and financial risk may weaken the benefits of improved financial conditions. The Resource-Based </w:t>
        <w:lastRenderedPageBreak/>
        <w:t>View and Real Options Theory are not used to generate hypotheses and are therefore mentioned only briefly in Section 2.2.5.</w:t>
      </w:r>
    </w:p>
    <w:p w14:paraId="65989672" w14:textId="77777777" w:rsidR="002363FE" w:rsidRDefault="00CC0653">
      <w:pPr>
        <w:pStyle w:val="Heading3"/>
      </w:pPr>
      <w:bookmarkStart w:id="25" w:name="_TocRev025"/>
      <w:r>
        <w:t>2.2.1 Financing Constraints Theory (Primary Theory)</w:t>
      </w:r>
      <w:bookmarkEnd w:id="25"/>
    </w:p>
    <w:p w14:paraId="29D08455" w14:textId="77777777" w:rsidR="00005609" w:rsidRDefault="00005609" w:rsidP="00005609">
      <w:pPr>
        <w:spacing w:after="240" w:line="480" w:lineRule="auto"/>
      </w:pPr>
      <w:r>
        <w:rPr>
          <w:rFonts w:eastAsia="Times New Roman" w:cs="Times New Roman"/>
        </w:rPr>
        <w:t>Financing constraints theory is rooted in financial intermediation theory, particularly the models of Diamond and Dybvig (1983) and Holmström and Tirole (1998), which show that firms facing informational asymmetries with creditors encounter binding pledgeability constraints that limit external financing. Fazzari et al. (1988) translate this insight into an empirically testable proposition, that financially constrained firms exhibit significantly higher investment to cash flow sensitivity than unconstrained firms. Kaplan and Zingales (1997), Cleary (1999), and Almeida et al. (2004) extend this framework, showing that constrained firms hoard cash out of operating cash flow as a precautionary response to financing frictions.</w:t>
      </w:r>
    </w:p>
    <w:p w14:paraId="3F718074" w14:textId="77777777" w:rsidR="00005609" w:rsidRDefault="00005609" w:rsidP="00005609">
      <w:pPr>
        <w:spacing w:after="240" w:line="480" w:lineRule="auto"/>
      </w:pPr>
      <w:r>
        <w:rPr>
          <w:rFonts w:eastAsia="Times New Roman" w:cs="Times New Roman"/>
        </w:rPr>
        <w:t>Applied to Ghana's petroleum marketing sector, financing constraints theory predicts that firms with limited pledgeable income, weak collateral positions, and shallow banking relationships, disproportionately smaller OMCs and LPGMCs, will face the most severe financing frictions, and that these frictions will bind most tightly during periods of aggregate liquidity contraction such as the 2017 to 2019 Ghanaian banking sector crisis (Abor &amp; Quartey, 2010; Bank of Ghana, 2023). This theory therefore provides the primary theoretical basis for examining the effects of foreign exchange accessibility and liquidity conditions on firm financial performance.</w:t>
      </w:r>
    </w:p>
    <w:p w14:paraId="0059B83D" w14:textId="77777777" w:rsidR="002363FE" w:rsidRDefault="00CC0653">
      <w:pPr>
        <w:spacing w:after="240" w:line="480" w:lineRule="auto"/>
      </w:pPr>
      <w:r>
        <w:rPr>
          <w:rFonts w:eastAsia="Times New Roman" w:cs="Times New Roman"/>
        </w:rPr>
        <w:t xml:space="preserve">The theory explains three of the relationships in the conceptual framework: forex accessibility → performance, liquidity → performance, and forex accessibility → investment. For import-dependent petroleum firms, foreign exchange is a binding external resource; when it is scarce or delayed, firms face higher procurement costs, pay parallel-market premiums and hold </w:t>
        <w:lastRenderedPageBreak/>
        <w:t>precautionary liquidity, all of which reduce profitability and crowd out investment (Fazzari et al., 1988; Almeida et al., 2004).</w:t>
      </w:r>
    </w:p>
    <w:p w14:paraId="0CFDA453" w14:textId="77777777" w:rsidR="002363FE" w:rsidRDefault="00CC0653">
      <w:pPr>
        <w:pStyle w:val="Heading3"/>
      </w:pPr>
      <w:bookmarkStart w:id="26" w:name="_TocRev026"/>
      <w:r>
        <w:t>2.2.2 Exchange Rate Exposure Theory (Supporting Theory)</w:t>
      </w:r>
      <w:bookmarkEnd w:id="26"/>
    </w:p>
    <w:p w14:paraId="7995C56A" w14:textId="77777777" w:rsidR="00005609" w:rsidRDefault="00005609" w:rsidP="00005609">
      <w:pPr>
        <w:spacing w:after="240" w:line="480" w:lineRule="auto"/>
      </w:pPr>
      <w:r>
        <w:rPr>
          <w:rFonts w:eastAsia="Times New Roman" w:cs="Times New Roman"/>
        </w:rPr>
        <w:t>Adler and Dumas (1984) define economic exposure to exchange rate risk as the sensitivity of a firm's present value cash flows, and hence its market value, to unexpected exchange rate changes, distinguishing this from transaction exposure and translation exposure. For petroleum marketing firms in Ghana, all three forms of exposure are relevant, given that import payments are denominated in United States dollars while revenues are collected in Ghanaian cedis. Jorion (1990) and Bodnar et al. (1995) provide empirical methods for estimating exchange rate exposure, showing that firms with high import content bear the largest exposure to currency movements.</w:t>
      </w:r>
    </w:p>
    <w:p w14:paraId="01C363BF" w14:textId="77777777" w:rsidR="00005609" w:rsidRDefault="00005609" w:rsidP="00005609">
      <w:pPr>
        <w:spacing w:after="240" w:line="480" w:lineRule="auto"/>
      </w:pPr>
      <w:r>
        <w:rPr>
          <w:rFonts w:eastAsia="Times New Roman" w:cs="Times New Roman"/>
        </w:rPr>
        <w:t>The theory explains the relationship exchange rate uncertainty → performance. Because the GHS/USD exchange rate is common to all firms, exposure theory also implies that the impact of volatility depends on how exposed each firm is, through its import intensity, the share of purchases denominated in dollars and its foreign-currency liabilities (Jorion, 1990; Bartram et al., 2010). The time-varying nature of uncertainty is measured with the GARCH model of Bollerslev (1986) and the EGARCH model of Nelson (1991), the latter allowing volatility to respond asymmetrically to depreciation and appreciation shocks, consistent with Krugman's (1989) argument that firms do not respond symmetrically to exchange rate movements of opposite sign.</w:t>
      </w:r>
    </w:p>
    <w:p w14:paraId="3FD63E79" w14:textId="77777777" w:rsidR="002363FE" w:rsidRDefault="00CC0653">
      <w:pPr>
        <w:pStyle w:val="Heading3"/>
      </w:pPr>
      <w:bookmarkStart w:id="27" w:name="_TocRev027"/>
      <w:r>
        <w:t>2.2.3 Dynamic Capabilities Theory (Mechanism Theory)</w:t>
      </w:r>
      <w:bookmarkEnd w:id="27"/>
    </w:p>
    <w:p w14:paraId="1927889F" w14:textId="77777777" w:rsidR="00005609" w:rsidRDefault="00005609" w:rsidP="00005609">
      <w:pPr>
        <w:spacing w:after="240" w:line="480" w:lineRule="auto"/>
      </w:pPr>
      <w:r>
        <w:rPr>
          <w:rFonts w:eastAsia="Times New Roman" w:cs="Times New Roman"/>
        </w:rPr>
        <w:t xml:space="preserve">Dynamic capabilities theory, developed by Teece et al. (1997) and extended by Eisenhardt and Martin (2000) and Teece (2007), explains how firms build, integrate, and reconfigure their resource base in response to changing conditions. Teece et al. (1997) distinguish dynamic capabilities from </w:t>
        <w:lastRenderedPageBreak/>
        <w:t>operational capabilities in that the former enable modification of the resource base itself rather than merely its deployment. This distinction is central to the present study because the performance consequences of improved forex accessibility depend not only on the resource itself but on the firm's organisational capacity to convert that resource into productive capital investment.</w:t>
      </w:r>
    </w:p>
    <w:p w14:paraId="1CB0EC05" w14:textId="77777777" w:rsidR="00005609" w:rsidRDefault="00005609" w:rsidP="00005609">
      <w:pPr>
        <w:spacing w:after="240" w:line="480" w:lineRule="auto"/>
      </w:pPr>
      <w:r>
        <w:rPr>
          <w:rFonts w:eastAsia="Times New Roman" w:cs="Times New Roman"/>
        </w:rPr>
        <w:t>Firms with stronger investment decision making capabilities are theorised to translate improved forex access into performance gains more fully and more rapidly than firms with weaker capabilities, providing the theoretical basis for treating investment decisions as a mediating variable between forex accessibility and firm performance. Fainshmidt et al. (2016) and Schilke et al. (2018) show that dynamic capabilities have stronger performance effects in institutionally weak, high volatility environments, consistent with the operating conditions of Ghana's petroleum marketing sector. This theory therefore provides the mechanism level explanation for the mediation hypothesis tested in this study.</w:t>
      </w:r>
    </w:p>
    <w:p w14:paraId="4A5B2E65" w14:textId="77777777" w:rsidR="002363FE" w:rsidRDefault="00CC0653">
      <w:pPr>
        <w:pStyle w:val="Heading3"/>
      </w:pPr>
      <w:bookmarkStart w:id="28" w:name="_TocRev028"/>
      <w:r>
        <w:t>2.2.4 Capital Structure and Financial Risk Theory (Boundary-Condition Theory)</w:t>
      </w:r>
      <w:bookmarkEnd w:id="28"/>
    </w:p>
    <w:p w14:paraId="270FA379" w14:textId="77777777" w:rsidR="00005609" w:rsidRDefault="00005609" w:rsidP="00005609">
      <w:pPr>
        <w:spacing w:after="240" w:line="480" w:lineRule="auto"/>
      </w:pPr>
      <w:r>
        <w:rPr>
          <w:rFonts w:eastAsia="Times New Roman" w:cs="Times New Roman"/>
        </w:rPr>
        <w:t>Capital structure and financial risk theory provides the foundation for treating financial risk as a moderating variable. Myers's (1977) debt overhang model shows that highly leveraged firms may forgo positive net present value investments because the resulting gains accrue mainly to creditors rather than shareholders, while Stulz (1990) demonstrates that active financial risk management, through leverage reduction, liquidity maintenance, and hedging, creates value by lowering the probability of underinvestment. Both mechanisms extend the logic of financing constraints to firm level risk management and imply that firms with higher financial risk will convert improved forex and liquidity conditions into performance gains less fully than firms with lower financial risk. This provides the theoretical basis for the moderation hypothesis tested in this study.</w:t>
      </w:r>
    </w:p>
    <w:p w14:paraId="1DFF1713" w14:textId="77777777" w:rsidR="002363FE" w:rsidRDefault="00CC0653">
      <w:pPr>
        <w:spacing w:after="240" w:line="480" w:lineRule="auto"/>
      </w:pPr>
      <w:r>
        <w:rPr>
          <w:rFonts w:eastAsia="Times New Roman" w:cs="Times New Roman"/>
        </w:rPr>
        <w:lastRenderedPageBreak/>
        <w:t xml:space="preserve">Jensen and Meckling (1976) add that the agency costs of debt rise with leverage, so highly indebted firms are more likely to divert incremental resources towards debt service and away from productive uses. Taken together, these arguments imply that financial risk acts as a boundary condition: it does not create the effects of forex accessibility, liquidity and exchange rate volatility, but it determines how strongly they are felt. High financial risk is therefore expected to weaken the performance benefits of improved forex access and liquidity and to strengthen the harmful effect of exchange rate volatility, which forms the basis of hypotheses H5a to H5c.</w:t>
      </w:r>
    </w:p>
    <w:p w14:paraId="5E24FDA1" w14:textId="77777777" w:rsidR="002363FE" w:rsidRDefault="00CC0653">
      <w:pPr>
        <w:pStyle w:val="Heading3"/>
      </w:pPr>
      <w:bookmarkStart w:id="29" w:name="_TocRev029"/>
      <w:r>
        <w:t>2.2.5 Theoretical Synthesis</w:t>
      </w:r>
      <w:bookmarkEnd w:id="29"/>
    </w:p>
    <w:p w14:paraId="4C22FF80" w14:textId="77777777" w:rsidR="002363FE" w:rsidRDefault="00CC0653">
      <w:pPr>
        <w:spacing w:after="240" w:line="480" w:lineRule="auto"/>
      </w:pPr>
      <w:r>
        <w:rPr>
          <w:rFonts w:eastAsia="Times New Roman" w:cs="Times New Roman"/>
        </w:rPr>
        <w:t>Table 2.1 summarises the role of each theory, the relationships it explains and the hypotheses it supports. The Resource-Based View (Barney, 1991; Penrose, 1959) is acknowledged only as background: it supports the premise that unequal access to foreign exchange is a performance-relevant resource, but it does not generate a hypothesis beyond those already derived from financing constraints theory. Real Options Theory (Dixit &amp; Pindyck, 1994) similarly informs the expectation that uncertainty delays irreversible investment, but this argument is absorbed into the lag structure of the mediation model rather than tested as a separate hypothesis.</w:t>
      </w:r>
    </w:p>
    <w:p w14:paraId="75B0AE8F" w14:textId="77777777" w:rsidR="002363FE" w:rsidRDefault="00CC0653">
      <w:pPr>
        <w:keepNext/>
        <w:spacing w:before="240" w:after="120"/>
        <w:jc w:val="left"/>
      </w:pPr>
      <w:r>
        <w:rPr>
          <w:rFonts w:eastAsia="Times New Roman" w:cs="Times New Roman"/>
          <w:b/>
          <w:bCs/>
        </w:rPr>
        <w:t>Table 2.1: Hierarchy of Theories and Their Role in the Study</w:t>
      </w:r>
    </w:p>
    <w:tbl>
      <w:tblPr>
        <w:tblStyle w:val="TableGrid"/>
        <w:tblW w:w="9360" w:type="dxa"/>
        <w:tblLayout w:type="fixed"/>
        <w:tblLook w:val="04A0" w:firstRow="1" w:lastRow="0" w:firstColumn="1" w:lastColumn="0" w:noHBand="0" w:noVBand="1"/>
      </w:tblPr>
      <w:tblGrid>
        <w:gridCol w:w="2700"/>
        <w:gridCol w:w="1500"/>
        <w:gridCol w:w="3460"/>
        <w:gridCol w:w="1700"/>
      </w:tblGrid>
      <w:tr w:rsidR="002363FE" w14:paraId="485A05BB" w14:textId="77777777">
        <w:trPr>
          <w:tblHeader/>
        </w:trPr>
        <w:tc>
          <w:tcPr>
            <w:tcW w:w="2700" w:type="dxa"/>
            <w:tcBorders>
              <w:top w:val="single" w:sz="4" w:space="0" w:color="8EA9C8"/>
              <w:left w:val="single" w:sz="4" w:space="0" w:color="8EA9C8"/>
              <w:bottom w:val="single" w:sz="4" w:space="0" w:color="8EA9C8"/>
              <w:right w:val="single" w:sz="4" w:space="0" w:color="8EA9C8"/>
            </w:tcBorders>
            <w:shd w:val="clear" w:color="auto" w:fill="1F3864"/>
          </w:tcPr>
          <w:p w14:paraId="162594B8" w14:textId="77777777" w:rsidR="002363FE" w:rsidRDefault="00CC0653">
            <w:pPr>
              <w:spacing w:before="30" w:after="30"/>
              <w:jc w:val="left"/>
            </w:pPr>
            <w:r>
              <w:rPr>
                <w:rFonts w:eastAsia="Times New Roman" w:cs="Times New Roman"/>
                <w:b/>
                <w:bCs/>
                <w:color w:val="FFFFFF"/>
                <w:sz w:val="18"/>
                <w:szCs w:val="18"/>
              </w:rPr>
              <w:t>Theory</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3AC7188E" w14:textId="77777777" w:rsidR="002363FE" w:rsidRDefault="00CC0653">
            <w:pPr>
              <w:spacing w:before="30" w:after="30"/>
              <w:jc w:val="left"/>
            </w:pPr>
            <w:r>
              <w:rPr>
                <w:rFonts w:eastAsia="Times New Roman" w:cs="Times New Roman"/>
                <w:b/>
                <w:bCs/>
                <w:color w:val="FFFFFF"/>
                <w:sz w:val="18"/>
                <w:szCs w:val="18"/>
              </w:rPr>
              <w:t>Role</w:t>
            </w:r>
          </w:p>
        </w:tc>
        <w:tc>
          <w:tcPr>
            <w:tcW w:w="3460" w:type="dxa"/>
            <w:tcBorders>
              <w:top w:val="single" w:sz="4" w:space="0" w:color="8EA9C8"/>
              <w:left w:val="single" w:sz="4" w:space="0" w:color="8EA9C8"/>
              <w:bottom w:val="single" w:sz="4" w:space="0" w:color="8EA9C8"/>
              <w:right w:val="single" w:sz="4" w:space="0" w:color="8EA9C8"/>
            </w:tcBorders>
            <w:shd w:val="clear" w:color="auto" w:fill="1F3864"/>
          </w:tcPr>
          <w:p w14:paraId="0305E4E5" w14:textId="77777777" w:rsidR="002363FE" w:rsidRDefault="00CC0653">
            <w:pPr>
              <w:spacing w:before="30" w:after="30"/>
              <w:jc w:val="left"/>
            </w:pPr>
            <w:r>
              <w:rPr>
                <w:rFonts w:eastAsia="Times New Roman" w:cs="Times New Roman"/>
                <w:b/>
                <w:bCs/>
                <w:color w:val="FFFFFF"/>
                <w:sz w:val="18"/>
                <w:szCs w:val="18"/>
              </w:rPr>
              <w:t>Relationships explained</w:t>
            </w:r>
          </w:p>
        </w:tc>
        <w:tc>
          <w:tcPr>
            <w:tcW w:w="1700" w:type="dxa"/>
            <w:tcBorders>
              <w:top w:val="single" w:sz="4" w:space="0" w:color="8EA9C8"/>
              <w:left w:val="single" w:sz="4" w:space="0" w:color="8EA9C8"/>
              <w:bottom w:val="single" w:sz="4" w:space="0" w:color="8EA9C8"/>
              <w:right w:val="single" w:sz="4" w:space="0" w:color="8EA9C8"/>
            </w:tcBorders>
            <w:shd w:val="clear" w:color="auto" w:fill="1F3864"/>
          </w:tcPr>
          <w:p w14:paraId="142AC87C" w14:textId="77777777" w:rsidR="002363FE" w:rsidRDefault="00CC0653">
            <w:pPr>
              <w:spacing w:before="30" w:after="30"/>
              <w:jc w:val="left"/>
            </w:pPr>
            <w:r>
              <w:rPr>
                <w:rFonts w:eastAsia="Times New Roman" w:cs="Times New Roman"/>
                <w:b/>
                <w:bCs/>
                <w:color w:val="FFFFFF"/>
                <w:sz w:val="18"/>
                <w:szCs w:val="18"/>
              </w:rPr>
              <w:t>Hypotheses</w:t>
            </w:r>
          </w:p>
        </w:tc>
      </w:tr>
      <w:tr w:rsidR="002363FE" w14:paraId="624445F0" w14:textId="77777777">
        <w:trPr>
          <w:cantSplit/>
        </w:trPr>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409AA8C1" w14:textId="77777777" w:rsidR="002363FE" w:rsidRDefault="00CC0653">
            <w:pPr>
              <w:spacing w:before="30" w:after="30"/>
              <w:jc w:val="left"/>
            </w:pPr>
            <w:r>
              <w:rPr>
                <w:rFonts w:eastAsia="Times New Roman" w:cs="Times New Roman"/>
                <w:sz w:val="18"/>
                <w:szCs w:val="18"/>
              </w:rPr>
              <w:t>Financing Constraints Theory (Fazzari et al., 1988)</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0848DB71" w14:textId="77777777" w:rsidR="002363FE" w:rsidRDefault="00CC0653">
            <w:pPr>
              <w:spacing w:before="30" w:after="30"/>
              <w:jc w:val="left"/>
            </w:pPr>
            <w:r>
              <w:rPr>
                <w:rFonts w:eastAsia="Times New Roman" w:cs="Times New Roman"/>
                <w:sz w:val="18"/>
                <w:szCs w:val="18"/>
              </w:rPr>
              <w:t>Primary theory</w:t>
            </w:r>
          </w:p>
        </w:tc>
        <w:tc>
          <w:tcPr>
            <w:tcW w:w="3460" w:type="dxa"/>
            <w:tcBorders>
              <w:top w:val="single" w:sz="4" w:space="0" w:color="8EA9C8"/>
              <w:left w:val="single" w:sz="4" w:space="0" w:color="8EA9C8"/>
              <w:bottom w:val="single" w:sz="4" w:space="0" w:color="8EA9C8"/>
              <w:right w:val="single" w:sz="4" w:space="0" w:color="8EA9C8"/>
            </w:tcBorders>
            <w:shd w:val="clear" w:color="auto" w:fill="FFFFFF"/>
          </w:tcPr>
          <w:p w14:paraId="6E174408" w14:textId="77777777" w:rsidR="002363FE" w:rsidRDefault="00CC0653">
            <w:pPr>
              <w:spacing w:before="30" w:after="30"/>
              <w:jc w:val="left"/>
            </w:pPr>
            <w:r>
              <w:rPr>
                <w:rFonts w:eastAsia="Times New Roman" w:cs="Times New Roman"/>
                <w:sz w:val="18"/>
                <w:szCs w:val="18"/>
              </w:rPr>
              <w:t>FA → FP; LV → FP; FA → ID</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D99D9C6" w14:textId="77777777" w:rsidR="002363FE" w:rsidRDefault="00CC0653">
            <w:pPr>
              <w:spacing w:before="30" w:after="30"/>
              <w:jc w:val="left"/>
            </w:pPr>
            <w:r>
              <w:rPr>
                <w:rFonts w:eastAsia="Times New Roman" w:cs="Times New Roman"/>
                <w:sz w:val="18"/>
                <w:szCs w:val="18"/>
              </w:rPr>
              <w:t>H1, H2, H4 (path a)</w:t>
            </w:r>
          </w:p>
        </w:tc>
      </w:tr>
      <w:tr w:rsidR="002363FE" w14:paraId="0F6C6B49" w14:textId="77777777">
        <w:trPr>
          <w:cantSplit/>
        </w:trPr>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703BED30" w14:textId="77777777" w:rsidR="002363FE" w:rsidRDefault="00CC0653">
            <w:pPr>
              <w:spacing w:before="30" w:after="30"/>
              <w:jc w:val="left"/>
            </w:pPr>
            <w:r>
              <w:rPr>
                <w:rFonts w:eastAsia="Times New Roman" w:cs="Times New Roman"/>
                <w:sz w:val="18"/>
                <w:szCs w:val="18"/>
              </w:rPr>
              <w:t>Exchange Rate Exposure Theory (Adler &amp; Dumas, 1984)</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460744F2" w14:textId="77777777" w:rsidR="002363FE" w:rsidRDefault="00CC0653">
            <w:pPr>
              <w:spacing w:before="30" w:after="30"/>
              <w:jc w:val="left"/>
            </w:pPr>
            <w:r>
              <w:rPr>
                <w:rFonts w:eastAsia="Times New Roman" w:cs="Times New Roman"/>
                <w:sz w:val="18"/>
                <w:szCs w:val="18"/>
              </w:rPr>
              <w:t>Supporting theory</w:t>
            </w:r>
          </w:p>
        </w:tc>
        <w:tc>
          <w:tcPr>
            <w:tcW w:w="3460" w:type="dxa"/>
            <w:tcBorders>
              <w:top w:val="single" w:sz="4" w:space="0" w:color="8EA9C8"/>
              <w:left w:val="single" w:sz="4" w:space="0" w:color="8EA9C8"/>
              <w:bottom w:val="single" w:sz="4" w:space="0" w:color="8EA9C8"/>
              <w:right w:val="single" w:sz="4" w:space="0" w:color="8EA9C8"/>
            </w:tcBorders>
            <w:shd w:val="clear" w:color="auto" w:fill="FFFFFF"/>
          </w:tcPr>
          <w:p w14:paraId="1FECD128" w14:textId="77777777" w:rsidR="002363FE" w:rsidRDefault="00CC0653">
            <w:pPr>
              <w:spacing w:before="30" w:after="30"/>
              <w:jc w:val="left"/>
            </w:pPr>
            <w:r>
              <w:rPr>
                <w:rFonts w:eastAsia="Times New Roman" w:cs="Times New Roman"/>
                <w:sz w:val="18"/>
                <w:szCs w:val="18"/>
              </w:rPr>
              <w:t>EXRV → FP; EXRV × exposure → FP</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5B20ABD2" w14:textId="77777777" w:rsidR="002363FE" w:rsidRDefault="00CC0653">
            <w:pPr>
              <w:spacing w:before="30" w:after="30"/>
              <w:jc w:val="left"/>
            </w:pPr>
            <w:r>
              <w:rPr>
                <w:rFonts w:eastAsia="Times New Roman" w:cs="Times New Roman"/>
                <w:sz w:val="18"/>
                <w:szCs w:val="18"/>
              </w:rPr>
              <w:t>H3</w:t>
            </w:r>
          </w:p>
        </w:tc>
      </w:tr>
      <w:tr w:rsidR="002363FE" w14:paraId="7E204997" w14:textId="77777777">
        <w:trPr>
          <w:cantSplit/>
        </w:trPr>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4D5C9ABF" w14:textId="77777777" w:rsidR="002363FE" w:rsidRDefault="00CC0653">
            <w:pPr>
              <w:spacing w:before="30" w:after="30"/>
              <w:jc w:val="left"/>
            </w:pPr>
            <w:r>
              <w:rPr>
                <w:rFonts w:eastAsia="Times New Roman" w:cs="Times New Roman"/>
                <w:sz w:val="18"/>
                <w:szCs w:val="18"/>
              </w:rPr>
              <w:t>Dynamic Capabilities Theory (Teece et al., 1997)</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74A9794F" w14:textId="77777777" w:rsidR="002363FE" w:rsidRDefault="00CC0653">
            <w:pPr>
              <w:spacing w:before="30" w:after="30"/>
              <w:jc w:val="left"/>
            </w:pPr>
            <w:r>
              <w:rPr>
                <w:rFonts w:eastAsia="Times New Roman" w:cs="Times New Roman"/>
                <w:sz w:val="18"/>
                <w:szCs w:val="18"/>
              </w:rPr>
              <w:t>Mechanism theory</w:t>
            </w:r>
          </w:p>
        </w:tc>
        <w:tc>
          <w:tcPr>
            <w:tcW w:w="3460" w:type="dxa"/>
            <w:tcBorders>
              <w:top w:val="single" w:sz="4" w:space="0" w:color="8EA9C8"/>
              <w:left w:val="single" w:sz="4" w:space="0" w:color="8EA9C8"/>
              <w:bottom w:val="single" w:sz="4" w:space="0" w:color="8EA9C8"/>
              <w:right w:val="single" w:sz="4" w:space="0" w:color="8EA9C8"/>
            </w:tcBorders>
            <w:shd w:val="clear" w:color="auto" w:fill="FFFFFF"/>
          </w:tcPr>
          <w:p w14:paraId="249FC96E" w14:textId="77777777" w:rsidR="002363FE" w:rsidRDefault="00CC0653">
            <w:pPr>
              <w:spacing w:before="30" w:after="30"/>
              <w:jc w:val="left"/>
            </w:pPr>
            <w:r>
              <w:rPr>
                <w:rFonts w:eastAsia="Times New Roman" w:cs="Times New Roman"/>
                <w:sz w:val="18"/>
                <w:szCs w:val="18"/>
              </w:rPr>
              <w:t>Conversion of resources into investment and of investment into performance (ID → FP)</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0FF5302" w14:textId="77777777" w:rsidR="002363FE" w:rsidRDefault="00CC0653">
            <w:pPr>
              <w:spacing w:before="30" w:after="30"/>
              <w:jc w:val="left"/>
            </w:pPr>
            <w:r>
              <w:rPr>
                <w:rFonts w:eastAsia="Times New Roman" w:cs="Times New Roman"/>
                <w:sz w:val="18"/>
                <w:szCs w:val="18"/>
              </w:rPr>
              <w:t>H4 (path b)</w:t>
            </w:r>
          </w:p>
        </w:tc>
      </w:tr>
      <w:tr w:rsidR="002363FE" w14:paraId="69E8B667" w14:textId="77777777">
        <w:trPr>
          <w:cantSplit/>
        </w:trPr>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37B42C34" w14:textId="77777777" w:rsidR="002363FE" w:rsidRDefault="00CC0653">
            <w:pPr>
              <w:spacing w:before="30" w:after="30"/>
              <w:jc w:val="left"/>
            </w:pPr>
            <w:r>
              <w:rPr>
                <w:rFonts w:eastAsia="Times New Roman" w:cs="Times New Roman"/>
                <w:sz w:val="18"/>
                <w:szCs w:val="18"/>
              </w:rPr>
              <w:t>Capital Structure and Financial Risk Theory (Myers, 1977; Jensen &amp; Meckling, 1976; Stulz, 1990)</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6109498" w14:textId="77777777" w:rsidR="002363FE" w:rsidRDefault="00CC0653">
            <w:pPr>
              <w:spacing w:before="30" w:after="30"/>
              <w:jc w:val="left"/>
            </w:pPr>
            <w:r>
              <w:rPr>
                <w:rFonts w:eastAsia="Times New Roman" w:cs="Times New Roman"/>
                <w:sz w:val="18"/>
                <w:szCs w:val="18"/>
              </w:rPr>
              <w:t>Boundary-condition theory</w:t>
            </w:r>
          </w:p>
        </w:tc>
        <w:tc>
          <w:tcPr>
            <w:tcW w:w="3460" w:type="dxa"/>
            <w:tcBorders>
              <w:top w:val="single" w:sz="4" w:space="0" w:color="8EA9C8"/>
              <w:left w:val="single" w:sz="4" w:space="0" w:color="8EA9C8"/>
              <w:bottom w:val="single" w:sz="4" w:space="0" w:color="8EA9C8"/>
              <w:right w:val="single" w:sz="4" w:space="0" w:color="8EA9C8"/>
            </w:tcBorders>
            <w:shd w:val="clear" w:color="auto" w:fill="FFFFFF"/>
          </w:tcPr>
          <w:p w14:paraId="15214C8F" w14:textId="77777777" w:rsidR="002363FE" w:rsidRDefault="00CC0653">
            <w:pPr>
              <w:spacing w:before="30" w:after="30"/>
              <w:jc w:val="left"/>
            </w:pPr>
            <w:r>
              <w:rPr>
                <w:rFonts w:eastAsia="Times New Roman" w:cs="Times New Roman"/>
                <w:sz w:val="18"/>
                <w:szCs w:val="18"/>
              </w:rPr>
              <w:t>FR weakens FA → FP and LV → FP; FR strengthens EXRV → FP</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3982CC69" w14:textId="77777777" w:rsidR="002363FE" w:rsidRDefault="00CC0653">
            <w:pPr>
              <w:spacing w:before="30" w:after="30"/>
              <w:jc w:val="left"/>
            </w:pPr>
            <w:r>
              <w:rPr>
                <w:rFonts w:eastAsia="Times New Roman" w:cs="Times New Roman"/>
                <w:sz w:val="18"/>
                <w:szCs w:val="18"/>
              </w:rPr>
              <w:t>H5a–H5c</w:t>
            </w:r>
          </w:p>
        </w:tc>
      </w:tr>
    </w:tbl>
    <w:p w14:paraId="1FAA7A97" w14:textId="77777777" w:rsidR="002363FE" w:rsidRDefault="00CC0653">
      <w:pPr>
        <w:spacing w:before="60" w:after="240"/>
        <w:jc w:val="left"/>
      </w:pPr>
      <w:r>
        <w:rPr>
          <w:rFonts w:eastAsia="Times New Roman" w:cs="Times New Roman"/>
          <w:i/>
          <w:iCs/>
          <w:sz w:val="20"/>
          <w:szCs w:val="20"/>
        </w:rPr>
        <w:t>Source: Author's construct (2026).</w:t>
      </w:r>
    </w:p>
    <w:p w14:paraId="6A2DBF48" w14:textId="77777777" w:rsidR="002363FE" w:rsidRDefault="00CC0653">
      <w:pPr>
        <w:pStyle w:val="Heading2"/>
      </w:pPr>
      <w:bookmarkStart w:id="30" w:name="_TocRev030"/>
      <w:r>
        <w:lastRenderedPageBreak/>
        <w:t>2.3 Empirical Review</w:t>
      </w:r>
      <w:bookmarkEnd w:id="30"/>
    </w:p>
    <w:p w14:paraId="7810117B" w14:textId="77777777" w:rsidR="002363FE" w:rsidRDefault="00CC0653">
      <w:pPr>
        <w:pStyle w:val="Heading3"/>
      </w:pPr>
      <w:bookmarkStart w:id="31" w:name="_TocRev031"/>
      <w:r>
        <w:t>2.3.1 Foreign Exchange Accessibility and Firm Financial Performance</w:t>
      </w:r>
      <w:bookmarkEnd w:id="31"/>
    </w:p>
    <w:p w14:paraId="1B7BA435" w14:textId="77777777" w:rsidR="009F2ACB" w:rsidRDefault="009F2ACB" w:rsidP="009F2ACB">
      <w:pPr>
        <w:spacing w:after="240" w:line="480" w:lineRule="auto"/>
      </w:pPr>
      <w:r>
        <w:rPr>
          <w:rFonts w:eastAsia="Times New Roman" w:cs="Times New Roman"/>
        </w:rPr>
        <w:t>Research on financial access and firm performance in developing economies treats access to finance, including access to foreign currency for import financing, as an important determinant of firm growth and investment. Beck et al. (2006) show that the development of financial and legal institutions shapes firm size and growth across countries, and Love (2003), using firm-level data from 36 countries, shows that financial development reduces the sensitivity of investment to internal funds, which indicates that relaxing financing constraints works largely through investment. This literature suggests that forex access may affect performance not only directly but also by constraining capital investment, a distinction that motivates the treatment of investment decisions as a mediating mechanism in the present study rather than as a simple control variable.</w:t>
      </w:r>
    </w:p>
    <w:p w14:paraId="715736EE" w14:textId="77777777" w:rsidR="009F2ACB" w:rsidRDefault="009F2ACB" w:rsidP="009F2ACB">
      <w:pPr>
        <w:spacing w:after="240" w:line="480" w:lineRule="auto"/>
      </w:pPr>
      <w:r>
        <w:rPr>
          <w:rFonts w:eastAsia="Times New Roman" w:cs="Times New Roman"/>
        </w:rPr>
        <w:t>Three transmission channels are identified across this literature. A direct cost channel operates when firms forced into parallel market currency purchases pay a price premium that inflates import costs. A supply disruption channel operates when forex allocation delays reduce import volumes and generate inventory shortfalls. A working capital distortion channel operates when unpredictable forex allocation timing forces firms to hold excess liquidity buffers at the expense of productive investment (Holmström &amp; Tirole, 1998; NPA, 2022). These three channels are conceptually distinct but are difficult to separate empirically using firm level financial statement data alone, a limitation that the measurement strategy in Chapter Three addresses only partially.</w:t>
      </w:r>
    </w:p>
    <w:p w14:paraId="39E332B6" w14:textId="77777777" w:rsidR="009F2ACB" w:rsidRDefault="009F2ACB" w:rsidP="009F2ACB">
      <w:pPr>
        <w:spacing w:after="240" w:line="480" w:lineRule="auto"/>
      </w:pPr>
      <w:r>
        <w:rPr>
          <w:rFonts w:eastAsia="Times New Roman" w:cs="Times New Roman"/>
        </w:rPr>
        <w:t xml:space="preserve">Direct firm-level evidence on forex accessibility in Sub-Saharan African petroleum sectors is scarce in the reviewed literature, and the available sector studies examine the exchange rate rather than access to foreign currency. In Ghana, Najimu and Mahama (2022), using annual data for two </w:t>
        <w:lastRenderedPageBreak/>
        <w:t>listed oil marketing companies (Total Ghana and GOIL) over 2008–2018, find a long-run relationship between petroleum prices and the exchange rate and a positive association between the exchange rate and ROE. In Nigeria, Alagbe et al. (2021), studying 12 listed oil and gas companies over 2011–2020 with partial least squares structural equation modelling, find no significant effect of exchange rate changes on ROA. Outside the petroleum sector, Héricourt and Poncet (2015) show that the harmful effect of currency volatility on Chinese exporters is concentrated in financially vulnerable firms and is dampened by financial development, consistent with the view that access to foreign currency and finance conditions how firms experience currency shocks.</w:t>
      </w:r>
    </w:p>
    <w:p w14:paraId="5C1D3978" w14:textId="77777777" w:rsidR="009F2ACB" w:rsidRDefault="009F2ACB" w:rsidP="009F2ACB">
      <w:pPr>
        <w:spacing w:after="240" w:line="480" w:lineRule="auto"/>
      </w:pPr>
      <w:r>
        <w:rPr>
          <w:rFonts w:eastAsia="Times New Roman" w:cs="Times New Roman"/>
        </w:rPr>
        <w:t>This body of evidence is subject to several limitations that qualify its application to the present study. First, none of the reviewed petroleum-sector studies measures forex accessibility directly; they measure the exchange rate level or its changes, so the effect of access itself remains largely untested. Second, the samples are small (two to twelve listed firms) and exclude the many privately held BIDECs, OMCs and LPGMCs. Third, any positive association between forex access and profitability is vulnerable to reverse causality, since more profitable firms with stronger banking relationships may secure preferential allocations (Petersen &amp; Rajan, 1994), which motivates the endogeneity correction strategy adopted in Chapter Three. Finally, the conflicting findings, positive in Najimu and Mahama (2022) and insignificant in Alagbe et al. (2021), suggest that the effect depends on firm characteristics and on pricing regimes that allow currency costs to be passed on, which supports examining the three firm categories separately.</w:t>
      </w:r>
    </w:p>
    <w:p w14:paraId="6832AA20" w14:textId="77777777" w:rsidR="002363FE" w:rsidRDefault="00CC0653">
      <w:pPr>
        <w:pStyle w:val="Heading3"/>
      </w:pPr>
      <w:bookmarkStart w:id="32" w:name="_TocRev032"/>
      <w:r>
        <w:lastRenderedPageBreak/>
        <w:t>2.3.2 Liquidity Management and Firm Financial Performance</w:t>
      </w:r>
      <w:bookmarkEnd w:id="32"/>
    </w:p>
    <w:p w14:paraId="7AB57F4A" w14:textId="77777777" w:rsidR="00C72DF1" w:rsidRDefault="00C72DF1" w:rsidP="00C72DF1">
      <w:pPr>
        <w:spacing w:after="240" w:line="480" w:lineRule="auto"/>
      </w:pPr>
      <w:r>
        <w:rPr>
          <w:rFonts w:eastAsia="Times New Roman" w:cs="Times New Roman"/>
        </w:rPr>
        <w:t>Research on corporate liquidity and firm performance converges on a trade off logic rather than a simple monotonic relationship. Keynes (1936) establishes the transaction, precautionary, and speculative motives for holding liquidity, all of which are salient for petroleum marketing firms given their unpredictable forex allocation timing, volatile import costs, and recurring infrastructure investment opportunities. Smith (1980) formalises the resulting trade off, showing that higher working capital investment improves liquidity ratios but reduces profitability by tying up capital that could otherwise be deployed productively. Baños-Caballero et al. (2014), using two-step GMM on 258 UK non-financial firms over 2001–2007, provide the most direct empirical test of this trade off, finding a non linear, concave relationship between working capital and profitability consistent with an interior optimum, and showing that the optimal working capital level declines as external financing constraints tighten. This body of work implies that the effect of liquidity on performance in the present study should be modelled as potentially non linear rather than assumed to be uniformly positive.</w:t>
      </w:r>
    </w:p>
    <w:p w14:paraId="1FE128C7" w14:textId="77777777" w:rsidR="00C72DF1" w:rsidRDefault="00C72DF1" w:rsidP="00C72DF1">
      <w:pPr>
        <w:spacing w:after="240" w:line="480" w:lineRule="auto"/>
      </w:pPr>
      <w:r>
        <w:rPr>
          <w:rFonts w:eastAsia="Times New Roman" w:cs="Times New Roman"/>
        </w:rPr>
        <w:t xml:space="preserve">The cash conversion cycle has become the standard operational measure of working capital management quality following Gitman's (1974) foundational formulation. Shin and Soenen (1998) and Deloof (2003) both report a negative relationship between cash conversion cycle length and profitability in, respectively, United States and Belgian firm samples; Deloof (2003), studying 1,009 large Belgian firms over 1992–1996, finds that profitability rises as receivable and inventory days fall and that less profitable firms take longer to pay their suppliers. For Ghana's petroleum marketing firms, whose cash conversion cycles are shaped by the interaction of 30 to 90 day import credit terms with government receivables that often exceed 120 days, this literature implies that </w:t>
        <w:lastRenderedPageBreak/>
        <w:t>receivables management and import credit negotiation are the levers most likely to generate measurable profitability gains, more so than inventory management.</w:t>
      </w:r>
    </w:p>
    <w:p w14:paraId="1BE62D8A" w14:textId="77777777" w:rsidR="00C72DF1" w:rsidRDefault="00C72DF1" w:rsidP="00C72DF1">
      <w:pPr>
        <w:spacing w:after="240" w:line="480" w:lineRule="auto"/>
      </w:pPr>
      <w:r>
        <w:rPr>
          <w:rFonts w:eastAsia="Times New Roman" w:cs="Times New Roman"/>
        </w:rPr>
        <w:t>Evidence from developing economies indicates that the liquidity–performance relationship is shaped by the cost of finance. Baños-Caballero et al. (2010) show that firms' working capital levels depend on the cost and availability of external finance, and in Ghana the opportunity cost of holding working capital is high because lending rates have been well above those in European or North American studies (Bank of Ghana, 2023). Ghana-specific evidence from listed firms is mixed, as noted in Section 2.1.2: Akoto et al. (2013) report positive effects of the cash conversion cycle and current asset ratio on the profitability of listed manufacturers, while Li et al. (2020) report a negative effect of the current ratio on ROE among listed non-financial firms. The role of banking relationships is established by Diamond (1991) and Petersen and Rajan (1994), who show that longer relationships reduce informational frictions and improve credit terms, and Adomako et al. (2016) show that access to finance supports the growth of Ghanaian small and medium enterprises, more strongly where owners are financially literate.</w:t>
      </w:r>
    </w:p>
    <w:p w14:paraId="686DD967" w14:textId="77777777" w:rsidR="00C72DF1" w:rsidRPr="00B07880" w:rsidRDefault="00C72DF1" w:rsidP="00B07880">
      <w:pPr>
        <w:spacing w:after="240" w:line="480" w:lineRule="auto"/>
        <w:rPr>
          <w:rFonts w:cs="Times New Roman"/>
        </w:rPr>
      </w:pPr>
      <w:r>
        <w:rPr>
          <w:rFonts w:eastAsia="Times New Roman" w:cs="Times New Roman"/>
        </w:rPr>
        <w:t xml:space="preserve">This literature nonetheless has limitations relevant to the present study. The Ghanaian evidence comes from listed manufacturing or general non-financial firms rather than from the petroleum marketing sector, so the size of the estimated effects may not transfer to BIDECs, OMCs and LPGMCs, whose working capital cycles and financing terms differ substantially. The studies also use linear specifications and different liquidity measures, which limits comparability and leaves the hypothesised inverted-U relationship untested in this sector. On identification, the 2017–2019 banking sector clean-up, during which the Bank of Ghana revoked the licences of several banks and consolidated others (Bank of Ghana, 2023), is a potentially useful source of variation in the supply of credit. Because it overlapped with other shocks, however, isolating its liquidity-specific </w:t>
        <w:lastRenderedPageBreak/>
        <w:t>effect remains an identification challenge that the present study's multivariate specification, rather than the clean-up alone, must address.</w:t>
      </w:r>
    </w:p>
    <w:p w14:paraId="593A2F31" w14:textId="77777777" w:rsidR="002363FE" w:rsidRDefault="00CC0653">
      <w:pPr>
        <w:pStyle w:val="Heading3"/>
      </w:pPr>
      <w:bookmarkStart w:id="33" w:name="_TocRev033"/>
      <w:r>
        <w:t>2.3.3 Modelling Exchange Rate Volatility</w:t>
      </w:r>
      <w:bookmarkEnd w:id="33"/>
    </w:p>
    <w:p w14:paraId="28313E6C" w14:textId="77777777" w:rsidR="00B07880" w:rsidRPr="00B07880" w:rsidRDefault="00B07880" w:rsidP="00B07880">
      <w:pPr>
        <w:spacing w:after="200" w:line="480" w:lineRule="auto"/>
        <w:rPr>
          <w:rFonts w:cs="Times New Roman"/>
        </w:rPr>
      </w:pPr>
      <w:r>
        <w:rPr>
          <w:rFonts w:eastAsia="Calibri" w:cs="Times New Roman"/>
        </w:rPr>
        <w:t>Exchange Rate Exposure Theory (Adler &amp; Dumas, 1984) predicts that firms with foreign-currency-denominated costs or liabilities experience performance effects that move with unanticipated exchange rate movements, with the magnitude of exposure determined by the share of transactions denominated in foreign currency and the availability of hedging instruments. For Ghana’s BIDECs, OMCs, and LPGMCs — which import petroleum products in USD but sell in GHS, and which cannot access an organised FX derivatives market — the theory predicts a direct and largely unhedged transmission from exchange rate movements to firm performance, distinguishing this sector’s exposure from that of firms in developed markets with access to forward and options hedging.</w:t>
      </w:r>
    </w:p>
    <w:p w14:paraId="043483FD" w14:textId="77777777" w:rsidR="00B07880" w:rsidRPr="00B07880" w:rsidRDefault="00B07880" w:rsidP="00B07880">
      <w:pPr>
        <w:spacing w:after="200" w:line="480" w:lineRule="auto"/>
        <w:rPr>
          <w:rFonts w:cs="Times New Roman"/>
        </w:rPr>
      </w:pPr>
      <w:r>
        <w:rPr>
          <w:rFonts w:eastAsia="Calibri" w:cs="Times New Roman"/>
        </w:rPr>
        <w:t>Measuring this exposure requires modelling the time-varying, clustered nature of exchange rate volatility. Engle’s (1982) ARCH framework and Bollerslev’s (1986) GARCH extension established that the variance of financial return series clusters into high- and low-volatility regimes rather than remaining constant, and the GARCH(1,1) specification remains the standard tool for capturing this behaviour. Nelson’s (1991) EGARCH model extends this by allowing volatility to respond asymmetrically to the sign of return shocks, which matters for Ghana’s context: GHS depreciation generates immediate import-cost shocks and balance-sheet losses for firms with USD liabilities in a way that equivalent GHS appreciation does not symmetrically reverse. The choice between GARCH and EGARCH specifications for the present study will be made empirically, using the Bayesian Information Criterion together with the sign-bias test of Engle and Ng (1993).</w:t>
      </w:r>
    </w:p>
    <w:p w14:paraId="6DB830B6" w14:textId="77777777" w:rsidR="00B07880" w:rsidRPr="00B07880" w:rsidRDefault="00B07880" w:rsidP="00B07880">
      <w:pPr>
        <w:spacing w:after="200" w:line="480" w:lineRule="auto"/>
        <w:rPr>
          <w:rFonts w:cs="Times New Roman"/>
        </w:rPr>
      </w:pPr>
      <w:r>
        <w:rPr>
          <w:rFonts w:eastAsia="Times New Roman" w:cs="Times New Roman"/>
        </w:rPr>
        <w:lastRenderedPageBreak/>
        <w:t>Studies applying volatility models to Ghana's exchange rate find that shocks are persistent. Alagidede and Ibrahim (2017) show that shocks to Ghana's real exchange rate eventually die out but that misalignments correct slowly, that about three-quarters of real exchange rate disturbances arise from the exchange rate's own internal dynamics, and that excessive volatility harms economic growth. Where this literature is limited for the present purpose is temporal coverage: the reviewed estimates come from windows that end before Ghana's 2022–2023 debt restructuring, the largest structural break in the GHS/USD series within the present study's 2015–2024 window. Volatility parameters estimated on earlier data may not characterise the regime firms have operated under since, which is part of the case for re-estimating GARCH/EGARCH parameters within the present study rather than relying on published estimates.</w:t>
      </w:r>
    </w:p>
    <w:p w14:paraId="4E31B1F9" w14:textId="77777777" w:rsidR="002363FE" w:rsidRDefault="00CC0653">
      <w:pPr>
        <w:pStyle w:val="Heading3"/>
      </w:pPr>
      <w:bookmarkStart w:id="34" w:name="_TocRev034"/>
      <w:r>
        <w:t>2.3.4 Exchange Rate Volatility and Firm Performance</w:t>
      </w:r>
      <w:bookmarkEnd w:id="34"/>
    </w:p>
    <w:p w14:paraId="63858109" w14:textId="77777777" w:rsidR="00B07880" w:rsidRPr="00B07880" w:rsidRDefault="00B07880" w:rsidP="00B07880">
      <w:pPr>
        <w:spacing w:after="200" w:line="480" w:lineRule="auto"/>
        <w:rPr>
          <w:rFonts w:cs="Times New Roman"/>
        </w:rPr>
      </w:pPr>
      <w:r>
        <w:rPr>
          <w:rFonts w:eastAsia="Times New Roman" w:cs="Times New Roman"/>
        </w:rPr>
        <w:t xml:space="preserve">Evidence on the consequences of exchange rate volatility points to harmful effects for firms with unhedged foreign-currency exposure, operating through two channels. The first is a valuation channel: Allayannis and Weston (2001) find that large US non-financial firms that hedge foreign exchange exposure have higher market values, implying that unhedged firms bear a corresponding penalty. The second is an investment and trade channel: Servén (2003), using a GARCH-based measure of real exchange rate volatility for developing countries, finds a strong negative effect of volatility on private investment, stronger in economies that are open to trade and have underdeveloped financial systems, and Héricourt and Poncet (2015) find that volatility reduces the exports of Chinese firms, especially financially vulnerable ones. Aghion et al. (2009) extend this to growth, finding that exchange rate volatility reduces productivity growth in countries with relatively low financial development. Read together with Financing Constraints Theory (Fazzari et al., 1988), this evidence indicates that exchange rate volatility is most harmful where financial </w:t>
        <w:lastRenderedPageBreak/>
        <w:t>depth and hedging access are limited, the condition that characterises Ghana's petroleum marketing sector.</w:t>
      </w:r>
    </w:p>
    <w:p w14:paraId="13B41F79" w14:textId="77777777" w:rsidR="00B07880" w:rsidRPr="00B07880" w:rsidRDefault="00B07880" w:rsidP="00B07880">
      <w:pPr>
        <w:spacing w:after="200" w:line="480" w:lineRule="auto"/>
        <w:rPr>
          <w:rFonts w:cs="Times New Roman"/>
        </w:rPr>
      </w:pPr>
      <w:r>
        <w:rPr>
          <w:rFonts w:eastAsia="Times New Roman" w:cs="Times New Roman"/>
        </w:rPr>
        <w:t>African evidence sharpens this picture but also exposes its limits. Abdul-Mumuni (2016), using autoregressive distributed lag models for Ghana over 1986–2013, finds that cedi depreciation harms manufacturing output while appreciation supports it, in both the short and the long run. For the petroleum sector the findings are mixed: Najimu and Mahama (2022) report a positive association between the exchange rate and the ROE of two Ghanaian oil marketing companies, while Alagbe et al. (2021) find no significant effect of exchange rate changes on the ROA of Nigerian listed oil and gas companies. One explanation for such mixed results is that firms can partly pass currency costs on to customers or hedge them operationally, which weakens measured exposure (Bartram et al., 2010); in Ghana, the regulated pricing formula allows import costs to be passed on with a lag (NPA, 2022).</w:t>
      </w:r>
    </w:p>
    <w:p w14:paraId="00281956" w14:textId="77777777" w:rsidR="00B07880" w:rsidRPr="00B07880" w:rsidRDefault="00B07880" w:rsidP="00B07880">
      <w:pPr>
        <w:spacing w:after="200" w:line="480" w:lineRule="auto"/>
        <w:rPr>
          <w:rFonts w:cs="Times New Roman"/>
        </w:rPr>
      </w:pPr>
      <w:r>
        <w:rPr>
          <w:rFonts w:eastAsia="Times New Roman" w:cs="Times New Roman"/>
        </w:rPr>
        <w:t>Three limitations in this literature define the gap the present study addresses. First, the reviewed petroleum-sector studies use the exchange rate level or its changes rather than a model-based measure of volatility, so they cannot separate the cost effect of depreciation from the uncertainty effect of volatility. Second, they use static estimators on small samples of listed firms and cannot separate a lagged volatility effect from the persistence of performance itself, a limitation the dynamic System GMM specification in Chapter Three is designed to address. Third, none disaggregates by BIDEC, OMC and LPGMC status or covers the post-2022 restructuring regime. To the best of the researcher's knowledge, no identified study combines a re-estimated, asymmetry-tested GARCH/EGARCH volatility series with a dynamic panel specification disaggregated by firm category over this period, which is the combination the present study is designed to provide.</w:t>
      </w:r>
    </w:p>
    <w:p w14:paraId="1D60AA72" w14:textId="77777777" w:rsidR="002363FE" w:rsidRDefault="00CC0653">
      <w:pPr>
        <w:pStyle w:val="Heading3"/>
      </w:pPr>
      <w:bookmarkStart w:id="35" w:name="_TocRev035"/>
      <w:r>
        <w:lastRenderedPageBreak/>
        <w:t>2.3.5 Investment Decisions as a Mediating Mechanism</w:t>
      </w:r>
      <w:bookmarkEnd w:id="35"/>
    </w:p>
    <w:p w14:paraId="2077A5B8" w14:textId="77777777" w:rsidR="002238C0" w:rsidRPr="002238C0" w:rsidRDefault="002238C0" w:rsidP="002238C0">
      <w:pPr>
        <w:spacing w:after="200" w:line="480" w:lineRule="auto"/>
        <w:rPr>
          <w:rFonts w:cs="Times New Roman"/>
          <w:color w:val="000000" w:themeColor="text1"/>
        </w:rPr>
      </w:pPr>
      <w:r>
        <w:rPr>
          <w:rFonts w:eastAsia="Calibri" w:cs="Times New Roman"/>
          <w:color w:val="000000" w:themeColor="text1"/>
        </w:rPr>
        <w:t>The case for investment decisions as a mediator rests on a two-link chain, and the two links require two different theoretical mechanisms. The first link — that forex accessibility enables capital investment — is grounded in Fazzari et al.’s (1988) financing constraints framework: firms facing external financing frictions exhibit investment-cash-flow sensitivity, and forex accessibility functions as a specific form of that friction for import-dependent petroleum marketing firms, whose capital expenditure is constrained not only by cash generation but by the timing and reliability of forex allocation itself. The second link — that capital investment translates into performance — does not follow automatically from resource access alone; it requires the organisational capacity to identify, mobilise, and deploy that resource productively. This is precisely the “seizing” capability that Teece et al. (1997) place at the centre of Dynamic Capabilities Theory (Section 2.2.3): firms with stronger investment decision-making capabilities convert improved forex access into capital expenditure, and capital expenditure into performance gains, more fully and rapidly than firms without that capability. Financing constraints theory therefore explains why the mediator exists; dynamic capabilities theory explains why it functions — and both are needed to ground H4.</w:t>
      </w:r>
    </w:p>
    <w:p w14:paraId="291D3E97" w14:textId="77777777" w:rsidR="002238C0" w:rsidRPr="002238C0" w:rsidRDefault="002238C0" w:rsidP="002238C0">
      <w:pPr>
        <w:spacing w:after="200" w:line="480" w:lineRule="auto"/>
        <w:rPr>
          <w:rFonts w:cs="Times New Roman"/>
          <w:color w:val="000000" w:themeColor="text1"/>
        </w:rPr>
      </w:pPr>
      <w:r>
        <w:rPr>
          <w:rFonts w:eastAsia="Times New Roman" w:cs="Times New Roman"/>
        </w:rPr>
        <w:t xml:space="preserve">Empirical support for the first link comes mainly from the financing-constraints literature. Fazzari et al. (1988) and Love (2003) show that investment is more sensitive to internal funds where external finance is costly, and Duchin et al. (2010) show that the decline in investment after the 2008–2009 credit supply contraction was greatest among firms with low cash reserves or high net short-term debt. Héricourt and Poncet (2015) show that financial vulnerability magnifies the effect of currency shocks on firm activity. These findings support the plausibility that relaxing a forex </w:t>
        <w:lastRenderedPageBreak/>
        <w:t>constraint raises investment, but none concerns forex allocation in a downstream petroleum-import context, so they do not benchmark the present study's effect size.</w:t>
      </w:r>
    </w:p>
    <w:p w14:paraId="61F6E9EA" w14:textId="77777777" w:rsidR="002238C0" w:rsidRPr="002238C0" w:rsidRDefault="002238C0" w:rsidP="002238C0">
      <w:pPr>
        <w:spacing w:after="200" w:line="480" w:lineRule="auto"/>
        <w:rPr>
          <w:rFonts w:cs="Times New Roman"/>
          <w:color w:val="000000" w:themeColor="text1"/>
        </w:rPr>
      </w:pPr>
      <w:r>
        <w:rPr>
          <w:rFonts w:eastAsia="Times New Roman" w:cs="Times New Roman"/>
        </w:rPr>
        <w:t>Evidence for the second link is thinner. Investment typically affects output and profits only after a construction and commissioning period, the time to build documented by Kydland and Prescott (1982), and petroleum depots, storage tanks, bottling plants and retail outlets are multi-quarter projects. The reviewed literature contains no identified study that estimates, for African petroleum marketing firms, how long capital expenditure takes to affect profitability, and none tests an indirect pathway from an antecedent resource-access variable through investment to performance. Establishing the second link empirically is therefore part of the contribution of the present study's mediation model.</w:t>
      </w:r>
    </w:p>
    <w:p w14:paraId="5878A5A6" w14:textId="77777777" w:rsidR="002363FE" w:rsidRDefault="00CC0653">
      <w:pPr>
        <w:spacing w:after="240" w:line="480" w:lineRule="auto"/>
      </w:pPr>
      <w:r>
        <w:rPr>
          <w:rFonts w:eastAsia="Times New Roman" w:cs="Times New Roman"/>
        </w:rPr>
        <w:t>This time-to-build feature has a direct implication for how mediation should be tested. If forex becomes available in one quarter, it is unlikely that a storage facility or retail expansion is completed and affects ROA in the same quarter. A mediation model that relates forex accessibility, investment and performance contemporaneously would therefore misrepresent the mechanism; the indirect effect must be estimated with forex accessibility preceding investment and investment preceding performance.</w:t>
      </w:r>
    </w:p>
    <w:p w14:paraId="2777C3DF" w14:textId="77777777" w:rsidR="002238C0" w:rsidRPr="002238C0" w:rsidRDefault="002238C0" w:rsidP="002238C0">
      <w:pPr>
        <w:spacing w:after="200" w:line="480" w:lineRule="auto"/>
        <w:rPr>
          <w:rFonts w:cs="Times New Roman"/>
          <w:color w:val="000000" w:themeColor="text1"/>
        </w:rPr>
      </w:pPr>
      <w:r>
        <w:rPr>
          <w:rFonts w:eastAsia="Calibri" w:cs="Times New Roman"/>
          <w:color w:val="000000" w:themeColor="text1"/>
        </w:rPr>
        <w:t xml:space="preserve">Formal mediation analysis in financial research originates in Baron and Kenny’s (1986) causal-decomposition framework, whose four-step procedure remains widely cited but was shown by MacKinnon et al. (2002) to have low statistical power in finite samples. Preacher and Hayes (2008) address this by developing bootstrapped confidence intervals for the indirect effect, which achieve more accurate coverage than the Sobel (1982) test under the non-normal sampling distributions typical of indirect-effect estimators; Hayes (2018) integrates this approach into the now-standard </w:t>
        <w:lastRenderedPageBreak/>
        <w:t xml:space="preserve">PROCESS framework. The present study uses a percentile bootstrap with 5,000 replications in which whole firms are resampled, and reports the bias-corrected interval only as a sensitivity check, because the bias-corrected bootstrap can have inflated Type I error rates in small samples (Fritz et al., 2012). Because a significant indirect effect in observational data is not by itself proof of mediation, the study also reports the sensitivity analysis of Imai et al. (2010) and describes the estimate as an indirect association unless the conditions in Section 3.10.5 are met.</w:t>
      </w:r>
    </w:p>
    <w:p w14:paraId="38A21170" w14:textId="77777777" w:rsidR="002238C0" w:rsidRPr="002238C0" w:rsidRDefault="002238C0" w:rsidP="002238C0">
      <w:pPr>
        <w:spacing w:after="200" w:line="480" w:lineRule="auto"/>
        <w:rPr>
          <w:rFonts w:cs="Times New Roman"/>
          <w:color w:val="000000" w:themeColor="text1"/>
        </w:rPr>
      </w:pPr>
      <w:r>
        <w:rPr>
          <w:rFonts w:eastAsia="Times New Roman" w:cs="Times New Roman"/>
        </w:rPr>
        <w:t>Applications of this standard to the investment–performance relationship in Sub-Saharan Africa are rare in the reviewed literature, and no identified study uses forex accessibility as the antecedent variable. The present study therefore takes its methodological benchmark from the general mediation literature (Preacher &amp; Hayes, 2008; Hayes, 2018) and from the causal mediation framework of Imai et al. (2010), which makes explicit the assumptions under which an indirect effect can be given a causal interpretation.</w:t>
      </w:r>
    </w:p>
    <w:p w14:paraId="3C83BDD8" w14:textId="77777777" w:rsidR="002238C0" w:rsidRPr="002238C0" w:rsidRDefault="002238C0" w:rsidP="002238C0">
      <w:pPr>
        <w:spacing w:after="200" w:line="480" w:lineRule="auto"/>
        <w:rPr>
          <w:rFonts w:cs="Times New Roman"/>
          <w:color w:val="000000" w:themeColor="text1"/>
        </w:rPr>
      </w:pPr>
      <w:r>
        <w:rPr>
          <w:rFonts w:eastAsia="Times New Roman" w:cs="Times New Roman"/>
        </w:rPr>
        <w:t xml:space="preserve">To the best of the researcher's knowledge, no identified study tests whether investment decisions transmit the association between forex accessibility and performance, using bootstrapped indirect-effect inference with explicit temporal ordering and a sensitivity analysis for unobserved mediator–outcome confounding, for BIDECs, OMCs and LPGMCs in Ghana. This is the specific test that the present study's investment-channel model, grounded jointly in financing constraints and dynamic capabilities theory, is designed to conduct.</w:t>
      </w:r>
    </w:p>
    <w:p w14:paraId="2516DE3D" w14:textId="77777777" w:rsidR="002363FE" w:rsidRDefault="00CC0653">
      <w:pPr>
        <w:pStyle w:val="Heading3"/>
      </w:pPr>
      <w:bookmarkStart w:id="36" w:name="_TocRev036"/>
      <w:r>
        <w:t>2.3.6 Financial Risk as a Moderating Variable</w:t>
      </w:r>
      <w:bookmarkEnd w:id="36"/>
    </w:p>
    <w:p w14:paraId="79588AAC" w14:textId="77777777" w:rsidR="00977E1A" w:rsidRPr="00977E1A" w:rsidRDefault="00977E1A" w:rsidP="00977E1A">
      <w:pPr>
        <w:spacing w:after="200" w:line="480" w:lineRule="auto"/>
        <w:rPr>
          <w:rFonts w:cs="Times New Roman"/>
          <w:color w:val="000000" w:themeColor="text1"/>
        </w:rPr>
      </w:pPr>
      <w:r>
        <w:rPr>
          <w:rFonts w:eastAsia="Times New Roman" w:cs="Times New Roman"/>
        </w:rPr>
        <w:t xml:space="preserve">The theoretical basis for a direct relationship between financial risk and firm performance, Myers's (1977) debt overhang problem and Jensen and Meckling's (1976) agency costs of debt, is developed in Section 2.2.4 and is not repeated here. The empirical record shows that the direction of the leverage–performance relationship depends on context. Rajan and Zingales (1995) document a negative relationship between leverage and profitability across the G7 economies. In contrast, Fosu (2013), studying 257 South African firms over 1998–2009, finds that leverage has a positive and significant effect on performance and that product market competition strengthens this effect. In Ghana, Abor (2005), studying 22 firms listed on the Ghana Stock Exchange over </w:t>
        <w:lastRenderedPageBreak/>
        <w:t>1998–2002, finds that short-term debt and total debt are positively related to ROE, whereas long-term debt is negatively related to it.</w:t>
      </w:r>
    </w:p>
    <w:p w14:paraId="54CCD162" w14:textId="77777777" w:rsidR="00977E1A" w:rsidRPr="00977E1A" w:rsidRDefault="00977E1A" w:rsidP="00977E1A">
      <w:pPr>
        <w:spacing w:after="200" w:line="480" w:lineRule="auto"/>
        <w:rPr>
          <w:rFonts w:cs="Times New Roman"/>
          <w:color w:val="000000" w:themeColor="text1"/>
        </w:rPr>
      </w:pPr>
      <w:r>
        <w:rPr>
          <w:rFonts w:eastAsia="Times New Roman" w:cs="Times New Roman"/>
        </w:rPr>
        <w:t>None of these studies concerns petroleum marketing firms, and the reviewed literature contains no identified estimate of the leverage–performance relationship for Ghana's BIDECs, OMCs and LPGMCs. The mixed evidence suggests that the effect of financial risk depends on the maturity of debt and on the environment in which firms operate. This is why the present study measures financial risk with a composite index that includes debt maturity, and why it treats financial risk as a condition that may change the effects of other financial variables rather than only as a direct determinant.</w:t>
      </w:r>
    </w:p>
    <w:p w14:paraId="508981D4" w14:textId="77777777" w:rsidR="00977E1A" w:rsidRPr="00977E1A" w:rsidRDefault="00977E1A" w:rsidP="00977E1A">
      <w:pPr>
        <w:spacing w:after="200" w:line="480" w:lineRule="auto"/>
        <w:rPr>
          <w:rFonts w:cs="Times New Roman"/>
          <w:color w:val="000000" w:themeColor="text1"/>
        </w:rPr>
      </w:pPr>
      <w:r>
        <w:rPr>
          <w:rFonts w:eastAsia="Calibri" w:cs="Times New Roman"/>
          <w:color w:val="000000" w:themeColor="text1"/>
        </w:rPr>
        <w:t>Because financial risk has an established direct performance effect, it cannot be modelled only as an interaction term without first controlling for that direct effect — doing so would risk attributing genuine main-effect variance to the interaction. The present study therefore retains financial risk as both a direct determinant and, jointly with its interaction terms, a moderator: Section 3.10.6 specifies financial risk as a direct regressor alongside three interaction terms with forex accessibility, liquidity, and exchange rate volatility. The direct-effect literature reviewed above justifies the former; the moderation literature reviewed next justifies the latter.</w:t>
      </w:r>
    </w:p>
    <w:p w14:paraId="46468B11" w14:textId="77777777" w:rsidR="00977E1A" w:rsidRPr="00977E1A" w:rsidRDefault="00977E1A" w:rsidP="00977E1A">
      <w:pPr>
        <w:spacing w:after="200" w:line="480" w:lineRule="auto"/>
        <w:rPr>
          <w:rFonts w:cs="Times New Roman"/>
          <w:color w:val="000000" w:themeColor="text1"/>
        </w:rPr>
      </w:pPr>
      <w:r>
        <w:rPr>
          <w:rFonts w:eastAsia="Calibri" w:cs="Times New Roman"/>
          <w:color w:val="000000" w:themeColor="text1"/>
        </w:rPr>
        <w:t xml:space="preserve">The moderation hypothesis follows directly from the mechanism established in Section 2.2.4: Myers’s (1977) debt overhang problem implies that gains from improved forex access or liquidity accrue disproportionately to creditors in highly leveraged firms, blunting managers’ incentive to convert those gains into performance; Stulz’s (1990) optimal hedging model extends this to predict that firms unable to hedge — as is structurally the case for Ghana’s petroleum marketing firms — bear the full, unattenuated version of this effect. Evidence that hedging carries real value where it </w:t>
        <w:lastRenderedPageBreak/>
        <w:t>is available — Nance et al. (1993) and Allayannis et al. (2012) both find hedging positively associated with US firm value, with the premium larger under weaker governance — supports the mechanism indirectly: it establishes that the absence of hedging is not a neutral condition, which is what makes leverage-driven moderation plausible in a market where hedging instruments do not exist. Neither study, however, is itself a test of moderation.</w:t>
      </w:r>
    </w:p>
    <w:p w14:paraId="1B51D7FB" w14:textId="77777777" w:rsidR="00977E1A" w:rsidRPr="00977E1A" w:rsidRDefault="00977E1A" w:rsidP="00977E1A">
      <w:pPr>
        <w:spacing w:after="200" w:line="480" w:lineRule="auto"/>
        <w:rPr>
          <w:rFonts w:cs="Times New Roman"/>
          <w:color w:val="000000" w:themeColor="text1"/>
        </w:rPr>
      </w:pPr>
      <w:r>
        <w:rPr>
          <w:rFonts w:eastAsia="Times New Roman" w:cs="Times New Roman"/>
        </w:rPr>
        <w:t>More direct evidence comes from shock-based identification. Duchin et al. (2010), using the 2008–2009 credit supply contraction as a shock, find that the decline in investment was greatest for firms with low cash reserves or high net short-term debt, and Campello et al. (2010) find that financially constrained firms planned deeper cuts in spending during the crisis than unconstrained firms. These studies establish the general moderation mechanism, but they are not forex- or exchange-rate-specific.</w:t>
      </w:r>
    </w:p>
    <w:p w14:paraId="2DD772A1" w14:textId="77777777" w:rsidR="00977E1A" w:rsidRPr="00977E1A" w:rsidRDefault="00977E1A" w:rsidP="00977E1A">
      <w:pPr>
        <w:spacing w:after="200" w:line="480" w:lineRule="auto"/>
        <w:rPr>
          <w:rFonts w:cs="Times New Roman"/>
          <w:color w:val="000000" w:themeColor="text1"/>
        </w:rPr>
      </w:pPr>
      <w:r>
        <w:rPr>
          <w:rFonts w:eastAsia="Times New Roman" w:cs="Times New Roman"/>
        </w:rPr>
        <w:t>The reviewed literature contains no identified study that tests whether financial risk moderates the effects of forex accessibility, liquidity or exchange rate volatility on the performance of petroleum marketing firms in Sub-Saharan Africa. Related evidence makes such moderation plausible: Héricourt and Poncet (2015) show that currency volatility hurts financially vulnerable firms more, and Allayannis and Weston (2001) show that the ability to hedge currency risk is associated with higher firm value. Testing all three interactions, with forex accessibility, liquidity and exchange rate volatility, within a single dynamic panel specification for Ghana's BIDECs, OMCs and LPGMCs is what the moderation model in Section 3.10.6 is designed to provide.</w:t>
      </w:r>
    </w:p>
    <w:p w14:paraId="3D55580A" w14:textId="77777777" w:rsidR="002363FE" w:rsidRDefault="00CC0653">
      <w:pPr>
        <w:pStyle w:val="Heading3"/>
      </w:pPr>
      <w:bookmarkStart w:id="37" w:name="_TocRev037"/>
      <w:r>
        <w:t>2.3.7 Ghana-Specific Empirical Studies</w:t>
      </w:r>
      <w:bookmarkEnd w:id="37"/>
    </w:p>
    <w:p w14:paraId="0E1F5166" w14:textId="77777777" w:rsidR="00D60ADD" w:rsidRDefault="00D60ADD" w:rsidP="00607B9F">
      <w:pPr>
        <w:spacing w:line="480" w:lineRule="auto"/>
      </w:pPr>
      <w:r>
        <w:rPr>
          <w:rFonts w:eastAsia="Times New Roman" w:cs="Times New Roman"/>
        </w:rPr>
        <w:t xml:space="preserve">Published empirical research on the financial performance of Ghana's petroleum marketing firms is limited, and much of the relevant Ghanaian evidence comes from listed firms in other sectors. </w:t>
        <w:lastRenderedPageBreak/>
        <w:t>Abor (2005), using 22 firms listed on the Ghana Stock Exchange over 1998–2002, finds that short-term and total debt are positively related to ROE while long-term debt is negatively related to it. Akoto et al. (2013), using all 13 listed manufacturing firms over 2005–2009 and panel OLS regression, find that longer receivable periods reduce profitability, while the cash conversion cycle, current asset ratio, firm size and current asset turnover are positively related to it. Li et al. (2020), using 15 listed non-financial firms over 2008–2017 and random-effects GLS, find that the current ratio has a significant negative effect on ROE and that the two are linked by bidirectional Granger causality.</w:t>
      </w:r>
    </w:p>
    <w:p w14:paraId="628280C2" w14:textId="77777777" w:rsidR="00D60ADD" w:rsidRDefault="00D60ADD" w:rsidP="00607B9F">
      <w:pPr>
        <w:spacing w:line="480" w:lineRule="auto"/>
      </w:pPr>
      <w:r>
        <w:rPr>
          <w:rFonts w:eastAsia="Times New Roman" w:cs="Times New Roman"/>
        </w:rPr>
        <w:t>On the exchange rate, Alagidede and Ibrahim (2017) show that shocks to Ghana's real exchange rate are persistent and that excessive volatility harms economic growth, and Abdul-Mumuni (2016) finds that cedi depreciation reduces manufacturing output in both the short and the long run. The only identified study of Ghana's downstream petroleum firms is Najimu and Mahama (2022), who use annual data for Total Ghana and GOIL over 2008–2018 and find a long-run relationship between petroleum prices and the exchange rate and a positive association between the exchange rate and ROE.</w:t>
      </w:r>
    </w:p>
    <w:p w14:paraId="43926FFD" w14:textId="77777777" w:rsidR="00D60ADD" w:rsidRDefault="00D60ADD" w:rsidP="00607B9F">
      <w:pPr>
        <w:spacing w:line="480" w:lineRule="auto"/>
      </w:pPr>
      <w:r>
        <w:rPr>
          <w:rFonts w:eastAsia="Times New Roman" w:cs="Times New Roman"/>
        </w:rPr>
        <w:t>Taken together, the Ghanaian evidence has three features that shape the present study. First, it relies on small samples of listed firms, which excludes the many privately held BIDECs, OMCs and LPGMCs. Second, it uses static or single-equation methods with no correction for the reverse causality between financial conditions and profitability. Third, it does not examine forex accessibility directly, does not model liquidity non-linearly, and does not test mediation or moderation. These limitations define the empirical space the present study occupies.</w:t>
      </w:r>
    </w:p>
    <w:p w14:paraId="63DF0AC2" w14:textId="77777777" w:rsidR="002363FE" w:rsidRDefault="00CC0653">
      <w:pPr>
        <w:pStyle w:val="Heading3"/>
      </w:pPr>
      <w:bookmarkStart w:id="38" w:name="_TocRev038"/>
      <w:r>
        <w:lastRenderedPageBreak/>
        <w:t>2.3.8 Comparative Evidence from Nigeria, Côte d'Ivoire and East Africa</w:t>
      </w:r>
      <w:bookmarkEnd w:id="38"/>
    </w:p>
    <w:p w14:paraId="7EACAA1C" w14:textId="77777777" w:rsidR="00611540" w:rsidRPr="00611540" w:rsidRDefault="00611540" w:rsidP="00611540">
      <w:pPr>
        <w:spacing w:after="200" w:line="480" w:lineRule="auto"/>
        <w:rPr>
          <w:rFonts w:cs="Times New Roman"/>
          <w:color w:val="000000" w:themeColor="text1"/>
        </w:rPr>
      </w:pPr>
      <w:r>
        <w:rPr>
          <w:rFonts w:eastAsia="Times New Roman" w:cs="Times New Roman"/>
        </w:rPr>
        <w:t>Comparative evidence from other Sub-Saharan African economies provides context for interpreting Ghana-specific findings. In Nigeria, Alagbe et al. (2021) find that exchange rate changes had no significant effect on the ROA of 12 listed oil and gas companies over 2011–2020. In Kenya, Kikanga et al. (2024), surveying managers of 15 oil marketing companies, report that regulated maximum prices are associated with losses while subsidies raise revenues, illustrating how price regulation shapes the profitability of oil marketing firms. In South Africa, Fosu (2013) finds that leverage improves the performance of 257 firms over 1998–2009, more strongly where product market competition is intense.</w:t>
      </w:r>
    </w:p>
    <w:p w14:paraId="4106FB1E" w14:textId="77777777" w:rsidR="00611540" w:rsidRPr="00611540" w:rsidRDefault="00611540" w:rsidP="00611540">
      <w:pPr>
        <w:spacing w:after="200" w:line="480" w:lineRule="auto"/>
        <w:rPr>
          <w:rFonts w:cs="Times New Roman"/>
          <w:color w:val="000000" w:themeColor="text1"/>
        </w:rPr>
      </w:pPr>
      <w:r>
        <w:rPr>
          <w:rFonts w:eastAsia="Times New Roman" w:cs="Times New Roman"/>
        </w:rPr>
        <w:t>These comparisons carry two lessons. First, the effect of currency movements on petroleum firms depends on the regulatory pricing regime, which determines how far import costs can be passed on, so findings from one country cannot simply be transferred to another. Second, countries with fixed or managed exchange rate arrangements, such as those of the CFA franc zone, expose firms to different currency risk from that faced under Ghana's floating regime (Krugman &amp; Obstfeld, 2022). The conclusions of the present study are therefore scoped to floating or managed-floating regimes and are not claimed to generalise to fixed arrangements.</w:t>
      </w:r>
    </w:p>
    <w:p w14:paraId="43DC8CFC" w14:textId="77777777" w:rsidR="002363FE" w:rsidRDefault="00CC0653">
      <w:pPr>
        <w:pStyle w:val="Heading3"/>
      </w:pPr>
      <w:bookmarkStart w:id="39" w:name="_TocRev039"/>
      <w:r>
        <w:t>2.3.9 Evidence Matrix and Synthesis of the Empirical Literature</w:t>
      </w:r>
      <w:bookmarkEnd w:id="39"/>
    </w:p>
    <w:p w14:paraId="7F196647" w14:textId="77777777" w:rsidR="002363FE" w:rsidRDefault="00CC0653">
      <w:pPr>
        <w:spacing w:after="240" w:line="480" w:lineRule="auto"/>
      </w:pPr>
      <w:r>
        <w:rPr>
          <w:rFonts w:eastAsia="Times New Roman" w:cs="Times New Roman"/>
        </w:rPr>
        <w:t>To move from describing studies one after another to comparing them systematically, Table 2.2 summarises the principal empirical studies reviewed in this chapter by author, country, sector, sample, period, method, main variables, main finding, limitation and the gap the present study addresses. Only studies whose details could be verified against the original publication are included.</w:t>
      </w:r>
    </w:p>
    <w:p w14:paraId="0C759D9E" w14:textId="77777777" w:rsidR="002363FE" w:rsidRDefault="002363FE">
      <w:pPr>
        <w:sectPr w:rsidR="002363FE">
          <w:pgSz w:w="12240" w:h="15840"/>
          <w:pgMar w:top="1440" w:right="1440" w:bottom="1440" w:left="1440" w:header="720" w:footer="720" w:gutter="0"/>
          <w:pgNumType w:start="1"/>
          <w:cols w:space="720"/>
          <w:docGrid w:linePitch="360"/>
        </w:sectPr>
      </w:pPr>
    </w:p>
    <w:p w14:paraId="172C7890" w14:textId="77777777" w:rsidR="002363FE" w:rsidRDefault="00CC0653">
      <w:pPr>
        <w:keepNext/>
        <w:spacing w:before="240" w:after="120"/>
        <w:jc w:val="left"/>
      </w:pPr>
      <w:r>
        <w:rPr>
          <w:rFonts w:eastAsia="Times New Roman" w:cs="Times New Roman"/>
          <w:b/>
          <w:bCs/>
        </w:rPr>
        <w:lastRenderedPageBreak/>
        <w:t>Table 2.2: Evidence Matrix of Key Empirical Studies</w:t>
      </w:r>
    </w:p>
    <w:tbl>
      <w:tblPr>
        <w:tblStyle w:val="TableGrid"/>
        <w:tblW w:w="13150" w:type="dxa"/>
        <w:tblLayout w:type="fixed"/>
        <w:tblLook w:val="04A0" w:firstRow="1" w:lastRow="0" w:firstColumn="1" w:lastColumn="0" w:noHBand="0" w:noVBand="1"/>
      </w:tblPr>
      <w:tblGrid>
        <w:gridCol w:w="1450"/>
        <w:gridCol w:w="950"/>
        <w:gridCol w:w="1150"/>
        <w:gridCol w:w="850"/>
        <w:gridCol w:w="850"/>
        <w:gridCol w:w="1150"/>
        <w:gridCol w:w="1700"/>
        <w:gridCol w:w="1850"/>
        <w:gridCol w:w="1700"/>
        <w:gridCol w:w="1500"/>
      </w:tblGrid>
      <w:tr w:rsidR="002363FE" w14:paraId="558702E9" w14:textId="77777777">
        <w:trPr>
          <w:tblHeader/>
        </w:trPr>
        <w:tc>
          <w:tcPr>
            <w:tcW w:w="1450" w:type="dxa"/>
            <w:tcBorders>
              <w:top w:val="single" w:sz="4" w:space="0" w:color="8EA9C8"/>
              <w:left w:val="single" w:sz="4" w:space="0" w:color="8EA9C8"/>
              <w:bottom w:val="single" w:sz="4" w:space="0" w:color="8EA9C8"/>
              <w:right w:val="single" w:sz="4" w:space="0" w:color="8EA9C8"/>
            </w:tcBorders>
            <w:shd w:val="clear" w:color="auto" w:fill="1F3864"/>
          </w:tcPr>
          <w:p w14:paraId="2019EEB4" w14:textId="77777777" w:rsidR="002363FE" w:rsidRDefault="00CC0653">
            <w:pPr>
              <w:spacing w:before="30" w:after="30"/>
              <w:jc w:val="left"/>
            </w:pPr>
            <w:r>
              <w:rPr>
                <w:rFonts w:eastAsia="Times New Roman" w:cs="Times New Roman"/>
                <w:b/>
                <w:bCs/>
                <w:color w:val="FFFFFF"/>
                <w:sz w:val="15"/>
                <w:szCs w:val="15"/>
              </w:rPr>
              <w:t>Author (year)</w:t>
            </w:r>
          </w:p>
        </w:tc>
        <w:tc>
          <w:tcPr>
            <w:tcW w:w="950" w:type="dxa"/>
            <w:tcBorders>
              <w:top w:val="single" w:sz="4" w:space="0" w:color="8EA9C8"/>
              <w:left w:val="single" w:sz="4" w:space="0" w:color="8EA9C8"/>
              <w:bottom w:val="single" w:sz="4" w:space="0" w:color="8EA9C8"/>
              <w:right w:val="single" w:sz="4" w:space="0" w:color="8EA9C8"/>
            </w:tcBorders>
            <w:shd w:val="clear" w:color="auto" w:fill="1F3864"/>
          </w:tcPr>
          <w:p w14:paraId="1DE72052" w14:textId="77777777" w:rsidR="002363FE" w:rsidRDefault="00CC0653">
            <w:pPr>
              <w:spacing w:before="30" w:after="30"/>
              <w:jc w:val="left"/>
            </w:pPr>
            <w:r>
              <w:rPr>
                <w:rFonts w:eastAsia="Times New Roman" w:cs="Times New Roman"/>
                <w:b/>
                <w:bCs/>
                <w:color w:val="FFFFFF"/>
                <w:sz w:val="15"/>
                <w:szCs w:val="15"/>
              </w:rPr>
              <w:t>Country</w:t>
            </w:r>
          </w:p>
        </w:tc>
        <w:tc>
          <w:tcPr>
            <w:tcW w:w="1150" w:type="dxa"/>
            <w:tcBorders>
              <w:top w:val="single" w:sz="4" w:space="0" w:color="8EA9C8"/>
              <w:left w:val="single" w:sz="4" w:space="0" w:color="8EA9C8"/>
              <w:bottom w:val="single" w:sz="4" w:space="0" w:color="8EA9C8"/>
              <w:right w:val="single" w:sz="4" w:space="0" w:color="8EA9C8"/>
            </w:tcBorders>
            <w:shd w:val="clear" w:color="auto" w:fill="1F3864"/>
          </w:tcPr>
          <w:p w14:paraId="46CFB4B8" w14:textId="77777777" w:rsidR="002363FE" w:rsidRDefault="00CC0653">
            <w:pPr>
              <w:spacing w:before="30" w:after="30"/>
              <w:jc w:val="left"/>
            </w:pPr>
            <w:r>
              <w:rPr>
                <w:rFonts w:eastAsia="Times New Roman" w:cs="Times New Roman"/>
                <w:b/>
                <w:bCs/>
                <w:color w:val="FFFFFF"/>
                <w:sz w:val="15"/>
                <w:szCs w:val="15"/>
              </w:rPr>
              <w:t>Sector</w:t>
            </w:r>
          </w:p>
        </w:tc>
        <w:tc>
          <w:tcPr>
            <w:tcW w:w="850" w:type="dxa"/>
            <w:tcBorders>
              <w:top w:val="single" w:sz="4" w:space="0" w:color="8EA9C8"/>
              <w:left w:val="single" w:sz="4" w:space="0" w:color="8EA9C8"/>
              <w:bottom w:val="single" w:sz="4" w:space="0" w:color="8EA9C8"/>
              <w:right w:val="single" w:sz="4" w:space="0" w:color="8EA9C8"/>
            </w:tcBorders>
            <w:shd w:val="clear" w:color="auto" w:fill="1F3864"/>
          </w:tcPr>
          <w:p w14:paraId="2954C2E6" w14:textId="77777777" w:rsidR="002363FE" w:rsidRDefault="00CC0653">
            <w:pPr>
              <w:spacing w:before="30" w:after="30"/>
              <w:jc w:val="left"/>
            </w:pPr>
            <w:r>
              <w:rPr>
                <w:rFonts w:eastAsia="Times New Roman" w:cs="Times New Roman"/>
                <w:b/>
                <w:bCs/>
                <w:color w:val="FFFFFF"/>
                <w:sz w:val="15"/>
                <w:szCs w:val="15"/>
              </w:rPr>
              <w:t>Sample</w:t>
            </w:r>
          </w:p>
        </w:tc>
        <w:tc>
          <w:tcPr>
            <w:tcW w:w="850" w:type="dxa"/>
            <w:tcBorders>
              <w:top w:val="single" w:sz="4" w:space="0" w:color="8EA9C8"/>
              <w:left w:val="single" w:sz="4" w:space="0" w:color="8EA9C8"/>
              <w:bottom w:val="single" w:sz="4" w:space="0" w:color="8EA9C8"/>
              <w:right w:val="single" w:sz="4" w:space="0" w:color="8EA9C8"/>
            </w:tcBorders>
            <w:shd w:val="clear" w:color="auto" w:fill="1F3864"/>
          </w:tcPr>
          <w:p w14:paraId="33C5B30B" w14:textId="77777777" w:rsidR="002363FE" w:rsidRDefault="00CC0653">
            <w:pPr>
              <w:spacing w:before="30" w:after="30"/>
              <w:jc w:val="left"/>
            </w:pPr>
            <w:r>
              <w:rPr>
                <w:rFonts w:eastAsia="Times New Roman" w:cs="Times New Roman"/>
                <w:b/>
                <w:bCs/>
                <w:color w:val="FFFFFF"/>
                <w:sz w:val="15"/>
                <w:szCs w:val="15"/>
              </w:rPr>
              <w:t>Period</w:t>
            </w:r>
          </w:p>
        </w:tc>
        <w:tc>
          <w:tcPr>
            <w:tcW w:w="1150" w:type="dxa"/>
            <w:tcBorders>
              <w:top w:val="single" w:sz="4" w:space="0" w:color="8EA9C8"/>
              <w:left w:val="single" w:sz="4" w:space="0" w:color="8EA9C8"/>
              <w:bottom w:val="single" w:sz="4" w:space="0" w:color="8EA9C8"/>
              <w:right w:val="single" w:sz="4" w:space="0" w:color="8EA9C8"/>
            </w:tcBorders>
            <w:shd w:val="clear" w:color="auto" w:fill="1F3864"/>
          </w:tcPr>
          <w:p w14:paraId="42727D65" w14:textId="77777777" w:rsidR="002363FE" w:rsidRDefault="00CC0653">
            <w:pPr>
              <w:spacing w:before="30" w:after="30"/>
              <w:jc w:val="left"/>
            </w:pPr>
            <w:r>
              <w:rPr>
                <w:rFonts w:eastAsia="Times New Roman" w:cs="Times New Roman"/>
                <w:b/>
                <w:bCs/>
                <w:color w:val="FFFFFF"/>
                <w:sz w:val="15"/>
                <w:szCs w:val="15"/>
              </w:rPr>
              <w:t>Method</w:t>
            </w:r>
          </w:p>
        </w:tc>
        <w:tc>
          <w:tcPr>
            <w:tcW w:w="1700" w:type="dxa"/>
            <w:tcBorders>
              <w:top w:val="single" w:sz="4" w:space="0" w:color="8EA9C8"/>
              <w:left w:val="single" w:sz="4" w:space="0" w:color="8EA9C8"/>
              <w:bottom w:val="single" w:sz="4" w:space="0" w:color="8EA9C8"/>
              <w:right w:val="single" w:sz="4" w:space="0" w:color="8EA9C8"/>
            </w:tcBorders>
            <w:shd w:val="clear" w:color="auto" w:fill="1F3864"/>
          </w:tcPr>
          <w:p w14:paraId="3D4161B6" w14:textId="77777777" w:rsidR="002363FE" w:rsidRDefault="00CC0653">
            <w:pPr>
              <w:spacing w:before="30" w:after="30"/>
              <w:jc w:val="left"/>
            </w:pPr>
            <w:r>
              <w:rPr>
                <w:rFonts w:eastAsia="Times New Roman" w:cs="Times New Roman"/>
                <w:b/>
                <w:bCs/>
                <w:color w:val="FFFFFF"/>
                <w:sz w:val="15"/>
                <w:szCs w:val="15"/>
              </w:rPr>
              <w:t>Main variables</w:t>
            </w:r>
          </w:p>
        </w:tc>
        <w:tc>
          <w:tcPr>
            <w:tcW w:w="1850" w:type="dxa"/>
            <w:tcBorders>
              <w:top w:val="single" w:sz="4" w:space="0" w:color="8EA9C8"/>
              <w:left w:val="single" w:sz="4" w:space="0" w:color="8EA9C8"/>
              <w:bottom w:val="single" w:sz="4" w:space="0" w:color="8EA9C8"/>
              <w:right w:val="single" w:sz="4" w:space="0" w:color="8EA9C8"/>
            </w:tcBorders>
            <w:shd w:val="clear" w:color="auto" w:fill="1F3864"/>
          </w:tcPr>
          <w:p w14:paraId="104E4AAD" w14:textId="77777777" w:rsidR="002363FE" w:rsidRDefault="00CC0653">
            <w:pPr>
              <w:spacing w:before="30" w:after="30"/>
              <w:jc w:val="left"/>
            </w:pPr>
            <w:r>
              <w:rPr>
                <w:rFonts w:eastAsia="Times New Roman" w:cs="Times New Roman"/>
                <w:b/>
                <w:bCs/>
                <w:color w:val="FFFFFF"/>
                <w:sz w:val="15"/>
                <w:szCs w:val="15"/>
              </w:rPr>
              <w:t>Main finding</w:t>
            </w:r>
          </w:p>
        </w:tc>
        <w:tc>
          <w:tcPr>
            <w:tcW w:w="1700" w:type="dxa"/>
            <w:tcBorders>
              <w:top w:val="single" w:sz="4" w:space="0" w:color="8EA9C8"/>
              <w:left w:val="single" w:sz="4" w:space="0" w:color="8EA9C8"/>
              <w:bottom w:val="single" w:sz="4" w:space="0" w:color="8EA9C8"/>
              <w:right w:val="single" w:sz="4" w:space="0" w:color="8EA9C8"/>
            </w:tcBorders>
            <w:shd w:val="clear" w:color="auto" w:fill="1F3864"/>
          </w:tcPr>
          <w:p w14:paraId="2693943C" w14:textId="77777777" w:rsidR="002363FE" w:rsidRDefault="00CC0653">
            <w:pPr>
              <w:spacing w:before="30" w:after="30"/>
              <w:jc w:val="left"/>
            </w:pPr>
            <w:r>
              <w:rPr>
                <w:rFonts w:eastAsia="Times New Roman" w:cs="Times New Roman"/>
                <w:b/>
                <w:bCs/>
                <w:color w:val="FFFFFF"/>
                <w:sz w:val="15"/>
                <w:szCs w:val="15"/>
              </w:rPr>
              <w:t>Limitation</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06AA7CEB" w14:textId="77777777" w:rsidR="002363FE" w:rsidRDefault="00CC0653">
            <w:pPr>
              <w:spacing w:before="30" w:after="30"/>
              <w:jc w:val="left"/>
            </w:pPr>
            <w:r>
              <w:rPr>
                <w:rFonts w:eastAsia="Times New Roman" w:cs="Times New Roman"/>
                <w:b/>
                <w:bCs/>
                <w:color w:val="FFFFFF"/>
                <w:sz w:val="15"/>
                <w:szCs w:val="15"/>
              </w:rPr>
              <w:t>Gap addressed</w:t>
            </w:r>
          </w:p>
        </w:tc>
      </w:tr>
      <w:tr w:rsidR="002363FE" w14:paraId="711B86CB"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37877FAF" w14:textId="77777777" w:rsidR="002363FE" w:rsidRDefault="00CC0653">
            <w:pPr>
              <w:spacing w:before="30" w:after="30"/>
              <w:jc w:val="left"/>
            </w:pPr>
            <w:r>
              <w:rPr>
                <w:rFonts w:eastAsia="Times New Roman" w:cs="Times New Roman"/>
                <w:sz w:val="15"/>
                <w:szCs w:val="15"/>
              </w:rPr>
              <w:t>Abor (2005)</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643A2AA6"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2683067C" w14:textId="77777777" w:rsidR="002363FE" w:rsidRDefault="00CC0653">
            <w:pPr>
              <w:spacing w:before="30" w:after="30"/>
              <w:jc w:val="left"/>
            </w:pPr>
            <w:r>
              <w:rPr>
                <w:rFonts w:eastAsia="Times New Roman" w:cs="Times New Roman"/>
                <w:sz w:val="15"/>
                <w:szCs w:val="15"/>
              </w:rPr>
              <w:t>Listed firms (GSE)</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0B9C9745" w14:textId="77777777" w:rsidR="002363FE" w:rsidRDefault="00CC0653">
            <w:pPr>
              <w:spacing w:before="30" w:after="30"/>
              <w:jc w:val="left"/>
            </w:pPr>
            <w:r>
              <w:rPr>
                <w:rFonts w:eastAsia="Times New Roman" w:cs="Times New Roman"/>
                <w:sz w:val="15"/>
                <w:szCs w:val="15"/>
              </w:rPr>
              <w:t>22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163EBD7" w14:textId="77777777" w:rsidR="002363FE" w:rsidRDefault="00CC0653">
            <w:pPr>
              <w:spacing w:before="30" w:after="30"/>
              <w:jc w:val="left"/>
            </w:pPr>
            <w:r>
              <w:rPr>
                <w:rFonts w:eastAsia="Times New Roman" w:cs="Times New Roman"/>
                <w:sz w:val="15"/>
                <w:szCs w:val="15"/>
              </w:rPr>
              <w:t>1998–2002</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15B4C4E" w14:textId="77777777" w:rsidR="002363FE" w:rsidRDefault="00CC0653">
            <w:pPr>
              <w:spacing w:before="30" w:after="30"/>
              <w:jc w:val="left"/>
            </w:pPr>
            <w:r>
              <w:rPr>
                <w:rFonts w:eastAsia="Times New Roman" w:cs="Times New Roman"/>
                <w:sz w:val="15"/>
                <w:szCs w:val="15"/>
              </w:rPr>
              <w:t>Panel regression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668B24D3" w14:textId="77777777" w:rsidR="002363FE" w:rsidRDefault="00CC0653">
            <w:pPr>
              <w:spacing w:before="30" w:after="30"/>
              <w:jc w:val="left"/>
            </w:pPr>
            <w:r>
              <w:rPr>
                <w:rFonts w:eastAsia="Times New Roman" w:cs="Times New Roman"/>
                <w:sz w:val="15"/>
                <w:szCs w:val="15"/>
              </w:rPr>
              <w:t>Short-term, long-term and total debt → ROE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0310A05A" w14:textId="77777777" w:rsidR="002363FE" w:rsidRDefault="00CC0653">
            <w:pPr>
              <w:spacing w:before="30" w:after="30"/>
              <w:jc w:val="left"/>
            </w:pPr>
            <w:r>
              <w:rPr>
                <w:rFonts w:eastAsia="Times New Roman" w:cs="Times New Roman"/>
                <w:sz w:val="15"/>
                <w:szCs w:val="15"/>
              </w:rPr>
              <w:t>Short-term and total debt positive; long-term debt negative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FE44D2D" w14:textId="77777777" w:rsidR="002363FE" w:rsidRDefault="00CC0653">
            <w:pPr>
              <w:spacing w:before="30" w:after="30"/>
              <w:jc w:val="left"/>
            </w:pPr>
            <w:r>
              <w:rPr>
                <w:rFonts w:eastAsia="Times New Roman" w:cs="Times New Roman"/>
                <w:sz w:val="15"/>
                <w:szCs w:val="15"/>
              </w:rPr>
              <w:t>Listed firms only; static; not petroleum</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4717ED4" w14:textId="77777777" w:rsidR="002363FE" w:rsidRDefault="00CC0653">
            <w:pPr>
              <w:spacing w:before="30" w:after="30"/>
              <w:jc w:val="left"/>
            </w:pPr>
            <w:r>
              <w:rPr>
                <w:rFonts w:eastAsia="Times New Roman" w:cs="Times New Roman"/>
                <w:sz w:val="15"/>
                <w:szCs w:val="15"/>
              </w:rPr>
              <w:t>Debt maturity in risk index; petroleum firms</w:t>
            </w:r>
          </w:p>
        </w:tc>
      </w:tr>
      <w:tr w:rsidR="002363FE" w14:paraId="0B73C093"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480F1CA5" w14:textId="77777777" w:rsidR="002363FE" w:rsidRDefault="00CC0653">
            <w:pPr>
              <w:spacing w:before="30" w:after="30"/>
              <w:jc w:val="left"/>
            </w:pPr>
            <w:r>
              <w:rPr>
                <w:rFonts w:eastAsia="Times New Roman" w:cs="Times New Roman"/>
                <w:sz w:val="15"/>
                <w:szCs w:val="15"/>
              </w:rPr>
              <w:t>Akoto et al. (2013)</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06CACC5F"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2D0F179A" w14:textId="77777777" w:rsidR="002363FE" w:rsidRDefault="00CC0653">
            <w:pPr>
              <w:spacing w:before="30" w:after="30"/>
              <w:jc w:val="left"/>
            </w:pPr>
            <w:r>
              <w:rPr>
                <w:rFonts w:eastAsia="Times New Roman" w:cs="Times New Roman"/>
                <w:sz w:val="15"/>
                <w:szCs w:val="15"/>
              </w:rPr>
              <w:t>Listed manufacturing</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3709468A" w14:textId="77777777" w:rsidR="002363FE" w:rsidRDefault="00CC0653">
            <w:pPr>
              <w:spacing w:before="30" w:after="30"/>
              <w:jc w:val="left"/>
            </w:pPr>
            <w:r>
              <w:rPr>
                <w:rFonts w:eastAsia="Times New Roman" w:cs="Times New Roman"/>
                <w:sz w:val="15"/>
                <w:szCs w:val="15"/>
              </w:rPr>
              <w:t>13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9E3DC91" w14:textId="77777777" w:rsidR="002363FE" w:rsidRDefault="00CC0653">
            <w:pPr>
              <w:spacing w:before="30" w:after="30"/>
              <w:jc w:val="left"/>
            </w:pPr>
            <w:r>
              <w:rPr>
                <w:rFonts w:eastAsia="Times New Roman" w:cs="Times New Roman"/>
                <w:sz w:val="15"/>
                <w:szCs w:val="15"/>
              </w:rPr>
              <w:t>2005–2009</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591AEF9" w14:textId="77777777" w:rsidR="002363FE" w:rsidRDefault="00CC0653">
            <w:pPr>
              <w:spacing w:before="30" w:after="30"/>
              <w:jc w:val="left"/>
            </w:pPr>
            <w:r>
              <w:rPr>
                <w:rFonts w:eastAsia="Times New Roman" w:cs="Times New Roman"/>
                <w:sz w:val="15"/>
                <w:szCs w:val="15"/>
              </w:rPr>
              <w:t>Panel OLS</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30F24985" w14:textId="77777777" w:rsidR="002363FE" w:rsidRDefault="00CC0653">
            <w:pPr>
              <w:spacing w:before="30" w:after="30"/>
              <w:jc w:val="left"/>
            </w:pPr>
            <w:r>
              <w:rPr>
                <w:rFonts w:eastAsia="Times New Roman" w:cs="Times New Roman"/>
                <w:sz w:val="15"/>
                <w:szCs w:val="15"/>
              </w:rPr>
              <w:t>Receivable days, CCC, current asset ratio, size → profitability</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59FB3C98" w14:textId="77777777" w:rsidR="002363FE" w:rsidRDefault="00CC0653">
            <w:pPr>
              <w:spacing w:before="30" w:after="30"/>
              <w:jc w:val="left"/>
            </w:pPr>
            <w:r>
              <w:rPr>
                <w:rFonts w:eastAsia="Times New Roman" w:cs="Times New Roman"/>
                <w:sz w:val="15"/>
                <w:szCs w:val="15"/>
              </w:rPr>
              <w:t>Receivable days negative; CCC, current asset ratio and size positive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65085C9" w14:textId="77777777" w:rsidR="002363FE" w:rsidRDefault="00CC0653">
            <w:pPr>
              <w:spacing w:before="30" w:after="30"/>
              <w:jc w:val="left"/>
            </w:pPr>
            <w:r>
              <w:rPr>
                <w:rFonts w:eastAsia="Times New Roman" w:cs="Times New Roman"/>
                <w:sz w:val="15"/>
                <w:szCs w:val="15"/>
              </w:rPr>
              <w:t>Small sample; linear; manufacturing</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2A293F72" w14:textId="77777777" w:rsidR="002363FE" w:rsidRDefault="00CC0653">
            <w:pPr>
              <w:spacing w:before="30" w:after="30"/>
              <w:jc w:val="left"/>
            </w:pPr>
            <w:r>
              <w:rPr>
                <w:rFonts w:eastAsia="Times New Roman" w:cs="Times New Roman"/>
                <w:sz w:val="15"/>
                <w:szCs w:val="15"/>
              </w:rPr>
              <w:t>Non-linear liquidity in petroleum firms</w:t>
            </w:r>
          </w:p>
        </w:tc>
      </w:tr>
      <w:tr w:rsidR="002363FE" w14:paraId="64FACBFA"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72AF77CE" w14:textId="77777777" w:rsidR="002363FE" w:rsidRDefault="00CC0653">
            <w:pPr>
              <w:spacing w:before="30" w:after="30"/>
              <w:jc w:val="left"/>
            </w:pPr>
            <w:r>
              <w:rPr>
                <w:rFonts w:eastAsia="Times New Roman" w:cs="Times New Roman"/>
                <w:sz w:val="15"/>
                <w:szCs w:val="15"/>
              </w:rPr>
              <w:t>Li et al. (2020)</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09400B6"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8EC2F17" w14:textId="77777777" w:rsidR="002363FE" w:rsidRDefault="00CC0653">
            <w:pPr>
              <w:spacing w:before="30" w:after="30"/>
              <w:jc w:val="left"/>
            </w:pPr>
            <w:r>
              <w:rPr>
                <w:rFonts w:eastAsia="Times New Roman" w:cs="Times New Roman"/>
                <w:sz w:val="15"/>
                <w:szCs w:val="15"/>
              </w:rPr>
              <w:t>Listed non-financial</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7D7718D" w14:textId="77777777" w:rsidR="002363FE" w:rsidRDefault="00CC0653">
            <w:pPr>
              <w:spacing w:before="30" w:after="30"/>
              <w:jc w:val="left"/>
            </w:pPr>
            <w:r>
              <w:rPr>
                <w:rFonts w:eastAsia="Times New Roman" w:cs="Times New Roman"/>
                <w:sz w:val="15"/>
                <w:szCs w:val="15"/>
              </w:rPr>
              <w:t>15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F2C1327" w14:textId="77777777" w:rsidR="002363FE" w:rsidRDefault="00CC0653">
            <w:pPr>
              <w:spacing w:before="30" w:after="30"/>
              <w:jc w:val="left"/>
            </w:pPr>
            <w:r>
              <w:rPr>
                <w:rFonts w:eastAsia="Times New Roman" w:cs="Times New Roman"/>
                <w:sz w:val="15"/>
                <w:szCs w:val="15"/>
              </w:rPr>
              <w:t>2008–2017</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78E78C6A" w14:textId="77777777" w:rsidR="002363FE" w:rsidRDefault="00CC0653">
            <w:pPr>
              <w:spacing w:before="30" w:after="30"/>
              <w:jc w:val="left"/>
            </w:pPr>
            <w:r>
              <w:rPr>
                <w:rFonts w:eastAsia="Times New Roman" w:cs="Times New Roman"/>
                <w:sz w:val="15"/>
                <w:szCs w:val="15"/>
              </w:rPr>
              <w:t>Random-effects GLS; Granger causality</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6602C920" w14:textId="77777777" w:rsidR="002363FE" w:rsidRDefault="00CC0653">
            <w:pPr>
              <w:spacing w:before="30" w:after="30"/>
              <w:jc w:val="left"/>
            </w:pPr>
            <w:r>
              <w:rPr>
                <w:rFonts w:eastAsia="Times New Roman" w:cs="Times New Roman"/>
                <w:sz w:val="15"/>
                <w:szCs w:val="15"/>
              </w:rPr>
              <w:t>Current ratio, cash-flow ratio → ROE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13EAABF7" w14:textId="77777777" w:rsidR="002363FE" w:rsidRDefault="00CC0653">
            <w:pPr>
              <w:spacing w:before="30" w:after="30"/>
              <w:jc w:val="left"/>
            </w:pPr>
            <w:r>
              <w:rPr>
                <w:rFonts w:eastAsia="Times New Roman" w:cs="Times New Roman"/>
                <w:sz w:val="15"/>
                <w:szCs w:val="15"/>
              </w:rPr>
              <w:t>Current ratio negative; cash-flow ratio insignificant; two-way causality</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CD3E651" w14:textId="77777777" w:rsidR="002363FE" w:rsidRDefault="00CC0653">
            <w:pPr>
              <w:spacing w:before="30" w:after="30"/>
              <w:jc w:val="left"/>
            </w:pPr>
            <w:r>
              <w:rPr>
                <w:rFonts w:eastAsia="Times New Roman" w:cs="Times New Roman"/>
                <w:sz w:val="15"/>
                <w:szCs w:val="15"/>
              </w:rPr>
              <w:t>Linear; reverse causality not corrected</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5837851F" w14:textId="77777777" w:rsidR="002363FE" w:rsidRDefault="00CC0653">
            <w:pPr>
              <w:spacing w:before="30" w:after="30"/>
              <w:jc w:val="left"/>
            </w:pPr>
            <w:r>
              <w:rPr>
                <w:rFonts w:eastAsia="Times New Roman" w:cs="Times New Roman"/>
                <w:sz w:val="15"/>
                <w:szCs w:val="15"/>
              </w:rPr>
              <w:t>GMM with LV²</w:t>
            </w:r>
          </w:p>
        </w:tc>
      </w:tr>
      <w:tr w:rsidR="002363FE" w14:paraId="22A4FCAA"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04702E3C" w14:textId="77777777" w:rsidR="002363FE" w:rsidRDefault="00CC0653">
            <w:pPr>
              <w:spacing w:before="30" w:after="30"/>
              <w:jc w:val="left"/>
            </w:pPr>
            <w:r>
              <w:rPr>
                <w:rFonts w:eastAsia="Times New Roman" w:cs="Times New Roman"/>
                <w:sz w:val="15"/>
                <w:szCs w:val="15"/>
              </w:rPr>
              <w:t>Najimu &amp; Mahama (2022)</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EAA634D"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9B060F5" w14:textId="77777777" w:rsidR="002363FE" w:rsidRDefault="00CC0653">
            <w:pPr>
              <w:spacing w:before="30" w:after="30"/>
              <w:jc w:val="left"/>
            </w:pPr>
            <w:r>
              <w:rPr>
                <w:rFonts w:eastAsia="Times New Roman" w:cs="Times New Roman"/>
                <w:sz w:val="15"/>
                <w:szCs w:val="15"/>
              </w:rPr>
              <w:t>Oil marketing (Total Ghana, GOIL)</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0E8464A2" w14:textId="77777777" w:rsidR="002363FE" w:rsidRDefault="00CC0653">
            <w:pPr>
              <w:spacing w:before="30" w:after="30"/>
              <w:jc w:val="left"/>
            </w:pPr>
            <w:r>
              <w:rPr>
                <w:rFonts w:eastAsia="Times New Roman" w:cs="Times New Roman"/>
                <w:sz w:val="15"/>
                <w:szCs w:val="15"/>
              </w:rPr>
              <w:t>2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08155539" w14:textId="77777777" w:rsidR="002363FE" w:rsidRDefault="00CC0653">
            <w:pPr>
              <w:spacing w:before="30" w:after="30"/>
              <w:jc w:val="left"/>
            </w:pPr>
            <w:r>
              <w:rPr>
                <w:rFonts w:eastAsia="Times New Roman" w:cs="Times New Roman"/>
                <w:sz w:val="15"/>
                <w:szCs w:val="15"/>
              </w:rPr>
              <w:t>2008–2018</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573324A" w14:textId="77777777" w:rsidR="002363FE" w:rsidRDefault="00CC0653">
            <w:pPr>
              <w:spacing w:before="30" w:after="30"/>
              <w:jc w:val="left"/>
            </w:pPr>
            <w:r>
              <w:rPr>
                <w:rFonts w:eastAsia="Times New Roman" w:cs="Times New Roman"/>
                <w:sz w:val="15"/>
                <w:szCs w:val="15"/>
              </w:rPr>
              <w:t>Regression; correlation; Johansen cointegration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F5D1EC5" w14:textId="77777777" w:rsidR="002363FE" w:rsidRDefault="00CC0653">
            <w:pPr>
              <w:spacing w:before="30" w:after="30"/>
              <w:jc w:val="left"/>
            </w:pPr>
            <w:r>
              <w:rPr>
                <w:rFonts w:eastAsia="Times New Roman" w:cs="Times New Roman"/>
                <w:sz w:val="15"/>
                <w:szCs w:val="15"/>
              </w:rPr>
              <w:t>Exchange rate, crude oil price, inflation, interest rate, GDP → ROE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527235E5" w14:textId="77777777" w:rsidR="002363FE" w:rsidRDefault="00CC0653">
            <w:pPr>
              <w:spacing w:before="30" w:after="30"/>
              <w:jc w:val="left"/>
            </w:pPr>
            <w:r>
              <w:rPr>
                <w:rFonts w:eastAsia="Times New Roman" w:cs="Times New Roman"/>
                <w:sz w:val="15"/>
                <w:szCs w:val="15"/>
              </w:rPr>
              <w:t>Exchange rate positive; long-run link between petroleum prices and exchange rate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28A733A" w14:textId="77777777" w:rsidR="002363FE" w:rsidRDefault="00CC0653">
            <w:pPr>
              <w:spacing w:before="30" w:after="30"/>
              <w:jc w:val="left"/>
            </w:pPr>
            <w:r>
              <w:rPr>
                <w:rFonts w:eastAsia="Times New Roman" w:cs="Times New Roman"/>
                <w:sz w:val="15"/>
                <w:szCs w:val="15"/>
              </w:rPr>
              <w:t>Two firms; annual; level not volatility</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473342A" w14:textId="77777777" w:rsidR="002363FE" w:rsidRDefault="00CC0653">
            <w:pPr>
              <w:spacing w:before="30" w:after="30"/>
              <w:jc w:val="left"/>
            </w:pPr>
            <w:r>
              <w:rPr>
                <w:rFonts w:eastAsia="Times New Roman" w:cs="Times New Roman"/>
                <w:sz w:val="15"/>
                <w:szCs w:val="15"/>
              </w:rPr>
              <w:t>Firm panel; GARCH volatility; all categories</w:t>
            </w:r>
          </w:p>
        </w:tc>
      </w:tr>
      <w:tr w:rsidR="002363FE" w14:paraId="4D203417"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2E7DC23A" w14:textId="77777777" w:rsidR="002363FE" w:rsidRDefault="00CC0653">
            <w:pPr>
              <w:spacing w:before="30" w:after="30"/>
              <w:jc w:val="left"/>
            </w:pPr>
            <w:r>
              <w:rPr>
                <w:rFonts w:eastAsia="Times New Roman" w:cs="Times New Roman"/>
                <w:sz w:val="15"/>
                <w:szCs w:val="15"/>
              </w:rPr>
              <w:t>Abdul-Mumuni (2016)</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2990F4F4"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911EBDD" w14:textId="77777777" w:rsidR="002363FE" w:rsidRDefault="00CC0653">
            <w:pPr>
              <w:spacing w:before="30" w:after="30"/>
              <w:jc w:val="left"/>
            </w:pPr>
            <w:r>
              <w:rPr>
                <w:rFonts w:eastAsia="Times New Roman" w:cs="Times New Roman"/>
                <w:sz w:val="15"/>
                <w:szCs w:val="15"/>
              </w:rPr>
              <w:t>Manufacturing sector</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F92521A" w14:textId="77777777" w:rsidR="002363FE" w:rsidRDefault="00CC0653">
            <w:pPr>
              <w:spacing w:before="30" w:after="30"/>
              <w:jc w:val="left"/>
            </w:pPr>
            <w:r>
              <w:rPr>
                <w:rFonts w:eastAsia="Times New Roman" w:cs="Times New Roman"/>
                <w:sz w:val="15"/>
                <w:szCs w:val="15"/>
              </w:rPr>
              <w:t>Sector aggregate</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2B64A0F7" w14:textId="77777777" w:rsidR="002363FE" w:rsidRDefault="00CC0653">
            <w:pPr>
              <w:spacing w:before="30" w:after="30"/>
              <w:jc w:val="left"/>
            </w:pPr>
            <w:r>
              <w:rPr>
                <w:rFonts w:eastAsia="Times New Roman" w:cs="Times New Roman"/>
                <w:sz w:val="15"/>
                <w:szCs w:val="15"/>
              </w:rPr>
              <w:t>1986–2013</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E7FDE66" w14:textId="77777777" w:rsidR="002363FE" w:rsidRDefault="00CC0653">
            <w:pPr>
              <w:spacing w:before="30" w:after="30"/>
              <w:jc w:val="left"/>
            </w:pPr>
            <w:r>
              <w:rPr>
                <w:rFonts w:eastAsia="Times New Roman" w:cs="Times New Roman"/>
                <w:sz w:val="15"/>
                <w:szCs w:val="15"/>
              </w:rPr>
              <w:t>ARDL</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A83D183" w14:textId="77777777" w:rsidR="002363FE" w:rsidRDefault="00CC0653">
            <w:pPr>
              <w:spacing w:before="30" w:after="30"/>
              <w:jc w:val="left"/>
            </w:pPr>
            <w:r>
              <w:rPr>
                <w:rFonts w:eastAsia="Times New Roman" w:cs="Times New Roman"/>
                <w:sz w:val="15"/>
                <w:szCs w:val="15"/>
              </w:rPr>
              <w:t>Exchange rate → manufacturing output</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4E095BFE" w14:textId="77777777" w:rsidR="002363FE" w:rsidRDefault="00CC0653">
            <w:pPr>
              <w:spacing w:before="30" w:after="30"/>
              <w:jc w:val="left"/>
            </w:pPr>
            <w:r>
              <w:rPr>
                <w:rFonts w:eastAsia="Times New Roman" w:cs="Times New Roman"/>
                <w:sz w:val="15"/>
                <w:szCs w:val="15"/>
              </w:rPr>
              <w:t>Depreciation harms output; appreciation helps</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581AEB1A" w14:textId="77777777" w:rsidR="002363FE" w:rsidRDefault="00CC0653">
            <w:pPr>
              <w:spacing w:before="30" w:after="30"/>
              <w:jc w:val="left"/>
            </w:pPr>
            <w:r>
              <w:rPr>
                <w:rFonts w:eastAsia="Times New Roman" w:cs="Times New Roman"/>
                <w:sz w:val="15"/>
                <w:szCs w:val="15"/>
              </w:rPr>
              <w:t>Aggregate data; level not volatility</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BBA1765" w14:textId="77777777" w:rsidR="002363FE" w:rsidRDefault="00CC0653">
            <w:pPr>
              <w:spacing w:before="30" w:after="30"/>
              <w:jc w:val="left"/>
            </w:pPr>
            <w:r>
              <w:rPr>
                <w:rFonts w:eastAsia="Times New Roman" w:cs="Times New Roman"/>
                <w:sz w:val="15"/>
                <w:szCs w:val="15"/>
              </w:rPr>
              <w:t>Firm-level volatility and exposure</w:t>
            </w:r>
          </w:p>
        </w:tc>
      </w:tr>
      <w:tr w:rsidR="002363FE" w14:paraId="486C3FDD"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677B2B3F" w14:textId="77777777" w:rsidR="002363FE" w:rsidRDefault="00CC0653">
            <w:pPr>
              <w:spacing w:before="30" w:after="30"/>
              <w:jc w:val="left"/>
            </w:pPr>
            <w:r>
              <w:rPr>
                <w:rFonts w:eastAsia="Times New Roman" w:cs="Times New Roman"/>
                <w:sz w:val="15"/>
                <w:szCs w:val="15"/>
              </w:rPr>
              <w:t>Alagbe et al. (2021)</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7B37085E" w14:textId="77777777" w:rsidR="002363FE" w:rsidRDefault="00CC0653">
            <w:pPr>
              <w:spacing w:before="30" w:after="30"/>
              <w:jc w:val="left"/>
            </w:pPr>
            <w:r>
              <w:rPr>
                <w:rFonts w:eastAsia="Times New Roman" w:cs="Times New Roman"/>
                <w:sz w:val="15"/>
                <w:szCs w:val="15"/>
              </w:rPr>
              <w:t>Nigeria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0949015A" w14:textId="77777777" w:rsidR="002363FE" w:rsidRDefault="00CC0653">
            <w:pPr>
              <w:spacing w:before="30" w:after="30"/>
              <w:jc w:val="left"/>
            </w:pPr>
            <w:r>
              <w:rPr>
                <w:rFonts w:eastAsia="Times New Roman" w:cs="Times New Roman"/>
                <w:sz w:val="15"/>
                <w:szCs w:val="15"/>
              </w:rPr>
              <w:t>Listed oil and gas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50C58F45" w14:textId="77777777" w:rsidR="002363FE" w:rsidRDefault="00CC0653">
            <w:pPr>
              <w:spacing w:before="30" w:after="30"/>
              <w:jc w:val="left"/>
            </w:pPr>
            <w:r>
              <w:rPr>
                <w:rFonts w:eastAsia="Times New Roman" w:cs="Times New Roman"/>
                <w:sz w:val="15"/>
                <w:szCs w:val="15"/>
              </w:rPr>
              <w:t>12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46161F09" w14:textId="77777777" w:rsidR="002363FE" w:rsidRDefault="00CC0653">
            <w:pPr>
              <w:spacing w:before="30" w:after="30"/>
              <w:jc w:val="left"/>
            </w:pPr>
            <w:r>
              <w:rPr>
                <w:rFonts w:eastAsia="Times New Roman" w:cs="Times New Roman"/>
                <w:sz w:val="15"/>
                <w:szCs w:val="15"/>
              </w:rPr>
              <w:t>2011–2020</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9B1755C" w14:textId="77777777" w:rsidR="002363FE" w:rsidRDefault="00CC0653">
            <w:pPr>
              <w:spacing w:before="30" w:after="30"/>
              <w:jc w:val="left"/>
            </w:pPr>
            <w:r>
              <w:rPr>
                <w:rFonts w:eastAsia="Times New Roman" w:cs="Times New Roman"/>
                <w:sz w:val="15"/>
                <w:szCs w:val="15"/>
              </w:rPr>
              <w:t>PLS-SEM</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7F02324" w14:textId="77777777" w:rsidR="002363FE" w:rsidRDefault="00CC0653">
            <w:pPr>
              <w:spacing w:before="30" w:after="30"/>
              <w:jc w:val="left"/>
            </w:pPr>
            <w:r>
              <w:rPr>
                <w:rFonts w:eastAsia="Times New Roman" w:cs="Times New Roman"/>
                <w:sz w:val="15"/>
                <w:szCs w:val="15"/>
              </w:rPr>
              <w:t>Exchange rate changes → ROA</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2280D1F4" w14:textId="77777777" w:rsidR="002363FE" w:rsidRDefault="00CC0653">
            <w:pPr>
              <w:spacing w:before="30" w:after="30"/>
              <w:jc w:val="left"/>
            </w:pPr>
            <w:r>
              <w:rPr>
                <w:rFonts w:eastAsia="Times New Roman" w:cs="Times New Roman"/>
                <w:sz w:val="15"/>
                <w:szCs w:val="15"/>
              </w:rPr>
              <w:t>No significant effect</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4303481F" w14:textId="77777777" w:rsidR="002363FE" w:rsidRDefault="00CC0653">
            <w:pPr>
              <w:spacing w:before="30" w:after="30"/>
              <w:jc w:val="left"/>
            </w:pPr>
            <w:r>
              <w:rPr>
                <w:rFonts w:eastAsia="Times New Roman" w:cs="Times New Roman"/>
                <w:sz w:val="15"/>
                <w:szCs w:val="15"/>
              </w:rPr>
              <w:t>Small sample; no volatility model; no mechanisms</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FF295DD" w14:textId="77777777" w:rsidR="002363FE" w:rsidRDefault="00CC0653">
            <w:pPr>
              <w:spacing w:before="30" w:after="30"/>
              <w:jc w:val="left"/>
            </w:pPr>
            <w:r>
              <w:rPr>
                <w:rFonts w:eastAsia="Times New Roman" w:cs="Times New Roman"/>
                <w:sz w:val="15"/>
                <w:szCs w:val="15"/>
              </w:rPr>
              <w:t>Volatility, mediation and moderation</w:t>
            </w:r>
          </w:p>
        </w:tc>
      </w:tr>
      <w:tr w:rsidR="002363FE" w14:paraId="0C62ED62"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7BDACF6F" w14:textId="77777777" w:rsidR="002363FE" w:rsidRDefault="00CC0653">
            <w:pPr>
              <w:spacing w:before="30" w:after="30"/>
              <w:jc w:val="left"/>
            </w:pPr>
            <w:r>
              <w:rPr>
                <w:rFonts w:eastAsia="Times New Roman" w:cs="Times New Roman"/>
                <w:sz w:val="15"/>
                <w:szCs w:val="15"/>
              </w:rPr>
              <w:t>Kikanga et al. (2024)</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1454C07A" w14:textId="77777777" w:rsidR="002363FE" w:rsidRDefault="00CC0653">
            <w:pPr>
              <w:spacing w:before="30" w:after="30"/>
              <w:jc w:val="left"/>
            </w:pPr>
            <w:r>
              <w:rPr>
                <w:rFonts w:eastAsia="Times New Roman" w:cs="Times New Roman"/>
                <w:sz w:val="15"/>
                <w:szCs w:val="15"/>
              </w:rPr>
              <w:t>Kenya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1268B235" w14:textId="77777777" w:rsidR="002363FE" w:rsidRDefault="00CC0653">
            <w:pPr>
              <w:spacing w:before="30" w:after="30"/>
              <w:jc w:val="left"/>
            </w:pPr>
            <w:r>
              <w:rPr>
                <w:rFonts w:eastAsia="Times New Roman" w:cs="Times New Roman"/>
                <w:sz w:val="15"/>
                <w:szCs w:val="15"/>
              </w:rPr>
              <w:t>Oil marketing companies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55896355" w14:textId="77777777" w:rsidR="002363FE" w:rsidRDefault="00CC0653">
            <w:pPr>
              <w:spacing w:before="30" w:after="30"/>
              <w:jc w:val="left"/>
            </w:pPr>
            <w:r>
              <w:rPr>
                <w:rFonts w:eastAsia="Times New Roman" w:cs="Times New Roman"/>
                <w:sz w:val="15"/>
                <w:szCs w:val="15"/>
              </w:rPr>
              <w:t>40 managers in 15 OMCs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2B4AA0B" w14:textId="77777777" w:rsidR="002363FE" w:rsidRDefault="00CC0653">
            <w:pPr>
              <w:spacing w:before="30" w:after="30"/>
              <w:jc w:val="left"/>
            </w:pPr>
            <w:r>
              <w:rPr>
                <w:rFonts w:eastAsia="Times New Roman" w:cs="Times New Roman"/>
                <w:sz w:val="15"/>
                <w:szCs w:val="15"/>
              </w:rPr>
              <w:t>2024 survey</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7EC2CA2" w14:textId="77777777" w:rsidR="002363FE" w:rsidRDefault="00CC0653">
            <w:pPr>
              <w:spacing w:before="30" w:after="30"/>
              <w:jc w:val="left"/>
            </w:pPr>
            <w:r>
              <w:rPr>
                <w:rFonts w:eastAsia="Times New Roman" w:cs="Times New Roman"/>
                <w:sz w:val="15"/>
                <w:szCs w:val="15"/>
              </w:rPr>
              <w:t>Questionnaire; multiple regression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7A790503" w14:textId="77777777" w:rsidR="002363FE" w:rsidRDefault="00CC0653">
            <w:pPr>
              <w:spacing w:before="30" w:after="30"/>
              <w:jc w:val="left"/>
            </w:pPr>
            <w:r>
              <w:rPr>
                <w:rFonts w:eastAsia="Times New Roman" w:cs="Times New Roman"/>
                <w:sz w:val="15"/>
                <w:szCs w:val="15"/>
              </w:rPr>
              <w:t>Fuel price controls → financial performance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0FC22CD8" w14:textId="77777777" w:rsidR="002363FE" w:rsidRDefault="00CC0653">
            <w:pPr>
              <w:spacing w:before="30" w:after="30"/>
              <w:jc w:val="left"/>
            </w:pPr>
            <w:r>
              <w:rPr>
                <w:rFonts w:eastAsia="Times New Roman" w:cs="Times New Roman"/>
                <w:sz w:val="15"/>
                <w:szCs w:val="15"/>
              </w:rPr>
              <w:t>Price caps cause losses; subsidies raise revenue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73F0B8C" w14:textId="77777777" w:rsidR="002363FE" w:rsidRDefault="00CC0653">
            <w:pPr>
              <w:spacing w:before="30" w:after="30"/>
              <w:jc w:val="left"/>
            </w:pPr>
            <w:r>
              <w:rPr>
                <w:rFonts w:eastAsia="Times New Roman" w:cs="Times New Roman"/>
                <w:sz w:val="15"/>
                <w:szCs w:val="15"/>
              </w:rPr>
              <w:t>Perception data; cross-section</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38AAD2BA" w14:textId="77777777" w:rsidR="002363FE" w:rsidRDefault="00CC0653">
            <w:pPr>
              <w:spacing w:before="30" w:after="30"/>
              <w:jc w:val="left"/>
            </w:pPr>
            <w:r>
              <w:rPr>
                <w:rFonts w:eastAsia="Times New Roman" w:cs="Times New Roman"/>
                <w:sz w:val="15"/>
                <w:szCs w:val="15"/>
              </w:rPr>
              <w:t>Archival panel; regulated pricing context</w:t>
            </w:r>
          </w:p>
        </w:tc>
      </w:tr>
      <w:tr w:rsidR="002363FE" w14:paraId="07FA49BC"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4A398AD6" w14:textId="77777777" w:rsidR="002363FE" w:rsidRDefault="00CC0653">
            <w:pPr>
              <w:spacing w:before="30" w:after="30"/>
              <w:jc w:val="left"/>
            </w:pPr>
            <w:r>
              <w:rPr>
                <w:rFonts w:eastAsia="Times New Roman" w:cs="Times New Roman"/>
                <w:sz w:val="15"/>
                <w:szCs w:val="15"/>
              </w:rPr>
              <w:t>Fosu (2013)</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1C902376" w14:textId="77777777" w:rsidR="002363FE" w:rsidRDefault="00CC0653">
            <w:pPr>
              <w:spacing w:before="30" w:after="30"/>
              <w:jc w:val="left"/>
            </w:pPr>
            <w:r>
              <w:rPr>
                <w:rFonts w:eastAsia="Times New Roman" w:cs="Times New Roman"/>
                <w:sz w:val="15"/>
                <w:szCs w:val="15"/>
              </w:rPr>
              <w:t>South Africa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60AD3909" w14:textId="77777777" w:rsidR="002363FE" w:rsidRDefault="00CC0653">
            <w:pPr>
              <w:spacing w:before="30" w:after="30"/>
              <w:jc w:val="left"/>
            </w:pPr>
            <w:r>
              <w:rPr>
                <w:rFonts w:eastAsia="Times New Roman" w:cs="Times New Roman"/>
                <w:sz w:val="15"/>
                <w:szCs w:val="15"/>
              </w:rPr>
              <w:t>Non-financial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071FFEF" w14:textId="77777777" w:rsidR="002363FE" w:rsidRDefault="00CC0653">
            <w:pPr>
              <w:spacing w:before="30" w:after="30"/>
              <w:jc w:val="left"/>
            </w:pPr>
            <w:r>
              <w:rPr>
                <w:rFonts w:eastAsia="Times New Roman" w:cs="Times New Roman"/>
                <w:sz w:val="15"/>
                <w:szCs w:val="15"/>
              </w:rPr>
              <w:t>257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607462B7" w14:textId="77777777" w:rsidR="002363FE" w:rsidRDefault="00CC0653">
            <w:pPr>
              <w:spacing w:before="30" w:after="30"/>
              <w:jc w:val="left"/>
            </w:pPr>
            <w:r>
              <w:rPr>
                <w:rFonts w:eastAsia="Times New Roman" w:cs="Times New Roman"/>
                <w:sz w:val="15"/>
                <w:szCs w:val="15"/>
              </w:rPr>
              <w:t>1998–2009</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6BFC0016" w14:textId="77777777" w:rsidR="002363FE" w:rsidRDefault="00CC0653">
            <w:pPr>
              <w:spacing w:before="30" w:after="30"/>
              <w:jc w:val="left"/>
            </w:pPr>
            <w:r>
              <w:rPr>
                <w:rFonts w:eastAsia="Times New Roman" w:cs="Times New Roman"/>
                <w:sz w:val="15"/>
                <w:szCs w:val="15"/>
              </w:rPr>
              <w:t>Panel regression (Boone competition indicator)</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3D9C44A1" w14:textId="77777777" w:rsidR="002363FE" w:rsidRDefault="00CC0653">
            <w:pPr>
              <w:spacing w:before="30" w:after="30"/>
              <w:jc w:val="left"/>
            </w:pPr>
            <w:r>
              <w:rPr>
                <w:rFonts w:eastAsia="Times New Roman" w:cs="Times New Roman"/>
                <w:sz w:val="15"/>
                <w:szCs w:val="15"/>
              </w:rPr>
              <w:t>Leverage, competition → performance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2F01990D" w14:textId="77777777" w:rsidR="002363FE" w:rsidRDefault="00CC0653">
            <w:pPr>
              <w:spacing w:before="30" w:after="30"/>
              <w:jc w:val="left"/>
            </w:pPr>
            <w:r>
              <w:rPr>
                <w:rFonts w:eastAsia="Times New Roman" w:cs="Times New Roman"/>
                <w:sz w:val="15"/>
                <w:szCs w:val="15"/>
              </w:rPr>
              <w:t>Leverage positive; stronger with competition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6B5942EA" w14:textId="77777777" w:rsidR="002363FE" w:rsidRDefault="00CC0653">
            <w:pPr>
              <w:spacing w:before="30" w:after="30"/>
              <w:jc w:val="left"/>
            </w:pPr>
            <w:r>
              <w:rPr>
                <w:rFonts w:eastAsia="Times New Roman" w:cs="Times New Roman"/>
                <w:sz w:val="15"/>
                <w:szCs w:val="15"/>
              </w:rPr>
              <w:t>Not petroleum</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5A68F7E1" w14:textId="77777777" w:rsidR="002363FE" w:rsidRDefault="00CC0653">
            <w:pPr>
              <w:spacing w:before="30" w:after="30"/>
              <w:jc w:val="left"/>
            </w:pPr>
            <w:r>
              <w:rPr>
                <w:rFonts w:eastAsia="Times New Roman" w:cs="Times New Roman"/>
                <w:sz w:val="15"/>
                <w:szCs w:val="15"/>
              </w:rPr>
              <w:t>Financial risk as moderator</w:t>
            </w:r>
          </w:p>
        </w:tc>
      </w:tr>
      <w:tr w:rsidR="002363FE" w14:paraId="0A32E60F"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27EB605B" w14:textId="77777777" w:rsidR="002363FE" w:rsidRDefault="00CC0653">
            <w:pPr>
              <w:spacing w:before="30" w:after="30"/>
              <w:jc w:val="left"/>
            </w:pPr>
            <w:r>
              <w:rPr>
                <w:rFonts w:eastAsia="Times New Roman" w:cs="Times New Roman"/>
                <w:sz w:val="15"/>
                <w:szCs w:val="15"/>
              </w:rPr>
              <w:t>Héricourt &amp; Poncet (2015)</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0BDC393C" w14:textId="77777777" w:rsidR="002363FE" w:rsidRDefault="00CC0653">
            <w:pPr>
              <w:spacing w:before="30" w:after="30"/>
              <w:jc w:val="left"/>
            </w:pPr>
            <w:r>
              <w:rPr>
                <w:rFonts w:eastAsia="Times New Roman" w:cs="Times New Roman"/>
                <w:sz w:val="15"/>
                <w:szCs w:val="15"/>
              </w:rPr>
              <w:t>China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1A8C72CA" w14:textId="77777777" w:rsidR="002363FE" w:rsidRDefault="00CC0653">
            <w:pPr>
              <w:spacing w:before="30" w:after="30"/>
              <w:jc w:val="left"/>
            </w:pPr>
            <w:r>
              <w:rPr>
                <w:rFonts w:eastAsia="Times New Roman" w:cs="Times New Roman"/>
                <w:sz w:val="15"/>
                <w:szCs w:val="15"/>
              </w:rPr>
              <w:t>Exporting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91C6782" w14:textId="77777777" w:rsidR="002363FE" w:rsidRDefault="00CC0653">
            <w:pPr>
              <w:spacing w:before="30" w:after="30"/>
              <w:jc w:val="left"/>
            </w:pPr>
            <w:r>
              <w:rPr>
                <w:rFonts w:eastAsia="Times New Roman" w:cs="Times New Roman"/>
                <w:sz w:val="15"/>
                <w:szCs w:val="15"/>
              </w:rPr>
              <w:t>&gt;100,000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1BB9B93" w14:textId="77777777" w:rsidR="002363FE" w:rsidRDefault="00CC0653">
            <w:pPr>
              <w:spacing w:before="30" w:after="30"/>
              <w:jc w:val="left"/>
            </w:pPr>
            <w:r>
              <w:rPr>
                <w:rFonts w:eastAsia="Times New Roman" w:cs="Times New Roman"/>
                <w:sz w:val="15"/>
                <w:szCs w:val="15"/>
              </w:rPr>
              <w:t>2000–2006</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54C3CD4" w14:textId="77777777" w:rsidR="002363FE" w:rsidRDefault="00CC0653">
            <w:pPr>
              <w:spacing w:before="30" w:after="30"/>
              <w:jc w:val="left"/>
            </w:pPr>
            <w:r>
              <w:rPr>
                <w:rFonts w:eastAsia="Times New Roman" w:cs="Times New Roman"/>
                <w:sz w:val="15"/>
                <w:szCs w:val="15"/>
              </w:rPr>
              <w:t>Firm-level panel</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8C6768C" w14:textId="77777777" w:rsidR="002363FE" w:rsidRDefault="00CC0653">
            <w:pPr>
              <w:spacing w:before="30" w:after="30"/>
              <w:jc w:val="left"/>
            </w:pPr>
            <w:r>
              <w:rPr>
                <w:rFonts w:eastAsia="Times New Roman" w:cs="Times New Roman"/>
                <w:sz w:val="15"/>
                <w:szCs w:val="15"/>
              </w:rPr>
              <w:t>Real exchange rate volatility, financial vulnerability → exports</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10BE910F" w14:textId="77777777" w:rsidR="002363FE" w:rsidRDefault="00CC0653">
            <w:pPr>
              <w:spacing w:before="30" w:after="30"/>
              <w:jc w:val="left"/>
            </w:pPr>
            <w:r>
              <w:rPr>
                <w:rFonts w:eastAsia="Times New Roman" w:cs="Times New Roman"/>
                <w:sz w:val="15"/>
                <w:szCs w:val="15"/>
              </w:rPr>
              <w:t>Volatility reduces exports, more for financially vulnerable firms</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79CFA8C3" w14:textId="77777777" w:rsidR="002363FE" w:rsidRDefault="00CC0653">
            <w:pPr>
              <w:spacing w:before="30" w:after="30"/>
              <w:jc w:val="left"/>
            </w:pPr>
            <w:r>
              <w:rPr>
                <w:rFonts w:eastAsia="Times New Roman" w:cs="Times New Roman"/>
                <w:sz w:val="15"/>
                <w:szCs w:val="15"/>
              </w:rPr>
              <w:t>Exports, not profitability</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2E8A4983" w14:textId="77777777" w:rsidR="002363FE" w:rsidRDefault="00CC0653">
            <w:pPr>
              <w:spacing w:before="30" w:after="30"/>
              <w:jc w:val="left"/>
            </w:pPr>
            <w:r>
              <w:rPr>
                <w:rFonts w:eastAsia="Times New Roman" w:cs="Times New Roman"/>
                <w:sz w:val="15"/>
                <w:szCs w:val="15"/>
              </w:rPr>
              <w:t>FR × EXRV moderation</w:t>
            </w:r>
          </w:p>
        </w:tc>
      </w:tr>
      <w:tr w:rsidR="002363FE" w14:paraId="191CBAC1"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5DB07B27" w14:textId="77777777" w:rsidR="002363FE" w:rsidRDefault="00CC0653">
            <w:pPr>
              <w:spacing w:before="30" w:after="30"/>
              <w:jc w:val="left"/>
            </w:pPr>
            <w:r>
              <w:rPr>
                <w:rFonts w:eastAsia="Times New Roman" w:cs="Times New Roman"/>
                <w:sz w:val="15"/>
                <w:szCs w:val="15"/>
              </w:rPr>
              <w:t>Servén (2003)</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6717FBA" w14:textId="77777777" w:rsidR="002363FE" w:rsidRDefault="00CC0653">
            <w:pPr>
              <w:spacing w:before="30" w:after="30"/>
              <w:jc w:val="left"/>
            </w:pPr>
            <w:r>
              <w:rPr>
                <w:rFonts w:eastAsia="Times New Roman" w:cs="Times New Roman"/>
                <w:sz w:val="15"/>
                <w:szCs w:val="15"/>
              </w:rPr>
              <w:t>Developing countries</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B3DE660" w14:textId="77777777" w:rsidR="002363FE" w:rsidRDefault="00CC0653">
            <w:pPr>
              <w:spacing w:before="30" w:after="30"/>
              <w:jc w:val="left"/>
            </w:pPr>
            <w:r>
              <w:rPr>
                <w:rFonts w:eastAsia="Times New Roman" w:cs="Times New Roman"/>
                <w:sz w:val="15"/>
                <w:szCs w:val="15"/>
              </w:rPr>
              <w:t>Economy-wide private investment</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0BBC89D" w14:textId="77777777" w:rsidR="002363FE" w:rsidRDefault="00CC0653">
            <w:pPr>
              <w:spacing w:before="30" w:after="30"/>
              <w:jc w:val="left"/>
            </w:pPr>
            <w:r>
              <w:rPr>
                <w:rFonts w:eastAsia="Times New Roman" w:cs="Times New Roman"/>
                <w:sz w:val="15"/>
                <w:szCs w:val="15"/>
              </w:rPr>
              <w:t>Cross-country panel</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6F0C23C5" w14:textId="77777777" w:rsidR="002363FE" w:rsidRDefault="00CC0653">
            <w:pPr>
              <w:spacing w:before="30" w:after="30"/>
              <w:jc w:val="left"/>
            </w:pPr>
            <w:r>
              <w:rPr>
                <w:rFonts w:eastAsia="Times New Roman" w:cs="Times New Roman"/>
                <w:sz w:val="15"/>
                <w:szCs w:val="15"/>
              </w:rPr>
              <w:t>See source</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FC53CC5" w14:textId="77777777" w:rsidR="002363FE" w:rsidRDefault="00CC0653">
            <w:pPr>
              <w:spacing w:before="30" w:after="30"/>
              <w:jc w:val="left"/>
            </w:pPr>
            <w:r>
              <w:rPr>
                <w:rFonts w:eastAsia="Times New Roman" w:cs="Times New Roman"/>
                <w:sz w:val="15"/>
                <w:szCs w:val="15"/>
              </w:rPr>
              <w:t>Panel regression with GARCH volatility</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CB92351" w14:textId="77777777" w:rsidR="002363FE" w:rsidRDefault="00CC0653">
            <w:pPr>
              <w:spacing w:before="30" w:after="30"/>
              <w:jc w:val="left"/>
            </w:pPr>
            <w:r>
              <w:rPr>
                <w:rFonts w:eastAsia="Times New Roman" w:cs="Times New Roman"/>
                <w:sz w:val="15"/>
                <w:szCs w:val="15"/>
              </w:rPr>
              <w:t>Real exchange rate volatility → private investment</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358C946C" w14:textId="77777777" w:rsidR="002363FE" w:rsidRDefault="00CC0653">
            <w:pPr>
              <w:spacing w:before="30" w:after="30"/>
              <w:jc w:val="left"/>
            </w:pPr>
            <w:r>
              <w:rPr>
                <w:rFonts w:eastAsia="Times New Roman" w:cs="Times New Roman"/>
                <w:sz w:val="15"/>
                <w:szCs w:val="15"/>
              </w:rPr>
              <w:t>Strong negative effect; larger with openness and weak finance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6D26BD56" w14:textId="77777777" w:rsidR="002363FE" w:rsidRDefault="00CC0653">
            <w:pPr>
              <w:spacing w:before="30" w:after="30"/>
              <w:jc w:val="left"/>
            </w:pPr>
            <w:r>
              <w:rPr>
                <w:rFonts w:eastAsia="Times New Roman" w:cs="Times New Roman"/>
                <w:sz w:val="15"/>
                <w:szCs w:val="15"/>
              </w:rPr>
              <w:t>Macro level</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023A7EBD" w14:textId="77777777" w:rsidR="002363FE" w:rsidRDefault="00CC0653">
            <w:pPr>
              <w:spacing w:before="30" w:after="30"/>
              <w:jc w:val="left"/>
            </w:pPr>
            <w:r>
              <w:rPr>
                <w:rFonts w:eastAsia="Times New Roman" w:cs="Times New Roman"/>
                <w:sz w:val="15"/>
                <w:szCs w:val="15"/>
              </w:rPr>
              <w:t>Firm-level volatility effects</w:t>
            </w:r>
          </w:p>
        </w:tc>
      </w:tr>
      <w:tr w:rsidR="002363FE" w14:paraId="312941C1"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7E354A64" w14:textId="77777777" w:rsidR="002363FE" w:rsidRDefault="00CC0653">
            <w:pPr>
              <w:spacing w:before="30" w:after="30"/>
              <w:jc w:val="left"/>
            </w:pPr>
            <w:r>
              <w:rPr>
                <w:rFonts w:eastAsia="Times New Roman" w:cs="Times New Roman"/>
                <w:sz w:val="15"/>
                <w:szCs w:val="15"/>
              </w:rPr>
              <w:t>Baños-Caballero et al. (2014)</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D73CBB9" w14:textId="77777777" w:rsidR="002363FE" w:rsidRDefault="00CC0653">
            <w:pPr>
              <w:spacing w:before="30" w:after="30"/>
              <w:jc w:val="left"/>
            </w:pPr>
            <w:r>
              <w:rPr>
                <w:rFonts w:eastAsia="Times New Roman" w:cs="Times New Roman"/>
                <w:sz w:val="15"/>
                <w:szCs w:val="15"/>
              </w:rPr>
              <w:t>UK</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E5B598A" w14:textId="77777777" w:rsidR="002363FE" w:rsidRDefault="00CC0653">
            <w:pPr>
              <w:spacing w:before="30" w:after="30"/>
              <w:jc w:val="left"/>
            </w:pPr>
            <w:r>
              <w:rPr>
                <w:rFonts w:eastAsia="Times New Roman" w:cs="Times New Roman"/>
                <w:sz w:val="15"/>
                <w:szCs w:val="15"/>
              </w:rPr>
              <w:t>Non-financial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5186DB19" w14:textId="77777777" w:rsidR="002363FE" w:rsidRDefault="00CC0653">
            <w:pPr>
              <w:spacing w:before="30" w:after="30"/>
              <w:jc w:val="left"/>
            </w:pPr>
            <w:r>
              <w:rPr>
                <w:rFonts w:eastAsia="Times New Roman" w:cs="Times New Roman"/>
                <w:sz w:val="15"/>
                <w:szCs w:val="15"/>
              </w:rPr>
              <w:t>258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3D90315D" w14:textId="77777777" w:rsidR="002363FE" w:rsidRDefault="00CC0653">
            <w:pPr>
              <w:spacing w:before="30" w:after="30"/>
              <w:jc w:val="left"/>
            </w:pPr>
            <w:r>
              <w:rPr>
                <w:rFonts w:eastAsia="Times New Roman" w:cs="Times New Roman"/>
                <w:sz w:val="15"/>
                <w:szCs w:val="15"/>
              </w:rPr>
              <w:t>2001–2007</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FC28A1C" w14:textId="77777777" w:rsidR="002363FE" w:rsidRDefault="00CC0653">
            <w:pPr>
              <w:spacing w:before="30" w:after="30"/>
              <w:jc w:val="left"/>
            </w:pPr>
            <w:r>
              <w:rPr>
                <w:rFonts w:eastAsia="Times New Roman" w:cs="Times New Roman"/>
                <w:sz w:val="15"/>
                <w:szCs w:val="15"/>
              </w:rPr>
              <w:t>Two-step GMM</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45393F65" w14:textId="77777777" w:rsidR="002363FE" w:rsidRDefault="00CC0653">
            <w:pPr>
              <w:spacing w:before="30" w:after="30"/>
              <w:jc w:val="left"/>
            </w:pPr>
            <w:r>
              <w:rPr>
                <w:rFonts w:eastAsia="Times New Roman" w:cs="Times New Roman"/>
                <w:sz w:val="15"/>
                <w:szCs w:val="15"/>
              </w:rPr>
              <w:t>Working capital → performance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4041DCC2" w14:textId="77777777" w:rsidR="002363FE" w:rsidRDefault="00CC0653">
            <w:pPr>
              <w:spacing w:before="30" w:after="30"/>
              <w:jc w:val="left"/>
            </w:pPr>
            <w:r>
              <w:rPr>
                <w:rFonts w:eastAsia="Times New Roman" w:cs="Times New Roman"/>
                <w:sz w:val="15"/>
                <w:szCs w:val="15"/>
              </w:rPr>
              <w:t>Inverted-U; lower optimum for constrained firms</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39BEDADD" w14:textId="77777777" w:rsidR="002363FE" w:rsidRDefault="00CC0653">
            <w:pPr>
              <w:spacing w:before="30" w:after="30"/>
              <w:jc w:val="left"/>
            </w:pPr>
            <w:r>
              <w:rPr>
                <w:rFonts w:eastAsia="Times New Roman" w:cs="Times New Roman"/>
                <w:sz w:val="15"/>
                <w:szCs w:val="15"/>
              </w:rPr>
              <w:t>Developed-market context</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9DF28B3" w14:textId="77777777" w:rsidR="002363FE" w:rsidRDefault="00CC0653">
            <w:pPr>
              <w:spacing w:before="30" w:after="30"/>
              <w:jc w:val="left"/>
            </w:pPr>
            <w:r>
              <w:rPr>
                <w:rFonts w:eastAsia="Times New Roman" w:cs="Times New Roman"/>
                <w:sz w:val="15"/>
                <w:szCs w:val="15"/>
              </w:rPr>
              <w:t>Non-linearity in Ghana</w:t>
            </w:r>
          </w:p>
        </w:tc>
      </w:tr>
      <w:tr w:rsidR="002363FE" w14:paraId="3147B402"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16CC6414" w14:textId="77777777" w:rsidR="002363FE" w:rsidRDefault="00CC0653">
            <w:pPr>
              <w:spacing w:before="30" w:after="30"/>
              <w:jc w:val="left"/>
            </w:pPr>
            <w:r>
              <w:rPr>
                <w:rFonts w:eastAsia="Times New Roman" w:cs="Times New Roman"/>
                <w:sz w:val="15"/>
                <w:szCs w:val="15"/>
              </w:rPr>
              <w:t>Deloof (2003)</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3A281A60" w14:textId="77777777" w:rsidR="002363FE" w:rsidRDefault="00CC0653">
            <w:pPr>
              <w:spacing w:before="30" w:after="30"/>
              <w:jc w:val="left"/>
            </w:pPr>
            <w:r>
              <w:rPr>
                <w:rFonts w:eastAsia="Times New Roman" w:cs="Times New Roman"/>
                <w:sz w:val="15"/>
                <w:szCs w:val="15"/>
              </w:rPr>
              <w:t>Belgium</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2F8896D0" w14:textId="77777777" w:rsidR="002363FE" w:rsidRDefault="00CC0653">
            <w:pPr>
              <w:spacing w:before="30" w:after="30"/>
              <w:jc w:val="left"/>
            </w:pPr>
            <w:r>
              <w:rPr>
                <w:rFonts w:eastAsia="Times New Roman" w:cs="Times New Roman"/>
                <w:sz w:val="15"/>
                <w:szCs w:val="15"/>
              </w:rPr>
              <w:t>Large non-financial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260E7D69" w14:textId="77777777" w:rsidR="002363FE" w:rsidRDefault="00CC0653">
            <w:pPr>
              <w:spacing w:before="30" w:after="30"/>
              <w:jc w:val="left"/>
            </w:pPr>
            <w:r>
              <w:rPr>
                <w:rFonts w:eastAsia="Times New Roman" w:cs="Times New Roman"/>
                <w:sz w:val="15"/>
                <w:szCs w:val="15"/>
              </w:rPr>
              <w:t>1,009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4EDE270" w14:textId="77777777" w:rsidR="002363FE" w:rsidRDefault="00CC0653">
            <w:pPr>
              <w:spacing w:before="30" w:after="30"/>
              <w:jc w:val="left"/>
            </w:pPr>
            <w:r>
              <w:rPr>
                <w:rFonts w:eastAsia="Times New Roman" w:cs="Times New Roman"/>
                <w:sz w:val="15"/>
                <w:szCs w:val="15"/>
              </w:rPr>
              <w:t>1992–1996</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0514AC7F" w14:textId="77777777" w:rsidR="002363FE" w:rsidRDefault="00CC0653">
            <w:pPr>
              <w:spacing w:before="30" w:after="30"/>
              <w:jc w:val="left"/>
            </w:pPr>
            <w:r>
              <w:rPr>
                <w:rFonts w:eastAsia="Times New Roman" w:cs="Times New Roman"/>
                <w:sz w:val="15"/>
                <w:szCs w:val="15"/>
              </w:rPr>
              <w:t>Panel regression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52A3465" w14:textId="77777777" w:rsidR="002363FE" w:rsidRDefault="00CC0653">
            <w:pPr>
              <w:spacing w:before="30" w:after="30"/>
              <w:jc w:val="left"/>
            </w:pPr>
            <w:r>
              <w:rPr>
                <w:rFonts w:eastAsia="Times New Roman" w:cs="Times New Roman"/>
                <w:sz w:val="15"/>
                <w:szCs w:val="15"/>
              </w:rPr>
              <w:t>Receivable, inventory and payable days → profitability</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3F28B945" w14:textId="77777777" w:rsidR="002363FE" w:rsidRDefault="00CC0653">
            <w:pPr>
              <w:spacing w:before="30" w:after="30"/>
              <w:jc w:val="left"/>
            </w:pPr>
            <w:r>
              <w:rPr>
                <w:rFonts w:eastAsia="Times New Roman" w:cs="Times New Roman"/>
                <w:sz w:val="15"/>
                <w:szCs w:val="15"/>
              </w:rPr>
              <w:t>Shorter receivable and inventory days raise profitability</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85856D9" w14:textId="77777777" w:rsidR="002363FE" w:rsidRDefault="00CC0653">
            <w:pPr>
              <w:spacing w:before="30" w:after="30"/>
              <w:jc w:val="left"/>
            </w:pPr>
            <w:r>
              <w:rPr>
                <w:rFonts w:eastAsia="Times New Roman" w:cs="Times New Roman"/>
                <w:sz w:val="15"/>
                <w:szCs w:val="15"/>
              </w:rPr>
              <w:t>Developed-market context</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00880F3" w14:textId="77777777" w:rsidR="002363FE" w:rsidRDefault="00CC0653">
            <w:pPr>
              <w:spacing w:before="30" w:after="30"/>
              <w:jc w:val="left"/>
            </w:pPr>
            <w:r>
              <w:rPr>
                <w:rFonts w:eastAsia="Times New Roman" w:cs="Times New Roman"/>
                <w:sz w:val="15"/>
                <w:szCs w:val="15"/>
              </w:rPr>
              <w:t>Liquidity measures for petroleum firms</w:t>
            </w:r>
          </w:p>
        </w:tc>
      </w:tr>
    </w:tbl>
    <w:p w14:paraId="26D18061" w14:textId="77777777" w:rsidR="002363FE" w:rsidRDefault="00CC0653">
      <w:pPr>
        <w:spacing w:before="60" w:after="240"/>
        <w:jc w:val="left"/>
      </w:pPr>
      <w:r>
        <w:rPr>
          <w:rFonts w:eastAsia="Times New Roman" w:cs="Times New Roman"/>
          <w:i/>
          <w:iCs/>
          <w:sz w:val="20"/>
          <w:szCs w:val="20"/>
        </w:rPr>
        <w:t>Source: Author's compilation from the reviewed literature (2026). Only studies whose details were verified against the original source are included.</w:t>
      </w:r>
    </w:p>
    <w:p w14:paraId="4E36BFEF" w14:textId="77777777" w:rsidR="002363FE" w:rsidRDefault="002363FE">
      <w:pPr>
        <w:sectPr w:rsidR="002363FE">
          <w:pgSz w:w="15840" w:h="12240" w:orient="landscape"/>
          <w:pgMar w:top="1440" w:right="1440" w:bottom="1440" w:left="1440" w:header="720" w:footer="720" w:gutter="0"/>
          <w:cols w:space="720"/>
          <w:docGrid w:linePitch="360"/>
        </w:sectPr>
      </w:pPr>
    </w:p>
    <w:p w14:paraId="256E2498" w14:textId="77777777" w:rsidR="002363FE" w:rsidRDefault="00CC0653">
      <w:pPr>
        <w:spacing w:after="240" w:line="480" w:lineRule="auto"/>
      </w:pPr>
      <w:r>
        <w:rPr>
          <w:rFonts w:eastAsia="Times New Roman" w:cs="Times New Roman"/>
        </w:rPr>
        <w:lastRenderedPageBreak/>
        <w:t xml:space="preserve">Read across Table 2.2, the evidence can be organised around five questions. </w:t>
      </w:r>
      <w:r>
        <w:rPr>
          <w:rFonts w:eastAsia="Times New Roman" w:cs="Times New Roman"/>
          <w:b/>
          <w:bCs/>
        </w:rPr>
        <w:t>What do we already know?</w:t>
      </w:r>
      <w:r>
        <w:rPr>
          <w:rFonts w:eastAsia="Times New Roman" w:cs="Times New Roman"/>
        </w:rPr>
        <w:t xml:space="preserve"> Financing constraints reduce investment and growth (Fazzari et al., 1988; Beck et al., 2006; Duchin et al., 2010), exchange rate volatility harms activity most where finance is scarce (Servén, 2003; Héricourt &amp; Poncet, 2015), and liquidity affects profitability, with evidence of an optimal level (Baños-Caballero et al., 2014).</w:t>
      </w:r>
    </w:p>
    <w:p w14:paraId="0D7E9CDC" w14:textId="77777777" w:rsidR="002363FE" w:rsidRDefault="00CC0653">
      <w:pPr>
        <w:spacing w:after="240" w:line="480" w:lineRule="auto"/>
      </w:pPr>
      <w:r>
        <w:rPr>
          <w:rFonts w:eastAsia="Times New Roman" w:cs="Times New Roman"/>
          <w:b/>
          <w:bCs/>
        </w:rPr>
        <w:t>What do the studies disagree about?</w:t>
      </w:r>
      <w:r>
        <w:rPr>
          <w:rFonts w:eastAsia="Times New Roman" w:cs="Times New Roman"/>
        </w:rPr>
        <w:t xml:space="preserve"> They disagree on the direction and size of the effects. In Ghana, the current ratio is negatively related to ROE in Li et al. (2020), but the current asset ratio and cash conversion cycle are positively related to profitability in Akoto et al. (2013). Leverage improves performance in some studies (Abor, 2005; Fosu, 2013) and reduces it in others (Rajan &amp; Zingales, 1995). The exchange rate is positively associated with petroleum firms' ROE in Ghana (Najimu &amp; Mahama, 2022) but has no significant effect in Nigeria (Alagbe et al., 2021).</w:t>
      </w:r>
    </w:p>
    <w:p w14:paraId="4D545BE5" w14:textId="77777777" w:rsidR="002363FE" w:rsidRDefault="00CC0653">
      <w:pPr>
        <w:spacing w:after="240" w:line="480" w:lineRule="auto"/>
      </w:pPr>
      <w:r>
        <w:rPr>
          <w:rFonts w:eastAsia="Times New Roman" w:cs="Times New Roman"/>
          <w:b/>
          <w:bCs/>
        </w:rPr>
        <w:t>Why do they disagree?</w:t>
      </w:r>
      <w:r>
        <w:rPr>
          <w:rFonts w:eastAsia="Times New Roman" w:cs="Times New Roman"/>
        </w:rPr>
        <w:t xml:space="preserve"> Three reasons stand out. First, measurement differs: liquidity, leverage and currency risk are measured in different ways, and the exchange rate level is often used in place of volatility. Second, estimators differ: most African studies use static OLS, random-effects or cointegration methods that do not address reverse causality, whereas Baños-Caballero et al. (2014) use GMM. Third, samples differ in sector, size and period, and pricing regimes differ across countries, so findings from one setting may not generalise.</w:t>
      </w:r>
    </w:p>
    <w:p w14:paraId="38562DF8" w14:textId="77777777" w:rsidR="002363FE" w:rsidRDefault="00CC0653">
      <w:pPr>
        <w:spacing w:after="240" w:line="480" w:lineRule="auto"/>
      </w:pPr>
      <w:r>
        <w:rPr>
          <w:rFonts w:eastAsia="Times New Roman" w:cs="Times New Roman"/>
          <w:b/>
          <w:bCs/>
        </w:rPr>
        <w:t>What has not been identified?</w:t>
      </w:r>
      <w:r>
        <w:rPr>
          <w:rFonts w:eastAsia="Times New Roman" w:cs="Times New Roman"/>
        </w:rPr>
        <w:t xml:space="preserve"> The reviewed literature provides limited evidence on whether forex accessibility affects performance through investment once the time needed for investment to pay off is taken into account; on whether financial risk conditions all three relationships, especially the liquidity–performance relationship; on whether the effects differ systematically across </w:t>
        <w:lastRenderedPageBreak/>
        <w:t>BIDECs, OMCs and LPGMCs over time; and on how shocks to forex access, liquidity and volatility propagate dynamically over subsequent quarters.</w:t>
      </w:r>
    </w:p>
    <w:p w14:paraId="5D2E4B66" w14:textId="77777777" w:rsidR="002363FE" w:rsidRDefault="00CC0653">
      <w:pPr>
        <w:spacing w:after="240" w:line="480" w:lineRule="auto"/>
      </w:pPr>
      <w:r>
        <w:rPr>
          <w:rFonts w:eastAsia="Times New Roman" w:cs="Times New Roman"/>
          <w:b/>
          <w:bCs/>
        </w:rPr>
        <w:t>How does this study resolve the problem?</w:t>
      </w:r>
      <w:r>
        <w:rPr>
          <w:rFonts w:eastAsia="Times New Roman" w:cs="Times New Roman"/>
        </w:rPr>
        <w:t xml:space="preserve"> The study measures each construct with explicitly oriented indicators, estimates a dynamic panel model by System GMM with the non-linear liquidity term and an aggregate volatility measure interacted with firm exposure, tests lagged mediation through investment, tests three separate moderation hypotheses, compares firm categories, and uses Panel VAR and ARIMAX models to trace the dynamic responses of performance over time.</w:t>
      </w:r>
    </w:p>
    <w:p w14:paraId="540F6CC2" w14:textId="77777777" w:rsidR="002363FE" w:rsidRDefault="00CC0653">
      <w:pPr>
        <w:pStyle w:val="Heading2"/>
      </w:pPr>
      <w:bookmarkStart w:id="40" w:name="_TocRev040"/>
      <w:r>
        <w:t>2.4 Methodological Approaches in Financial Performance Research</w:t>
      </w:r>
      <w:bookmarkEnd w:id="40"/>
    </w:p>
    <w:p w14:paraId="6ECC2D1C" w14:textId="77777777" w:rsidR="002363FE" w:rsidRDefault="00CC0653">
      <w:pPr>
        <w:pStyle w:val="Heading3"/>
      </w:pPr>
      <w:bookmarkStart w:id="41" w:name="_TocRev041"/>
      <w:r>
        <w:t>2.4.1 Core Estimation: Addressing Endogeneity in Dynamic Panels</w:t>
      </w:r>
      <w:bookmarkEnd w:id="41"/>
    </w:p>
    <w:p w14:paraId="29EB74D3" w14:textId="77777777" w:rsidR="00B817BB" w:rsidRPr="00B817BB" w:rsidRDefault="00B817BB" w:rsidP="00B817BB">
      <w:pPr>
        <w:spacing w:after="200" w:line="480" w:lineRule="auto"/>
        <w:rPr>
          <w:rFonts w:cs="Times New Roman"/>
          <w:color w:val="000000" w:themeColor="text1"/>
        </w:rPr>
      </w:pPr>
      <w:r>
        <w:rPr>
          <w:rFonts w:eastAsia="Calibri" w:cs="Times New Roman"/>
          <w:color w:val="000000" w:themeColor="text1"/>
        </w:rPr>
        <w:t>The methodological evolution of financial performance research in developing-economy petroleum sectors reflects a progressive recognition of the limitations of static, single-equation approaches. Early studies relied predominantly on cross-sectional or pooled OLS regression, which generate inconsistent coefficient estimates in the presence of unobserved firm heterogeneity and cannot distinguish within-firm dynamics from between-firm differences (Wooldridge, 2019; Baltagi, 2021). Fixed effects and random effects panel estimators — selected via the Hausman (1978) test — address firm heterogeneity but not the endogeneity of key financial variables such as forex accessibility and liquidity, which are plausibly determined jointly with performance rather than exogenously.</w:t>
      </w:r>
    </w:p>
    <w:p w14:paraId="48ED7AA0" w14:textId="77777777" w:rsidR="00B817BB" w:rsidRPr="00B817BB" w:rsidRDefault="00B817BB" w:rsidP="00B817BB">
      <w:pPr>
        <w:spacing w:after="200" w:line="480" w:lineRule="auto"/>
        <w:rPr>
          <w:rFonts w:cs="Times New Roman"/>
          <w:color w:val="000000" w:themeColor="text1"/>
        </w:rPr>
      </w:pPr>
      <w:r>
        <w:rPr>
          <w:rFonts w:eastAsia="Times New Roman" w:cs="Times New Roman"/>
        </w:rPr>
        <w:t xml:space="preserve">Arellano and Bond’s (1991) and Blundell and Bond’s (1998) System GMM estimator addresses this endogeneity directly, using lagged levels and differences of endogenous regressors as </w:t>
        <w:lastRenderedPageBreak/>
        <w:t xml:space="preserve">instruments within the Generalised Method of Moments framework. Roodman’s (2009) influential critique of System GMM applications warns that instrument proliferation weakens the Sargan-Hansen overidentification test and recommends keeping the instrument count below the number of cross-sectional units — a constraint the present study implements through deliberate instrument restriction in the System GMM specification. System GMM is therefore the preferred core estimator of the present study because it can help address dynamic persistence, reverse causality and unobserved time-invariant heterogeneity within one framework. It is not, however, automatically the best solution: it was designed for panels with many firms and few periods, whereas the present panel may have relatively few firms observed over many quarters. Section 3.11.2 therefore sets out the conditions on the number of firms, the instrument count and the specification tests under which System GMM is used, and the fixed-effects alternative adopted if they are not met. It does not, however, establish causality automatically: its estimates are credible only to the extent that the instrument validity assumptions hold, which is why the study sets out an explicit identification strategy (Section 3.11).</w:t>
      </w:r>
    </w:p>
    <w:p w14:paraId="598619E6" w14:textId="77777777" w:rsidR="002363FE" w:rsidRDefault="00CC0653">
      <w:pPr>
        <w:pStyle w:val="Heading3"/>
      </w:pPr>
      <w:bookmarkStart w:id="42" w:name="_TocRev042"/>
      <w:r>
        <w:t>2.4.2 Volatility Layer: GARCH-Class Models for Exchange Rate Uncertainty</w:t>
      </w:r>
      <w:bookmarkEnd w:id="42"/>
    </w:p>
    <w:p w14:paraId="089C7B3A" w14:textId="77777777" w:rsidR="00B817BB" w:rsidRPr="00B817BB" w:rsidRDefault="00B817BB" w:rsidP="00B817BB">
      <w:pPr>
        <w:spacing w:after="200" w:line="480" w:lineRule="auto"/>
        <w:rPr>
          <w:rFonts w:cs="Times New Roman"/>
          <w:color w:val="000000" w:themeColor="text1"/>
        </w:rPr>
      </w:pPr>
      <w:r>
        <w:rPr>
          <w:rFonts w:eastAsia="Calibri" w:cs="Times New Roman"/>
          <w:color w:val="000000" w:themeColor="text1"/>
        </w:rPr>
        <w:t>The deployment of GARCH-class volatility models as measurement tools for exchange rate uncertainty represents an important methodological advance over rolling standard deviations or simple depreciation rates. Pagan and Schwert (1990) demonstrate that GARCH-based volatility estimates are substantially more accurate than historical rolling standard deviations for measuring conditional uncertainty — the forward-looking uncertainty theoretically relevant for investment and performance decisions — because they capture the volatility-clustering dynamics that generate time-variation in risk. Engle and Patton (2001) establish the criterion that a valid volatility model should generate standardised residuals that are white noise with unit variance, assessed in the present study through the Ljung-Box Q-statistic and the sign-bias test of Engle and Ng (1993) during model selection between GARCH(1,1) and EGARCH(1,1).</w:t>
      </w:r>
    </w:p>
    <w:p w14:paraId="76301E68" w14:textId="77777777" w:rsidR="002363FE" w:rsidRDefault="00CC0653">
      <w:pPr>
        <w:pStyle w:val="Heading3"/>
      </w:pPr>
      <w:bookmarkStart w:id="43" w:name="_TocRev043"/>
      <w:r>
        <w:lastRenderedPageBreak/>
        <w:t>2.4.3 Dynamic Interdependence and Temporal Dynamics: Panel VAR and ARIMAX</w:t>
      </w:r>
      <w:bookmarkEnd w:id="43"/>
    </w:p>
    <w:p w14:paraId="2F0B80C8" w14:textId="77777777" w:rsidR="002363FE" w:rsidRDefault="00CC0653">
      <w:pPr>
        <w:spacing w:after="240" w:line="480" w:lineRule="auto"/>
      </w:pPr>
      <w:r>
        <w:rPr>
          <w:rFonts w:eastAsia="Times New Roman" w:cs="Times New Roman"/>
        </w:rPr>
        <w:t xml:space="preserve">Single-equation panel models estimate the effect of each financial condition on performance holding the others constant, but they do not show how a shock to one variable propagates through the system over time. Panel Vector Autoregression treats all variables as jointly endogenous and allows each to depend on the lags of all others, so that impulse response functions and forecast-error variance decompositions can trace how forex accessibility, liquidity, exchange rate volatility, investment and performance respond to one another over successive quarters (Sims, 1980; Love &amp; Zicchino, 2006; Abrigo &amp; Love, 2016). Love and Zicchino (2006), using firm-level data from 36 countries, show how this approach reveals the dynamic interaction between financial factors and investment, which is the kind of feedback relevant to the present study.</w:t>
      </w:r>
    </w:p>
    <w:p w14:paraId="67583C04" w14:textId="77777777" w:rsidR="002363FE" w:rsidRDefault="00CC0653">
      <w:pPr>
        <w:spacing w:after="240" w:line="480" w:lineRule="auto"/>
      </w:pPr>
      <w:r>
        <w:rPr>
          <w:rFonts w:eastAsia="Times New Roman" w:cs="Times New Roman"/>
        </w:rPr>
        <w:t xml:space="preserve">ARIMAX models complement Panel VAR at the aggregate level. By modelling the time-series behaviour of sector-level performance (for example, the average ROA of each firm category) as an ARIMA process with exogenous inputs, they show the timing and persistence of the response of performance to changes in forex accessibility, liquidity and exchange rate volatility and allow scenario projections under alternative forex and exchange rate conditions (Box et al., 2015; Hyndman &amp; Khandakar, 2008). In the present study these two models are supporting analyses for the fifth objective: they are reported only if the data meet the conditions in Section 3.9.4, and they are not substitutes for the core panel estimates, which remain the basis for the direct, investment-channel and moderation hypotheses.</w:t>
      </w:r>
    </w:p>
    <w:p w14:paraId="3F034A9B" w14:textId="77777777" w:rsidR="002363FE" w:rsidRDefault="00CC0653">
      <w:pPr>
        <w:pStyle w:val="Heading3"/>
      </w:pPr>
      <w:bookmarkStart w:id="44" w:name="_TocRev044"/>
      <w:r>
        <w:t>2.4.4 Robustness Strategy</w:t>
      </w:r>
      <w:bookmarkEnd w:id="44"/>
    </w:p>
    <w:p w14:paraId="7C51FE63" w14:textId="77777777" w:rsidR="002363FE" w:rsidRDefault="00CC0653">
      <w:pPr>
        <w:spacing w:after="240" w:line="480" w:lineRule="auto"/>
      </w:pPr>
      <w:r>
        <w:rPr>
          <w:rFonts w:eastAsia="Times New Roman" w:cs="Times New Roman"/>
        </w:rPr>
        <w:t xml:space="preserve">The methodological literature recommends that dynamic panel estimates be compared with simpler benchmarks rather than presented as the only credible result (Roodman, 2009; Baltagi, 2021). The present study therefore uses two-way fixed-effects estimates with Driscoll and Kraay </w:t>
        <w:lastRenderedPageBreak/>
        <w:t>(1998) standard errors, which are robust to cross-sectional dependence and serial correlation, as a robustness benchmark rather than as an additional core estimator, together with alternative performance measures, alternative forex and liquidity measures, alternative lag structures and balanced versus unbalanced samples.</w:t>
      </w:r>
    </w:p>
    <w:p w14:paraId="7099133F" w14:textId="77777777" w:rsidR="002363FE" w:rsidRDefault="00CC0653">
      <w:pPr>
        <w:pStyle w:val="Heading2"/>
      </w:pPr>
      <w:bookmarkStart w:id="45" w:name="_TocRev045"/>
      <w:r>
        <w:t>2.5 Identification of Research Gaps and Justification for the Present Study</w:t>
      </w:r>
      <w:bookmarkEnd w:id="45"/>
    </w:p>
    <w:p w14:paraId="3B845EAF" w14:textId="77777777" w:rsidR="00C927A3" w:rsidRPr="00C927A3" w:rsidRDefault="00C927A3" w:rsidP="00C927A3">
      <w:pPr>
        <w:spacing w:after="200" w:line="480" w:lineRule="auto"/>
        <w:rPr>
          <w:rFonts w:cs="Times New Roman"/>
          <w:color w:val="000000" w:themeColor="text1"/>
        </w:rPr>
      </w:pPr>
      <w:r>
        <w:rPr>
          <w:rFonts w:eastAsia="Times New Roman" w:cs="Times New Roman"/>
        </w:rPr>
        <w:t>The review of theoretical foundations and empirical evidence reveals five research gaps that justify the present study. To the best of the researcher's knowledge, these gaps have not been addressed by any identified Ghana-specific study, although the review is not claimed to be exhaustive.</w:t>
      </w:r>
    </w:p>
    <w:p w14:paraId="603130B8" w14:textId="77777777" w:rsidR="00C927A3" w:rsidRPr="00C927A3" w:rsidRDefault="00C927A3" w:rsidP="00C927A3">
      <w:pPr>
        <w:spacing w:after="200" w:line="480" w:lineRule="auto"/>
        <w:rPr>
          <w:rFonts w:cs="Times New Roman"/>
          <w:color w:val="000000" w:themeColor="text1"/>
        </w:rPr>
      </w:pPr>
      <w:r>
        <w:rPr>
          <w:rFonts w:eastAsia="Times New Roman" w:cs="Times New Roman"/>
        </w:rPr>
        <w:t>First, the reviewed literature provides limited evidence on the direct effects of forex accessibility, liquidity and exchange rate volatility on the performance of Ghana's downstream petroleum firms estimated under an identification strategy designed to mitigate endogeneity and reverse causality, with the non-linear liquidity relationship modelled explicitly and exchange rate volatility treated as a common shock whose impact depends on firm exposure. Most Ghanaian studies use static estimators, linear liquidity terms or the exchange rate level in place of volatility (Abor, 2005; Akoto et al., 2013; Li et al., 2020; Najimu &amp; Mahama, 2022). The dynamic System GMM specification of the present study (Section 3.10.3) addresses this gap.</w:t>
      </w:r>
    </w:p>
    <w:p w14:paraId="5A26F82E" w14:textId="77777777" w:rsidR="002363FE" w:rsidRDefault="00CC0653">
      <w:pPr>
        <w:spacing w:after="240" w:line="480" w:lineRule="auto"/>
      </w:pPr>
      <w:r>
        <w:rPr>
          <w:rFonts w:eastAsia="Times New Roman" w:cs="Times New Roman"/>
        </w:rPr>
        <w:t>Second, there is limited evidence on whether these effects differ across BIDECs, OMCs and LPGMCs over time. The Ghanaian studies reviewed either pool listed firms from several sectors (Li et al., 2020) or examine two listed oil marketing companies (Najimu &amp; Mahama, 2022); none compares BIDECs, OMCs and LPGMCs. The firm-category heterogeneity analysis of the present study (Section 3.10.4) addresses this gap.</w:t>
      </w:r>
    </w:p>
    <w:p w14:paraId="240BE7C9" w14:textId="77777777" w:rsidR="00C927A3" w:rsidRPr="00C927A3" w:rsidRDefault="00C927A3" w:rsidP="00C927A3">
      <w:pPr>
        <w:spacing w:after="200" w:line="480" w:lineRule="auto"/>
        <w:rPr>
          <w:rFonts w:cs="Times New Roman"/>
          <w:color w:val="000000" w:themeColor="text1"/>
        </w:rPr>
      </w:pPr>
      <w:r>
        <w:rPr>
          <w:rFonts w:eastAsia="Times New Roman" w:cs="Times New Roman"/>
        </w:rPr>
        <w:lastRenderedPageBreak/>
        <w:t>Third, the mediating role of investment decisions in the forex accessibility–performance relationship has not been formally tested in the Ghanaian petroleum marketing context, despite theoretical grounding in the financing constraints literature (Fazzari et al., 1988) and dynamic capabilities scholarship (Teece et al., 1997). The gap is consequential because it leaves unanswered whether forex relief policies, such as priority allocation frameworks and foreign exchange guarantee schemes, generate performance benefits mainly through lower working capital costs or through productive capital investment, a distinction central to the design of effective regulatory interventions (NPA, 2022; Bank of Ghana, 2023).</w:t>
      </w:r>
    </w:p>
    <w:p w14:paraId="77C7D325" w14:textId="77777777" w:rsidR="00C927A3" w:rsidRPr="00C927A3" w:rsidRDefault="00C927A3" w:rsidP="00C927A3">
      <w:pPr>
        <w:spacing w:after="200" w:line="480" w:lineRule="auto"/>
        <w:rPr>
          <w:rFonts w:cs="Times New Roman"/>
          <w:color w:val="000000" w:themeColor="text1"/>
        </w:rPr>
      </w:pPr>
      <w:r>
        <w:rPr>
          <w:rFonts w:eastAsia="Times New Roman" w:cs="Times New Roman"/>
        </w:rPr>
        <w:t>Fourth, the reviewed literature contains no identified study that tests whether financial risk moderates the effects of forex accessibility, liquidity or exchange rate volatility on the performance of petroleum marketing firms, and none tests all three interactions jointly within a dynamic panel specification. Related evidence that financially vulnerable firms suffer more from credit and currency shocks (Duchin et al., 2010; Héricourt &amp; Poncet, 2015) makes such moderation plausible, but direct evidence from Ghana's institutional context, with its forex management framework, regulatory pricing structure and banking sector dynamics, is absent. Without it, risk-differentiated targeting of regulatory interventions lacks an empirical basis.</w:t>
      </w:r>
    </w:p>
    <w:p w14:paraId="47FC3D6F" w14:textId="77777777" w:rsidR="002363FE" w:rsidRDefault="00CC0653">
      <w:pPr>
        <w:spacing w:after="240" w:line="480" w:lineRule="auto"/>
      </w:pPr>
      <w:r>
        <w:rPr>
          <w:rFonts w:eastAsia="Times New Roman" w:cs="Times New Roman"/>
        </w:rPr>
        <w:t>Fifth, the reviewed Ghanaian studies are largely static and therefore provide limited evidence on how shocks to forex accessibility, liquidity and exchange rate volatility propagate to performance over subsequent quarters, and on the feedback among these variables (Alagidede &amp; Ibrahim, 2017; Najimu &amp; Mahama, 2022). The Panel VAR and ARIMAX analysis of the present study addresses this gap.</w:t>
      </w:r>
    </w:p>
    <w:p w14:paraId="32CDA311" w14:textId="77777777" w:rsidR="002363FE" w:rsidRDefault="00CC0653">
      <w:pPr>
        <w:spacing w:after="240" w:line="480" w:lineRule="auto"/>
      </w:pPr>
      <w:r>
        <w:rPr>
          <w:rFonts w:eastAsia="Times New Roman" w:cs="Times New Roman"/>
        </w:rPr>
        <w:lastRenderedPageBreak/>
        <w:t>A further, cross-cutting measurement gap concerns exchange rate risk: existing Ghana-specific studies measure exchange rate risk using the exchange rate level (Najimu &amp; Mahama, 2022) or study macroeconomic rather than firm outcomes (Alagidede &amp; Ibrahim, 2017), and none uses a directly estimated, asymmetry-tested conditional variance series estimated over a window that includes Ghana's 2022–2023 debt restructuring. This limitation affects the first and fifth gaps and is addressed by the re-estimated GARCH/EGARCH volatility series spanning 2015:Q1–2024:Q4.</w:t>
      </w:r>
    </w:p>
    <w:p w14:paraId="15F5918E" w14:textId="77777777" w:rsidR="002363FE" w:rsidRDefault="00CC0653">
      <w:pPr>
        <w:spacing w:after="240" w:line="480" w:lineRule="auto"/>
      </w:pPr>
      <w:r>
        <w:rPr>
          <w:rFonts w:eastAsia="Times New Roman" w:cs="Times New Roman"/>
        </w:rPr>
        <w:t>Together, these gaps establish the rationale for the study, and each is matched to a specific component of the empirical framework: the dynamic panel model addresses the first gap, the firm-category analysis the second, the lagged mediation analysis the third, the moderation analysis the fourth, and the Panel VAR and ARIMAX analysis the fifth. Each technique therefore answers a named gap rather than adding methodological complexity for its own sake.</w:t>
      </w:r>
    </w:p>
    <w:p w14:paraId="08DDA7EA" w14:textId="77777777" w:rsidR="002363FE" w:rsidRDefault="00CC0653">
      <w:pPr>
        <w:pStyle w:val="Heading2"/>
      </w:pPr>
      <w:bookmarkStart w:id="46" w:name="_TocRev046"/>
      <w:r>
        <w:t>2.6 Development of Research Hypotheses</w:t>
      </w:r>
      <w:bookmarkEnd w:id="46"/>
    </w:p>
    <w:p w14:paraId="3A7F7FBE" w14:textId="77777777" w:rsidR="002363FE" w:rsidRDefault="00CC0653">
      <w:pPr>
        <w:spacing w:after="240" w:line="480" w:lineRule="auto"/>
      </w:pPr>
      <w:r>
        <w:rPr>
          <w:rFonts w:eastAsia="Times New Roman" w:cs="Times New Roman"/>
        </w:rPr>
        <w:t xml:space="preserve">Drawing on the theoretical hierarchy in Section 2.2 and the empirical evidence in Section 2.3, the following hypotheses are formulated. Financing Constraints Theory anchors H1, H2 and the first path of H4; Exchange Rate Exposure Theory anchors H3; Dynamic Capabilities Theory anchors the second path of H4; and Capital Structure and Financial Risk Theory anchors H5a to H5c. Each hypothesis is stated so that it is directly testable with a specific coefficient or set of coefficients in the models specified in Chapter Three; Table 3.8 records the coefficient, the decision rule and the diagnostics for each.</w:t>
      </w:r>
    </w:p>
    <w:p>
      <w:pPr>
        <w:spacing w:after="240" w:line="480" w:lineRule="auto"/>
        <w:jc w:val="both"/>
      </w:pPr>
      <w:r>
        <w:rPr>
          <w:rFonts w:eastAsia="Times New Roman" w:cs="Times New Roman"/>
          <w:b/>
          <w:bCs/>
        </w:rPr>
        <w:t xml:space="preserve">H1:</w:t>
      </w:r>
      <w:r>
        <w:rPr>
          <w:rFonts w:eastAsia="Times New Roman" w:cs="Times New Roman"/>
        </w:rPr>
        <w:t xml:space="preserve"> Foreign exchange accessibility has a positive effect on the financial performance of downstream petroleum marketing firms in Ghana. Better access reduces procurement costs, premiums paid for non-bank foreign exchange and supply disruptions (Fazzari et al., 1988; Beck et al., 2006; Héricourt &amp; Poncet, 2015).</w:t>
      </w:r>
    </w:p>
    <w:p>
      <w:pPr>
        <w:spacing w:after="240" w:line="480" w:lineRule="auto"/>
        <w:jc w:val="both"/>
      </w:pPr>
      <w:r>
        <w:rPr>
          <w:rFonts w:eastAsia="Times New Roman" w:cs="Times New Roman"/>
          <w:b/>
          <w:bCs/>
        </w:rPr>
        <w:t xml:space="preserve">H2:</w:t>
      </w:r>
      <w:r>
        <w:rPr>
          <w:rFonts w:eastAsia="Times New Roman" w:cs="Times New Roman"/>
        </w:rPr>
        <w:t xml:space="preserve"> Liquidity has an inverted-U relationship with financial performance. Liquidity insures firms against forex and payment delays, but beyond an optimal level its opportunity cost in Ghana's high-interest-rate environment outweighs this benefit (Keynes, 1936; Smith, 1980; Baños-Caballero et al., 2014; Akoto et al., 2013). A positive linear coefficient and a negative squared coefficient are necessary but not sufficient. H2 is supported only if (i) the linear and squared terms are jointly significant with the expected signs, (ii) the slope of the relationship is significantly positive at the low end and significantly negative at the high end of the observed liquidity range (Lind &amp; Mehlum, 2010), and (iii) the implied turning point and its confidence interval lie inside the observed range of the data.</w:t>
      </w:r>
    </w:p>
    <w:p>
      <w:pPr>
        <w:spacing w:after="240" w:line="480" w:lineRule="auto"/>
        <w:jc w:val="both"/>
      </w:pPr>
      <w:r>
        <w:rPr>
          <w:rFonts w:eastAsia="Times New Roman" w:cs="Times New Roman"/>
          <w:b/>
          <w:bCs/>
        </w:rPr>
        <w:t xml:space="preserve">H3:</w:t>
      </w:r>
      <w:r>
        <w:rPr>
          <w:rFonts w:eastAsia="Times New Roman" w:cs="Times New Roman"/>
        </w:rPr>
        <w:t xml:space="preserve"> Exchange rate volatility reduces financial performance more for firms with greater predetermined foreign exchange exposure (Adler &amp; Dumas, 1984; Jorion, 1990; Servén, 2003; Alagidede &amp; Ibrahim, 2017). Because volatility is common to all firms in a quarter, the hypothesis is stated in terms of exposure, which is what the data can identify once common time effects are controlled. Lagged volatility effects and asymmetric depreciation and appreciation effects are examined as additional tests rather than as part of the core hypothesis.</w:t>
      </w:r>
    </w:p>
    <w:p>
      <w:pPr>
        <w:spacing w:after="240" w:line="480" w:lineRule="auto"/>
        <w:jc w:val="both"/>
      </w:pPr>
      <w:r>
        <w:rPr>
          <w:rFonts w:eastAsia="Times New Roman" w:cs="Times New Roman"/>
        </w:rPr>
        <w:t xml:space="preserve">The firm-category hypotheses follow from differences in import exposure, regulated pricing and capital intensity among BIDECs, OMCs and LPGMCs (NPA, 2022). They are stated separately because each is tested with a different set of interaction coefficients:</w:t>
      </w:r>
    </w:p>
    <w:p>
      <w:pPr>
        <w:spacing w:line="480" w:lineRule="auto"/>
        <w:ind w:left="720" w:hanging="360"/>
        <w:jc w:val="both"/>
      </w:pPr>
      <w:r>
        <w:rPr>
          <w:rFonts w:eastAsia="Times New Roman" w:cs="Times New Roman"/>
          <w:b/>
          <w:bCs/>
        </w:rPr>
        <w:t xml:space="preserve">H1a:</w:t>
      </w:r>
      <w:r>
        <w:rPr>
          <w:rFonts w:eastAsia="Times New Roman" w:cs="Times New Roman"/>
        </w:rPr>
        <w:t xml:space="preserve"> The effect of foreign exchange accessibility on financial performance differs across BIDECs, OMCs and LPGMCs.</w:t>
      </w:r>
    </w:p>
    <w:p>
      <w:pPr>
        <w:spacing w:line="480" w:lineRule="auto"/>
        <w:ind w:left="720" w:hanging="360"/>
        <w:jc w:val="both"/>
      </w:pPr>
      <w:r>
        <w:rPr>
          <w:rFonts w:eastAsia="Times New Roman" w:cs="Times New Roman"/>
          <w:b/>
          <w:bCs/>
        </w:rPr>
        <w:t xml:space="preserve">H2a:</w:t>
      </w:r>
      <w:r>
        <w:rPr>
          <w:rFonts w:eastAsia="Times New Roman" w:cs="Times New Roman"/>
        </w:rPr>
        <w:t xml:space="preserve"> The shape of the liquidity–performance relationship (its linear and squared terms jointly) differs across BIDECs, OMCs and LPGMCs.</w:t>
      </w:r>
    </w:p>
    <w:p>
      <w:pPr>
        <w:spacing w:line="480" w:lineRule="auto"/>
        <w:ind w:left="720" w:hanging="360"/>
        <w:jc w:val="both"/>
      </w:pPr>
      <w:r>
        <w:rPr>
          <w:rFonts w:eastAsia="Times New Roman" w:cs="Times New Roman"/>
          <w:b/>
          <w:bCs/>
        </w:rPr>
        <w:t xml:space="preserve">H3a:</w:t>
      </w:r>
      <w:r>
        <w:rPr>
          <w:rFonts w:eastAsia="Times New Roman" w:cs="Times New Roman"/>
        </w:rPr>
        <w:t xml:space="preserve"> The exposure-conditioned effect of exchange rate volatility on financial performance differs across BIDECs, OMCs and LPGMCs.</w:t>
      </w:r>
    </w:p>
    <w:p>
      <w:pPr>
        <w:spacing w:after="240" w:line="480" w:lineRule="auto"/>
        <w:jc w:val="both"/>
      </w:pPr>
      <w:r>
        <w:rPr>
          <w:rFonts w:eastAsia="Times New Roman" w:cs="Times New Roman"/>
          <w:b/>
          <w:bCs/>
        </w:rPr>
        <w:t xml:space="preserve">H4:</w:t>
      </w:r>
      <w:r>
        <w:rPr>
          <w:rFonts w:eastAsia="Times New Roman" w:cs="Times New Roman"/>
        </w:rPr>
        <w:t xml:space="preserve"> Foreign exchange accessibility in quarter t is associated with higher investment (capital expenditure intensity) in quarter t+1, which is in turn associated with higher financial performance in quarter t+2, so that the indirect association through investment is positive (Fazzari et al., 1988; Teece et al., 1997; Kydland &amp; Prescott, 1982). The hypothesis is stated as an indirect association because a lagged association between forex access, investment and later performance is not by itself proof of mediation; a causal reading is offered only under the conditions in Section 3.10.5 (Imai et al., 2010).</w:t>
      </w:r>
    </w:p>
    <w:p>
      <w:pPr>
        <w:spacing w:after="240" w:line="480" w:lineRule="auto"/>
        <w:jc w:val="both"/>
      </w:pPr>
      <w:r>
        <w:rPr>
          <w:rFonts w:eastAsia="Times New Roman" w:cs="Times New Roman"/>
          <w:b/>
          <w:bCs/>
        </w:rPr>
        <w:t xml:space="preserve">H5:</w:t>
      </w:r>
      <w:r>
        <w:rPr>
          <w:rFonts w:eastAsia="Times New Roman" w:cs="Times New Roman"/>
        </w:rPr>
        <w:t xml:space="preserve"> Financial risk moderates the relationships between the financial conditions of firms and their performance (Myers, 1977; Jensen &amp; Meckling, 1976; Stulz, 1990). Specifically:</w:t>
      </w:r>
    </w:p>
    <w:p>
      <w:pPr>
        <w:spacing w:line="480" w:lineRule="auto"/>
        <w:ind w:left="720" w:hanging="360"/>
        <w:jc w:val="both"/>
      </w:pPr>
      <w:r>
        <w:rPr>
          <w:rFonts w:eastAsia="Times New Roman" w:cs="Times New Roman"/>
          <w:b/>
          <w:bCs/>
        </w:rPr>
        <w:t xml:space="preserve">H5a:</w:t>
      </w:r>
      <w:r>
        <w:rPr>
          <w:rFonts w:eastAsia="Times New Roman" w:cs="Times New Roman"/>
        </w:rPr>
        <w:t xml:space="preserve"> Financial risk weakens the positive effect of foreign exchange accessibility on financial performance (Myers, 1977).</w:t>
      </w:r>
    </w:p>
    <w:p>
      <w:pPr>
        <w:spacing w:line="480" w:lineRule="auto"/>
        <w:ind w:left="720" w:hanging="360"/>
        <w:jc w:val="both"/>
      </w:pPr>
      <w:r>
        <w:rPr>
          <w:rFonts w:eastAsia="Times New Roman" w:cs="Times New Roman"/>
          <w:b/>
          <w:bCs/>
        </w:rPr>
        <w:t xml:space="preserve">H5b:</w:t>
      </w:r>
      <w:r>
        <w:rPr>
          <w:rFonts w:eastAsia="Times New Roman" w:cs="Times New Roman"/>
        </w:rPr>
        <w:t xml:space="preserve"> Financial risk weakens the performance benefit of liquidity.</w:t>
      </w:r>
    </w:p>
    <w:p>
      <w:pPr>
        <w:spacing w:line="480" w:lineRule="auto"/>
        <w:ind w:left="720" w:hanging="360"/>
        <w:jc w:val="both"/>
      </w:pPr>
      <w:r>
        <w:rPr>
          <w:rFonts w:eastAsia="Times New Roman" w:cs="Times New Roman"/>
          <w:b/>
          <w:bCs/>
        </w:rPr>
        <w:t xml:space="preserve">H5c:</w:t>
      </w:r>
      <w:r>
        <w:rPr>
          <w:rFonts w:eastAsia="Times New Roman" w:cs="Times New Roman"/>
        </w:rPr>
        <w:t xml:space="preserve"> Financial risk strengthens the negative effect of exchange rate volatility on financial performance (Stulz, 1990; Héricourt &amp; Poncet, 2015).</w:t>
      </w:r>
    </w:p>
    <w:p>
      <w:pPr>
        <w:spacing w:after="240" w:line="480" w:lineRule="auto"/>
        <w:jc w:val="both"/>
      </w:pPr>
      <w:r>
        <w:rPr>
          <w:rFonts w:eastAsia="Times New Roman" w:cs="Times New Roman"/>
          <w:b/>
          <w:bCs/>
        </w:rPr>
        <w:t xml:space="preserve">H6:</w:t>
      </w:r>
      <w:r>
        <w:rPr>
          <w:rFonts w:eastAsia="Times New Roman" w:cs="Times New Roman"/>
        </w:rPr>
        <w:t xml:space="preserve"> Shocks to foreign exchange accessibility and liquidity produce statistically significant responses in financial performance within one to eight subsequent quarters (Love &amp; Zicchino, 2006; Abrigo &amp; Love, 2016). H6 belongs to the supporting dynamic analysis and is tested only if the conditions in Section 3.9.4 are met.</w:t>
      </w:r>
    </w:p>
    <w:p w14:paraId="67E4DF72" w14:textId="77777777" w:rsidR="002363FE" w:rsidRDefault="00CC0653">
      <w:pPr>
        <w:pStyle w:val="Heading2"/>
      </w:pPr>
      <w:bookmarkStart w:id="47" w:name="_TocRev047"/>
      <w:r>
        <w:t>2.7 Summary</w:t>
      </w:r>
      <w:bookmarkEnd w:id="47"/>
    </w:p>
    <w:p w14:paraId="525D10D3" w14:textId="77777777" w:rsidR="002363FE" w:rsidRDefault="00CC0653">
      <w:pPr>
        <w:spacing w:after="240" w:line="480" w:lineRule="auto"/>
      </w:pPr>
      <w:r>
        <w:rPr>
          <w:rFonts w:eastAsia="Times New Roman" w:cs="Times New Roman"/>
        </w:rPr>
        <w:t>This chapter has reviewed the concepts, theories, empirical evidence and methods relevant to the study. The conceptual review discussed each variable with its sub-variables and led to a conceptual framework in which forex accessibility, liquidity and exchange rate volatility affect performance directly, forex accessibility also works through investment with a time lag, and financial risk conditions these relationships. The theoretical review organised the theories as a hierarchy: financing constraints theory as the primary theory, exchange rate exposure theory as the supporting theory, dynamic capabilities theory as the mechanism theory, and capital structure and financial risk theory as the boundary-condition theory. The empirical review and the evidence matrix showed broad agreement on the direction of the main effects but disagreement on their size, shape and timing, which can be traced to differences in measurement, estimation and samples.</w:t>
      </w:r>
    </w:p>
    <w:p w14:paraId="575B4485" w14:textId="77777777" w:rsidR="002363FE" w:rsidRDefault="00CC0653">
      <w:pPr>
        <w:spacing w:after="240" w:line="480" w:lineRule="auto"/>
      </w:pPr>
      <w:r>
        <w:rPr>
          <w:rFonts w:eastAsia="Times New Roman" w:cs="Times New Roman"/>
        </w:rPr>
        <w:lastRenderedPageBreak/>
        <w:t xml:space="preserve">Five research gaps were identified and matched to the components of the empirical framework, and the hypotheses H1 to H6, including the firm-category hypotheses H1a, H2a and H3a and the moderation hypotheses H5a to H5c, were developed. Chapter Three sets out the methodology through which these hypotheses are tested.</w:t>
      </w:r>
    </w:p>
    <w:p w14:paraId="6360824C" w14:textId="77777777" w:rsidR="002363FE" w:rsidRDefault="00CC0653">
      <w:r>
        <w:br w:type="page"/>
      </w:r>
    </w:p>
    <w:p w14:paraId="0873919A" w14:textId="77777777" w:rsidR="00DD0065" w:rsidRPr="00DD0065" w:rsidRDefault="00DD0065" w:rsidP="00607B9F">
      <w:pPr>
        <w:pStyle w:val="Heading1"/>
        <w:spacing w:line="480" w:lineRule="auto"/>
      </w:pPr>
      <w:bookmarkStart w:id="48" w:name="_TocRev048"/>
      <w:r>
        <w:lastRenderedPageBreak/>
        <w:t>CHAPTER THREE</w:t>
      </w:r>
      <w:bookmarkEnd w:id="48"/>
    </w:p>
    <w:p w14:paraId="54A57B50" w14:textId="77777777" w:rsidR="00DD0065" w:rsidRDefault="00DD0065" w:rsidP="00607B9F">
      <w:pPr>
        <w:pStyle w:val="Heading1"/>
        <w:spacing w:line="480" w:lineRule="auto"/>
      </w:pPr>
      <w:bookmarkStart w:id="49" w:name="_TocRev049"/>
      <w:r>
        <w:t>RESEARCH METHODOLOGY</w:t>
      </w:r>
      <w:bookmarkEnd w:id="49"/>
    </w:p>
    <w:p w14:paraId="6B789902" w14:textId="77777777" w:rsidR="00DD0065" w:rsidRDefault="00DD0065" w:rsidP="00F204DA">
      <w:pPr>
        <w:pStyle w:val="Heading2"/>
      </w:pPr>
      <w:bookmarkStart w:id="50" w:name="_TocRev050"/>
      <w:r>
        <w:t>3.1 Introduction</w:t>
      </w:r>
      <w:bookmarkEnd w:id="50"/>
    </w:p>
    <w:p w14:paraId="0C92BF9D" w14:textId="77777777" w:rsidR="008A782D" w:rsidRPr="008A782D" w:rsidRDefault="008A782D" w:rsidP="008A782D">
      <w:pPr>
        <w:spacing w:after="200" w:line="480" w:lineRule="auto"/>
        <w:rPr>
          <w:rFonts w:cs="Times New Roman"/>
        </w:rPr>
      </w:pPr>
      <w:r>
        <w:rPr>
          <w:rFonts w:eastAsia="Times New Roman" w:cs="Times New Roman"/>
        </w:rPr>
        <w:t>This chapter presents the methodology through which the hypotheses developed in Chapter Two are tested. It covers the research philosophy and approach, the research context and design, the target population and sampling frame, the data sources and the treatment of data frequency, the measurement of variables, the analysis of data and the specification of the empirical models, the identification strategy, diagnostic and robustness tests, the alignment of objectives, hypotheses and models, and ethical considerations. Each methodological choice is linked to one of the five specific objectives of the study.</w:t>
      </w:r>
    </w:p>
    <w:p w14:paraId="74CDB470" w14:textId="77777777" w:rsidR="00FF0FE9" w:rsidRDefault="00FF0FE9" w:rsidP="00F204DA">
      <w:pPr>
        <w:pStyle w:val="Heading2"/>
      </w:pPr>
      <w:bookmarkStart w:id="51" w:name="_TocRev051"/>
      <w:r>
        <w:t>3.2 Research Philosophy and Paradigm</w:t>
      </w:r>
      <w:bookmarkEnd w:id="51"/>
    </w:p>
    <w:p w14:paraId="129014B1" w14:textId="77777777" w:rsidR="002363FE" w:rsidRDefault="00CC0653">
      <w:pPr>
        <w:spacing w:after="240" w:line="480" w:lineRule="auto"/>
      </w:pPr>
      <w:r>
        <w:rPr>
          <w:rFonts w:eastAsia="Times New Roman" w:cs="Times New Roman"/>
        </w:rPr>
        <w:t xml:space="preserve">The study adopts a </w:t>
      </w:r>
      <w:r>
        <w:rPr>
          <w:rFonts w:eastAsia="Times New Roman" w:cs="Times New Roman"/>
          <w:b/>
          <w:bCs/>
        </w:rPr>
        <w:t>positivist</w:t>
      </w:r>
      <w:r>
        <w:rPr>
          <w:rFonts w:eastAsia="Times New Roman" w:cs="Times New Roman"/>
        </w:rPr>
        <w:t xml:space="preserve"> research philosophy, which holds that economic phenomena can be studied through systematic observation, measurement and statistical testing of hypotheses derived from theory (Saunders et al., 2019; Creswell &amp; Creswell, 2018). Its ontological position is </w:t>
      </w:r>
      <w:r>
        <w:rPr>
          <w:rFonts w:eastAsia="Times New Roman" w:cs="Times New Roman"/>
          <w:b/>
          <w:bCs/>
        </w:rPr>
        <w:t>objectivist</w:t>
      </w:r>
      <w:r>
        <w:rPr>
          <w:rFonts w:eastAsia="Times New Roman" w:cs="Times New Roman"/>
        </w:rPr>
        <w:t>: firm financial performance, forex accessibility, liquidity and exchange rate volatility exist independently of the researcher and are recorded in regulatory filings, financial statements and official statistics. Epistemologically, knowledge about these relationships is obtained by analysing such archival data rather than from subjective accounts of managers (Bryman, 2016).</w:t>
      </w:r>
    </w:p>
    <w:p w14:paraId="3C768246" w14:textId="77777777" w:rsidR="002363FE" w:rsidRDefault="00CC0653">
      <w:pPr>
        <w:spacing w:after="240" w:line="480" w:lineRule="auto"/>
      </w:pPr>
      <w:r>
        <w:rPr>
          <w:rFonts w:eastAsia="Times New Roman" w:cs="Times New Roman"/>
        </w:rPr>
        <w:t xml:space="preserve">Consistent with this philosophy, the study follows a </w:t>
      </w:r>
      <w:r>
        <w:rPr>
          <w:rFonts w:eastAsia="Times New Roman" w:cs="Times New Roman"/>
          <w:b/>
          <w:bCs/>
        </w:rPr>
        <w:t>deductive</w:t>
      </w:r>
      <w:r>
        <w:rPr>
          <w:rFonts w:eastAsia="Times New Roman" w:cs="Times New Roman"/>
        </w:rPr>
        <w:t xml:space="preserve"> approach. Hypotheses are derived in advance from financing constraints, exchange rate exposure, dynamic capabilities and capital </w:t>
        <w:lastRenderedPageBreak/>
        <w:t>structure theories (Section 2.6) and are then confronted with data, rather than allowing explanations to emerge from the data. The positivist and deductive stance is appropriate because the study uses secondary financial data to estimate and test directional relationships; an interpretivist approach, which focuses on subjective meanings, would not answer the research questions (Saunders et al., 2019).</w:t>
      </w:r>
    </w:p>
    <w:p w14:paraId="29708535" w14:textId="77777777" w:rsidR="00FF0FE9" w:rsidRDefault="00FF0FE9" w:rsidP="00F204DA">
      <w:pPr>
        <w:pStyle w:val="Heading2"/>
      </w:pPr>
      <w:bookmarkStart w:id="52" w:name="_TocRev052"/>
      <w:r>
        <w:t>3.3 Research Approach</w:t>
      </w:r>
      <w:bookmarkEnd w:id="52"/>
    </w:p>
    <w:p w14:paraId="5CB30A8F" w14:textId="77777777" w:rsidR="002363FE" w:rsidRDefault="00CC0653">
      <w:pPr>
        <w:spacing w:after="240" w:line="480" w:lineRule="auto"/>
      </w:pPr>
      <w:r>
        <w:rPr>
          <w:rFonts w:eastAsia="Times New Roman" w:cs="Times New Roman"/>
        </w:rPr>
        <w:t xml:space="preserve">The study employs a </w:t>
      </w:r>
      <w:r>
        <w:rPr>
          <w:rFonts w:eastAsia="Times New Roman" w:cs="Times New Roman"/>
          <w:b/>
          <w:bCs/>
        </w:rPr>
        <w:t>quantitative</w:t>
      </w:r>
      <w:r>
        <w:rPr>
          <w:rFonts w:eastAsia="Times New Roman" w:cs="Times New Roman"/>
        </w:rPr>
        <w:t xml:space="preserve"> methodology. The objectives require the estimation of effect sizes, the decomposition of total effects into direct and indirect components, and the testing of interaction effects, all of which require numerical data and statistical models (Hayes, 2018; Wooldridge, 2019). Within the quantitative tradition, the study uses </w:t>
      </w:r>
      <w:r>
        <w:rPr>
          <w:rFonts w:eastAsia="Times New Roman" w:cs="Times New Roman"/>
          <w:b/>
          <w:bCs/>
        </w:rPr>
        <w:t>longitudinal panel data</w:t>
      </w:r>
      <w:r>
        <w:rPr>
          <w:rFonts w:eastAsia="Times New Roman" w:cs="Times New Roman"/>
        </w:rPr>
        <w:t>, observing BIDECs, OMCs and LPGMCs quarterly from 2015:Q1 to 2024:Q4. Panel data allow the study to control for time-invariant firm characteristics, to model the persistence of performance, and to examine lagged effects such as the delayed response of performance to investment (Baltagi, 2021; Hsiao, 2014).</w:t>
      </w:r>
    </w:p>
    <w:p w14:paraId="5BA8F4A7" w14:textId="77777777" w:rsidR="002363FE" w:rsidRDefault="00CC0653">
      <w:pPr>
        <w:spacing w:after="240" w:line="480" w:lineRule="auto"/>
      </w:pPr>
      <w:r>
        <w:rPr>
          <w:rFonts w:eastAsia="Times New Roman" w:cs="Times New Roman"/>
        </w:rPr>
        <w:t xml:space="preserve">The orientation of the study is </w:t>
      </w:r>
      <w:r>
        <w:rPr>
          <w:rFonts w:eastAsia="Times New Roman" w:cs="Times New Roman"/>
          <w:b/>
          <w:bCs/>
        </w:rPr>
        <w:t>explanatory</w:t>
      </w:r>
      <w:r>
        <w:rPr>
          <w:rFonts w:eastAsia="Times New Roman" w:cs="Times New Roman"/>
        </w:rPr>
        <w:t>: it seeks to explain why financial performance differs across firms and over time. Because the data are observational, the study estimates relationships under an identification strategy designed to mitigate endogeneity and reverse causality (Section 3.11) and interprets its findings as evidence consistent with, rather than proof of, the hypothesised mechanisms. The word causal is reserved for cases where the identifying assumptions are explicitly defended.</w:t>
      </w:r>
    </w:p>
    <w:p w14:paraId="7BBE894D" w14:textId="77777777" w:rsidR="00FF0FE9" w:rsidRPr="001710F7" w:rsidRDefault="00FF0FE9" w:rsidP="00F204DA">
      <w:pPr>
        <w:pStyle w:val="Heading2"/>
        <w:rPr>
          <w:rFonts w:ascii="Times New Roman" w:hAnsi="Times New Roman" w:cs="Times New Roman"/>
        </w:rPr>
      </w:pPr>
      <w:bookmarkStart w:id="53" w:name="_TocRev053"/>
      <w:r>
        <w:rPr>
          <w:rFonts w:ascii="Times New Roman" w:hAnsi="Times New Roman" w:cs="Times New Roman"/>
        </w:rPr>
        <w:lastRenderedPageBreak/>
        <w:t>3.4 Research Context</w:t>
      </w:r>
      <w:bookmarkEnd w:id="53"/>
    </w:p>
    <w:p w14:paraId="57A6389F" w14:textId="77777777" w:rsidR="001710F7" w:rsidRPr="001710F7" w:rsidRDefault="001710F7" w:rsidP="001710F7">
      <w:pPr>
        <w:spacing w:after="200" w:line="480" w:lineRule="auto"/>
        <w:rPr>
          <w:rFonts w:cs="Times New Roman"/>
        </w:rPr>
      </w:pPr>
      <w:r>
        <w:rPr>
          <w:rFonts w:eastAsia="Calibri" w:cs="Times New Roman"/>
        </w:rPr>
        <w:t>This study is situated within Ghana's downstream petroleum marketing sector, comprising BIDECs, OMCs, and LPGMCs operating under the regulatory oversight of the National Petroleum Authority during the period 2015:Q1 to 2024:Q4. The selection of this specific sectoral and temporal context is not incidental but is deliberate and justified by four considerations that collectively establish Ghana's downstream petroleum marketing sector as an analytically appropriate and policy-relevant setting for investigating the research objectives.</w:t>
      </w:r>
    </w:p>
    <w:p w14:paraId="1ED70A19" w14:textId="77777777" w:rsidR="001710F7" w:rsidRPr="001710F7" w:rsidRDefault="001710F7" w:rsidP="001710F7">
      <w:pPr>
        <w:spacing w:after="200" w:line="480" w:lineRule="auto"/>
        <w:rPr>
          <w:rFonts w:cs="Times New Roman"/>
        </w:rPr>
      </w:pPr>
      <w:r>
        <w:rPr>
          <w:rFonts w:eastAsia="Calibri" w:cs="Times New Roman"/>
        </w:rPr>
        <w:t>First, the sector's structural dependence on USD-denominated petroleum imports — combined with GHS-denominated domestic revenue streams — creates a direct, measurable, and institutionally embedded exposure to foreign exchange accessibility and exchange rate volatility that is unambiguous in its theoretical interpretation and observable in its financial consequences (NPA, 2022; Bank of Ghana, 2023). This structural feature makes the sector an ideal empirical laboratory for testing the theoretical predictions of exchange rate exposure theory (Adler &amp; Dumas, 1984) and financing constraints theory (Fazzari et al., 1988) simultaneously within a single, coherent institutional setting — an analytical opportunity that diversified or domestically oriented industries cannot provide.</w:t>
      </w:r>
    </w:p>
    <w:p w14:paraId="3AAB2EDC" w14:textId="77777777" w:rsidR="001710F7" w:rsidRPr="001710F7" w:rsidRDefault="001710F7" w:rsidP="001710F7">
      <w:pPr>
        <w:spacing w:after="200" w:line="480" w:lineRule="auto"/>
        <w:rPr>
          <w:rFonts w:cs="Times New Roman"/>
        </w:rPr>
      </w:pPr>
      <w:r>
        <w:rPr>
          <w:rFonts w:eastAsia="Calibri" w:cs="Times New Roman"/>
        </w:rPr>
        <w:t xml:space="preserve">Second, the 2015:Q1–2024:Q4 study period encompasses multiple distinct episodes of macroeconomic stress — including the balance-of-payments crisis of 2014–2016, the banking sector resolution of 2017–2019, the COVID-19 external shock of 2020, and the sovereign debt and foreign exchange crisis of 2022 — that generated substantial temporal variation in the study's key independent variables across the sample period (IMF, 2023; Bank of Ghana, 2023). This temporal variation is a prerequisite for identifying the effects of interest in panel econometric models, as </w:t>
        <w:lastRenderedPageBreak/>
        <w:t>Wooldridge (2019) and Baltagi (2021) establish that coefficient estimates are only meaningfully interpretable when sufficient variation exists in the regressors across both the cross-sectional and temporal dimensions of the panel. A study period confined to years of relative macroeconomic stability would lack the variation necessary to identify the performance effects of forex scarcity, exchange rate volatility, and liquidity stress with statistical precision.</w:t>
      </w:r>
    </w:p>
    <w:p w14:paraId="5431763A" w14:textId="77777777" w:rsidR="001710F7" w:rsidRPr="001710F7" w:rsidRDefault="001710F7" w:rsidP="001710F7">
      <w:pPr>
        <w:spacing w:after="200" w:line="480" w:lineRule="auto"/>
        <w:rPr>
          <w:rFonts w:cs="Times New Roman"/>
        </w:rPr>
      </w:pPr>
      <w:r>
        <w:rPr>
          <w:rFonts w:eastAsia="Calibri" w:cs="Times New Roman"/>
        </w:rPr>
        <w:t>Third, the three-category firm structure of Ghana's downstream petroleum sector — BIDECs, OMCs, and LPGMCs — provides natural cross-sectional heterogeneity in firm size, capital structure, forex exposure intensity, and financial risk profile that enriches the panel data environment and enables the identification of differential vulnerability patterns across firm categories (NPA, 2022). This heterogeneity is analytically valuable because it allows the study to test whether the theoretical relationships among the financial determinants and performance hold uniformly across firm types or whether they are conditioned by the structural and financial characteristics that differentiate BIDECs from OMCs and LPGMCs — a question with direct implications for the design of differentiated regulatory interventions.</w:t>
      </w:r>
    </w:p>
    <w:p w14:paraId="089173C7" w14:textId="77777777" w:rsidR="001710F7" w:rsidRPr="001710F7" w:rsidRDefault="001710F7" w:rsidP="001710F7">
      <w:pPr>
        <w:spacing w:after="200" w:line="480" w:lineRule="auto"/>
        <w:rPr>
          <w:rFonts w:cs="Times New Roman"/>
        </w:rPr>
      </w:pPr>
      <w:r>
        <w:rPr>
          <w:rFonts w:eastAsia="Calibri" w:cs="Times New Roman"/>
        </w:rPr>
        <w:t>Fourth, Ghana's downstream petroleum sector represents a research context in which the findings are simultaneously generalisable to comparable petroleum-dependent developing economies — including Nigeria, Côte d'Ivoire, Senegal, and Tanzania — and directly actionable for Ghanaian regulators and firm managers who currently lack the integrated empirical evidence base necessary for evidence-based financial governance of the sector (World Bank, 2021; IMF, 2023). The contextual specificity of the study therefore does not limit its broader scholarly contribution but rather grounds it in an empirically tractable and institutionally coherent setting that makes the findings credible, interpretable, and applicable beyond the immediate Ghanaian context.</w:t>
      </w:r>
    </w:p>
    <w:p w14:paraId="4F135190" w14:textId="77777777" w:rsidR="00FF0FE9" w:rsidRDefault="00FF0FE9" w:rsidP="00F204DA">
      <w:pPr>
        <w:pStyle w:val="Heading2"/>
      </w:pPr>
      <w:bookmarkStart w:id="54" w:name="_TocRev054"/>
      <w:r>
        <w:lastRenderedPageBreak/>
        <w:t>3.5 Research Design</w:t>
      </w:r>
      <w:bookmarkEnd w:id="54"/>
    </w:p>
    <w:p w14:paraId="332CEAF6" w14:textId="77777777" w:rsidR="002363FE" w:rsidRDefault="00CC0653">
      <w:pPr>
        <w:spacing w:after="240" w:line="480" w:lineRule="auto"/>
      </w:pPr>
      <w:r>
        <w:rPr>
          <w:rFonts w:eastAsia="Times New Roman" w:cs="Times New Roman"/>
        </w:rPr>
        <w:t xml:space="preserve">The study adopts a </w:t>
      </w:r>
      <w:r>
        <w:rPr>
          <w:rFonts w:eastAsia="Times New Roman" w:cs="Times New Roman"/>
          <w:b/>
          <w:bCs/>
        </w:rPr>
        <w:t>longitudinal quantitative explanatory research design using dynamic panel econometrics</w:t>
      </w:r>
      <w:r>
        <w:rPr>
          <w:rFonts w:eastAsia="Times New Roman" w:cs="Times New Roman"/>
        </w:rPr>
        <w:t>. The design combines a cross-sectional dimension (firms in the three categories) with a time dimension (quarters), which allows the study to separate within-firm changes over time from differences between firms and to model the persistence of performance (Baltagi, 2021; Wooldridge, 2019).</w:t>
      </w:r>
    </w:p>
    <w:p w14:paraId="5D3EBD8D" w14:textId="77777777" w:rsidR="002363FE" w:rsidRDefault="00CC0653">
      <w:pPr>
        <w:spacing w:after="240" w:line="480" w:lineRule="auto"/>
      </w:pPr>
      <w:r>
        <w:rPr>
          <w:rFonts w:eastAsia="Times New Roman" w:cs="Times New Roman"/>
        </w:rPr>
        <w:t xml:space="preserve">The study period is fixed at </w:t>
      </w:r>
      <w:r>
        <w:rPr>
          <w:rFonts w:eastAsia="Times New Roman" w:cs="Times New Roman"/>
          <w:b/>
          <w:bCs/>
        </w:rPr>
        <w:t>2015:Q1 to 2024:Q4, giving 40 quarters</w:t>
      </w:r>
      <w:r>
        <w:rPr>
          <w:rFonts w:eastAsia="Times New Roman" w:cs="Times New Roman"/>
        </w:rPr>
        <w:t xml:space="preserve">, and is used consistently throughout the study for the population definition, the panel, the GARCH/EGARCH estimation and the interpretation of crisis episodes. This window is chosen because daily GHS/USD exchange rate data are complete through December 2024 and the 2024 financial year is the latest for which audited financial statements can be expected to be available for all firms at the time of data collection. The window covers the 2015–2016 balance-of-payments pressures, the 2017–2019 banking sector clean-up, the 2020 COVID-19 shock and the 2022–2023 debt and foreign exchange crisis. The cross-sectional dimension consists of all eligible firms in the sampling frame described in Section 3.6.1, so the number of firm-quarter observations is determined transparently by the frame rather than fixed in advance.</w:t>
      </w:r>
    </w:p>
    <w:p w14:paraId="4AFAB06D" w14:textId="77777777" w:rsidR="002363FE" w:rsidRDefault="00CC0653">
      <w:pPr>
        <w:spacing w:after="240" w:line="480" w:lineRule="auto"/>
      </w:pPr>
      <w:r>
        <w:rPr>
          <w:rFonts w:eastAsia="Times New Roman" w:cs="Times New Roman"/>
        </w:rPr>
        <w:t xml:space="preserve">The design is implemented as a sequence of models in which earlier stages supply inputs to later ones: exchange rate volatility is estimated first; the main dynamic panel model then estimates the direct effects; the heterogeneity, lagged mediation and moderation models follow; and the Panel VAR and ARIMAX models examine the dynamic interdependencies. Models 2 to 5 form the core of the study; the Panel VAR, ARIMAX and Monte Carlo analyses are supporting and are reported only when the conditions in Section 3.9.4 are met. The panel is quarterly if the pilot data audit shows that enough firms have observed quarterly data, and annual otherwise (Rule D2, Section 3.7.6). This sequence is described in Section 3.9 and specified in Section 3.10.</w:t>
      </w:r>
    </w:p>
    <w:p w14:paraId="0E4F1626" w14:textId="77777777" w:rsidR="004D7763" w:rsidRDefault="004D7763" w:rsidP="00F204DA">
      <w:pPr>
        <w:pStyle w:val="Heading2"/>
      </w:pPr>
      <w:bookmarkStart w:id="55" w:name="_TocRev055"/>
      <w:r>
        <w:lastRenderedPageBreak/>
        <w:t>3.6 Target Population</w:t>
      </w:r>
      <w:bookmarkEnd w:id="55"/>
    </w:p>
    <w:p w14:paraId="0B116D66" w14:textId="77777777" w:rsidR="00ED7A1B" w:rsidRPr="00FB3C6E" w:rsidRDefault="00ED7A1B" w:rsidP="00ED7A1B">
      <w:pPr>
        <w:spacing w:after="200" w:line="480" w:lineRule="auto"/>
        <w:rPr>
          <w:rFonts w:cs="Times New Roman"/>
        </w:rPr>
      </w:pPr>
      <w:r>
        <w:rPr>
          <w:rFonts w:eastAsia="Times New Roman" w:cs="Times New Roman"/>
        </w:rPr>
        <w:t xml:space="preserve">The target population of this study comprises all petroleum marketing firms licensed by, and actively operating under, the National Petroleum Authority in Ghana during the period 2015:Q1 to 2024:Q4, in three firm categories: Bulk Import, Distribution and Export Companies, Oil Marketing Companies and Liquefied Petroleum Gas Marketing Companies (NPA, 2022). The population is defined by the NPA register of licensed companies at the end of each year from 2015 to 2024, not by an approximate count at a single date, because licences are issued, suspended and revoked over the period. The dated number of registered firms in each category is obtained from the NPA as the first step of the pilot data audit (Section 3.7.6) and is reported with the date of the register extract on which it is based.</w:t>
      </w:r>
    </w:p>
    <w:p w14:paraId="369EA15F" w14:textId="77777777" w:rsidR="00ED7A1B" w:rsidRPr="00FB3C6E" w:rsidRDefault="00ED7A1B" w:rsidP="00ED7A1B">
      <w:pPr>
        <w:spacing w:after="200" w:line="480" w:lineRule="auto"/>
        <w:rPr>
          <w:rFonts w:cs="Times New Roman"/>
        </w:rPr>
      </w:pPr>
      <w:r>
        <w:rPr>
          <w:rFonts w:eastAsia="Calibri" w:cs="Times New Roman"/>
        </w:rPr>
        <w:t>The definition of the target population is deliberately bounded by three criteria that collectively ensure its analytical coherence and relevance to the research objectives. The first criterion is regulatory licensure — only firms holding active NPA operating licences during the study period are included in the target population, as NPA licensure is the institutional mechanism through which firms are subject to the regulatory price-setting framework, forex allocation procedures, and operational reporting requirements that constitute the institutional context within which the study's financial determinants operate (NPA, 2022). Unlicensed or informally operating petroleum distributors — which exist in Ghana's market but operate outside the NPA regulatory framework — are excluded because their financial performance is not subject to the same institutional constraints and is not captured in the regulatory reporting systems from which the study's primary data are drawn.</w:t>
      </w:r>
    </w:p>
    <w:p w14:paraId="7EA17FA4" w14:textId="77777777" w:rsidR="00ED7A1B" w:rsidRPr="00FB3C6E" w:rsidRDefault="00ED7A1B" w:rsidP="00ED7A1B">
      <w:pPr>
        <w:spacing w:after="200" w:line="480" w:lineRule="auto"/>
        <w:rPr>
          <w:rFonts w:cs="Times New Roman"/>
        </w:rPr>
      </w:pPr>
      <w:r>
        <w:rPr>
          <w:rFonts w:eastAsia="Times New Roman" w:cs="Times New Roman"/>
        </w:rPr>
        <w:t xml:space="preserve">The second criterion is operational continuity: a firm must have held an active licence for at least twelve consecutive quarters (three years) within 2015:Q1–2024:Q4. This ensures that each firm contributes enough consecutive observations for the lagged instruments of the dynamic panel model, which use lags t−2 and t−3, and for the lagged investment-channel model, which uses quarters t, t+1 and t+2 (Roodman, 2009; Baltagi, 2021). The criterion concerns the firm panel only. The GARCH/EGARCH volatility model is estimated on the national daily exchange rate series (Section 3.10.2) and does not depend on the number of firms or on the length of their observation windows.</w:t>
      </w:r>
    </w:p>
    <w:p w14:paraId="14AAB762" w14:textId="77777777" w:rsidR="00ED7A1B" w:rsidRPr="00FB3C6E" w:rsidRDefault="00ED7A1B" w:rsidP="00ED7A1B">
      <w:pPr>
        <w:spacing w:after="200" w:line="480" w:lineRule="auto"/>
        <w:rPr>
          <w:rFonts w:cs="Times New Roman"/>
        </w:rPr>
      </w:pPr>
      <w:r>
        <w:rPr>
          <w:rFonts w:eastAsia="Times New Roman" w:cs="Times New Roman"/>
        </w:rPr>
        <w:t xml:space="preserve">The third criterion is financial reporting availability: a firm must have financial statements available from one of the accessible sources described in Section 3.7, in a form that permits the construction of the core variables (net income, total assets, total equity, current assets and liabilities, capital expenditure and interest-bearing debt). Reporting quality is uneven across the population, with larger BIDECs and multinational OMCs likely to keep more consistent records than smaller domestically owned firms (Abor &amp; Quartey, 2010). Under the quarterly design, firms with fewer than twelve consecutive quarters of observed (not interpolated) data are excluded; under the annual design adopted if Rule D2 in Section 3.7.6 applies, firms with fewer than four consecutive annual statements are excluded.</w:t>
      </w:r>
    </w:p>
    <w:p w14:paraId="7449E75E" w14:textId="77777777" w:rsidR="00ED7A1B" w:rsidRPr="00ED7A1B" w:rsidRDefault="00ED7A1B" w:rsidP="00ED7A1B">
      <w:pPr>
        <w:spacing w:after="200" w:line="480" w:lineRule="auto"/>
        <w:rPr>
          <w:rFonts w:cs="Times New Roman"/>
        </w:rPr>
      </w:pPr>
      <w:r>
        <w:rPr>
          <w:rFonts w:eastAsia="Calibri" w:cs="Times New Roman"/>
        </w:rPr>
        <w:t xml:space="preserve">The three firm categories within the target population — BIDECs, OMCs, and LPGMCs — are treated as analytically distinct subpopulations rather than as a homogeneous aggregate, reflecting the theoretical expectation that financial performance determinants operate differently across firm categories due to structural differences in forex exposure intensity, capital structure, regulatory </w:t>
        <w:lastRenderedPageBreak/>
        <w:t>pricing constraints, and financial risk profiles (NPA, 2022). BIDECs, as bulk importers operating entirely in USD-denominated import markets, bear the most direct and immediate exposure to forex accessibility and exchange rate volatility. OMCs exhibit intermediate exposure, absorbing the regulated price adjustment lags that create involuntary margin compression during depreciation episodes. LPGMCs face the most acute vulnerability to combined forex and liquidity stress due to their structurally thin operating margins and high capital requirements relative to revenue scale. This categorical heterogeneity is incorporated into the study's empirical design through the firm-category interaction specification in Section 3.10.4, enabling the identification of differential financial performance dynamics across BIDECs, OMCs, and LPGMCs that sector-level aggregate analyses systematically obscure (Wooldridge, 2019; Baltagi, 2021).</w:t>
      </w:r>
    </w:p>
    <w:p w14:paraId="523DE6E6" w14:textId="77777777" w:rsidR="002363FE" w:rsidRDefault="00CC0653">
      <w:pPr>
        <w:pStyle w:val="Heading3"/>
      </w:pPr>
      <w:bookmarkStart w:id="56" w:name="_TocRev056"/>
      <w:r>
        <w:t>3.6.1 Sampling Frame, Sample Size and Allocation</w:t>
      </w:r>
      <w:bookmarkEnd w:id="56"/>
    </w:p>
    <w:p w14:paraId="2BCFF92C" w14:textId="77777777" w:rsidR="002363FE" w:rsidRDefault="00CC0653">
      <w:pPr>
        <w:spacing w:after="240" w:line="480" w:lineRule="auto"/>
      </w:pPr>
      <w:r>
        <w:rPr>
          <w:rFonts w:eastAsia="Times New Roman" w:cs="Times New Roman"/>
        </w:rPr>
        <w:t xml:space="preserve">Rather than selecting a fixed number of firms purposively, the study takes all eligible firms whose data can be obtained, that is, a census of the accessible eligible population. A census removes the need to justify an arbitrary sample size, avoids researcher discretion in choosing firms and maximises the number of cross-sectional units, which matters for System GMM because the number of instruments must remain well below the number of firms (Roodman, 2009).</w:t>
      </w:r>
    </w:p>
    <w:p w14:paraId="6496CAE0" w14:textId="77777777" w:rsidR="002363FE" w:rsidRDefault="00CC0653">
      <w:pPr>
        <w:spacing w:after="240" w:line="480" w:lineRule="auto"/>
      </w:pPr>
      <w:r>
        <w:rPr>
          <w:rFonts w:eastAsia="Times New Roman" w:cs="Times New Roman"/>
        </w:rPr>
        <w:t xml:space="preserve">Data access, rather than cost, is the constraint most likely to bind. A random sample drawn because access is difficult would not remove the selection created by access, since it would still be drawn only from firms whose data can be obtained. The census is therefore not converted into a random sample on grounds of access. The following rules are fixed in advance and applied once, at the end of the pilot data audit (Section 3.7.6) and before any outcome data are analysed:</w:t>
      </w:r>
    </w:p>
    <w:p>
      <w:pPr>
        <w:spacing w:after="120" w:line="480" w:lineRule="auto"/>
        <w:ind w:left="720" w:hanging="360"/>
        <w:jc w:val="both"/>
      </w:pPr>
      <w:r>
        <w:rPr>
          <w:rFonts w:eastAsia="Times New Roman" w:cs="Times New Roman"/>
          <w:b/>
          <w:bCs/>
        </w:rPr>
        <w:t xml:space="preserve">Rule S1 (census).</w:t>
      </w:r>
      <w:r>
        <w:rPr>
          <w:rFonts w:eastAsia="Times New Roman" w:cs="Times New Roman"/>
        </w:rPr>
        <w:t xml:space="preserve"> All BIDECs, OMCs and LPGMCs that meet the three eligibility criteria and whose data are accessible are included.</w:t>
      </w:r>
    </w:p>
    <w:p>
      <w:pPr>
        <w:spacing w:after="120" w:line="480" w:lineRule="auto"/>
        <w:ind w:left="720" w:hanging="360"/>
        <w:jc w:val="both"/>
      </w:pPr>
      <w:r>
        <w:rPr>
          <w:rFonts w:eastAsia="Times New Roman" w:cs="Times New Roman"/>
          <w:b/>
          <w:bCs/>
        </w:rPr>
        <w:t xml:space="preserve">Rule S2 (processing limit).</w:t>
      </w:r>
      <w:r>
        <w:rPr>
          <w:rFonts w:eastAsia="Times New Roman" w:cs="Times New Roman"/>
        </w:rPr>
        <w:t xml:space="preserve"> A stratified random sample is drawn within a category only if the number of eligible firms with accessible data exceeds the number whose statements can be coded within the data-collection period, set in advance at 120 OMCs and 60 LPGMCs. The sample is then stratified by terciles of NPA-reported sales volume and allocated proportionally, and the sampling fraction and random seed are recorded. BIDECs are never sampled.</w:t>
      </w:r>
    </w:p>
    <w:p>
      <w:pPr>
        <w:spacing w:after="120" w:line="480" w:lineRule="auto"/>
        <w:ind w:left="720" w:hanging="360"/>
        <w:jc w:val="both"/>
      </w:pPr>
      <w:r>
        <w:rPr>
          <w:rFonts w:eastAsia="Times New Roman" w:cs="Times New Roman"/>
          <w:b/>
          <w:bCs/>
        </w:rPr>
        <w:t xml:space="preserve">Rule S3 (minimum category size).</w:t>
      </w:r>
      <w:r>
        <w:rPr>
          <w:rFonts w:eastAsia="Times New Roman" w:cs="Times New Roman"/>
        </w:rPr>
        <w:t xml:space="preserve"> Category-specific estimates are reported only for categories with at least 15 eligible firms with usable data. A smaller category, which is likely for BIDECs, enters only the pooled model through category interactions.</w:t>
      </w:r>
    </w:p>
    <w:p>
      <w:pPr>
        <w:spacing w:after="120" w:line="480" w:lineRule="auto"/>
        <w:ind w:left="720" w:hanging="360"/>
        <w:jc w:val="both"/>
      </w:pPr>
      <w:r>
        <w:rPr>
          <w:rFonts w:eastAsia="Times New Roman" w:cs="Times New Roman"/>
          <w:b/>
          <w:bCs/>
        </w:rPr>
        <w:t xml:space="preserve">Rule S4 (selection check).</w:t>
      </w:r>
      <w:r>
        <w:rPr>
          <w:rFonts w:eastAsia="Times New Roman" w:cs="Times New Roman"/>
        </w:rPr>
        <w:t xml:space="preserve"> Included and excluded eligible firms are compared on characteristics that the NPA records for all licensed firms (category, licence age and reported sales or import volumes). Inverse-probability weights based on these characteristics are used in a robustness check, and the comparison is reported whatever its result.</w:t>
      </w:r>
    </w:p>
    <w:p w14:paraId="07F1CE91" w14:textId="77777777" w:rsidR="002363FE" w:rsidRDefault="00CC0653">
      <w:pPr>
        <w:keepNext/>
        <w:spacing w:before="240" w:after="120"/>
        <w:jc w:val="left"/>
      </w:pPr>
      <w:r>
        <w:rPr>
          <w:rFonts w:eastAsia="Times New Roman" w:cs="Times New Roman"/>
          <w:b/>
          <w:bCs/>
        </w:rPr>
        <w:t xml:space="preserve">Table 3.1: Population Source, Eligibility and Selection Rules by Firm Category</w:t>
      </w:r>
    </w:p>
    <w:tbl>
      <w:tblPr>
        <w:tblStyle w:val="TableGrid"/>
        <w:tblW w:w="9360" w:type="dxa"/>
        <w:tblLayout w:type="fixed"/>
        <w:tblLook w:val="04A0" w:firstRow="1" w:lastRow="0" w:firstColumn="1" w:lastColumn="0" w:noHBand="0" w:noVBand="1"/>
      </w:tblPr>
      <w:tblGrid>
        <w:gridCol w:w="1300"/>
        <w:gridCol w:w="2300"/>
        <w:gridCol w:w="2160"/>
        <w:gridCol w:w="1900"/>
        <w:gridCol w:w="1700"/>
      </w:tblGrid>
      <w:tr>
        <w:trPr>
          <w:cantSplit/>
          <w:tblHeader/>
        </w:trPr>
        <w:tc>
          <w:tcPr>
            <w:tcW w:w="13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Firm category</w:t>
            </w:r>
          </w:p>
        </w:tc>
        <w:tc>
          <w:tcPr>
            <w:tcW w:w="23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Population source</w:t>
            </w:r>
          </w:p>
        </w:tc>
        <w:tc>
          <w:tcPr>
            <w:tcW w:w="216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Eligibility (Section 3.6)</w:t>
            </w:r>
          </w:p>
        </w:tc>
        <w:tc>
          <w:tcPr>
            <w:tcW w:w="19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Selection rule</w:t>
            </w:r>
          </w:p>
        </w:tc>
        <w:tc>
          <w:tcPr>
            <w:tcW w:w="17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Category-specific estimates</w:t>
            </w:r>
          </w:p>
        </w:tc>
      </w:tr>
      <w:tr>
        <w:trPr>
          <w:cantSplit/>
        </w:trPr>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BIDECs</w:t>
            </w:r>
          </w:p>
        </w:tc>
        <w:tc>
          <w:tcPr>
            <w:tcW w:w="2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NPA register of licensed companies, year-end extracts 2015–2024</w:t>
            </w:r>
          </w:p>
        </w:tc>
        <w:tc>
          <w:tcPr>
            <w:tcW w:w="2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Licensed ≥ 12 consecutive quarters; usable data</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Census (S1); never sampled</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Only if ≥ 15 usable firms (S3); otherwise pooled interactions only</w:t>
            </w:r>
          </w:p>
        </w:tc>
      </w:tr>
      <w:tr>
        <w:trPr>
          <w:cantSplit/>
        </w:trPr>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OMCs</w:t>
            </w:r>
          </w:p>
        </w:tc>
        <w:tc>
          <w:tcPr>
            <w:tcW w:w="2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NPA register of licensed companies, year-end extracts 2015–2024</w:t>
            </w:r>
          </w:p>
        </w:tc>
        <w:tc>
          <w:tcPr>
            <w:tcW w:w="2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Licensed ≥ 12 consecutive quarters; usable data</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Census (S1); stratified random sample only if &gt; 120 accessible eligible firms (S2)</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Yes if ≥ 15 usable firms (S3)</w:t>
            </w:r>
          </w:p>
        </w:tc>
      </w:tr>
      <w:tr>
        <w:trPr>
          <w:cantSplit/>
        </w:trPr>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LPGMCs</w:t>
            </w:r>
          </w:p>
        </w:tc>
        <w:tc>
          <w:tcPr>
            <w:tcW w:w="2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NPA register of licensed companies, year-end extracts 2015–2024</w:t>
            </w:r>
          </w:p>
        </w:tc>
        <w:tc>
          <w:tcPr>
            <w:tcW w:w="2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Licensed ≥ 12 consecutive quarters; usable data</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Census (S1); stratified random sample only if &gt; 60 accessible eligible firms (S2)</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Yes if ≥ 15 usable firms (S3)</w:t>
            </w:r>
          </w:p>
        </w:tc>
      </w:tr>
      <w:tr>
        <w:trPr>
          <w:cantSplit/>
        </w:trPr>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All</w:t>
            </w:r>
          </w:p>
        </w:tc>
        <w:tc>
          <w:tcPr>
            <w:tcW w:w="2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Counts by category reported from the pilot audit with the date of each register extract</w:t>
            </w:r>
          </w:p>
        </w:tc>
        <w:tc>
          <w:tcPr>
            <w:tcW w:w="2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Excluded firms compared with included firms (S4)</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Rules applied once, before outcome analysis</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Pooled model always estimated</w:t>
            </w:r>
          </w:p>
        </w:tc>
      </w:tr>
    </w:tbl>
    <w:p w14:paraId="42A510D6" w14:textId="77777777" w:rsidR="002363FE" w:rsidRDefault="00CC0653">
      <w:pPr>
        <w:spacing w:before="60" w:after="240"/>
        <w:jc w:val="left"/>
      </w:pPr>
      <w:r>
        <w:rPr>
          <w:rFonts w:eastAsia="Times New Roman" w:cs="Times New Roman"/>
          <w:i/>
          <w:iCs/>
          <w:sz w:val="20"/>
          <w:szCs w:val="20"/>
        </w:rPr>
        <w:t xml:space="preserve">Source: Author's sampling design (2026). Counts of registered, eligible and usable firms are produced by the pilot data audit (Section 3.7.6).</w:t>
      </w:r>
    </w:p>
    <w:p w14:paraId="5183BF8D" w14:textId="77777777" w:rsidR="002363FE" w:rsidRDefault="00CC0653">
      <w:pPr>
        <w:spacing w:after="240" w:line="480" w:lineRule="auto"/>
      </w:pPr>
      <w:r>
        <w:rPr>
          <w:rFonts w:eastAsia="Times New Roman" w:cs="Times New Roman"/>
        </w:rPr>
        <w:t>The final panel is expected to be unbalanced because firms enter, exit and report irregularly. The study will report whether the final panel is balanced, the number of firm-quarter observations by category, and the extent of missing data before and after the treatment described in Section 3.7.5.</w:t>
      </w:r>
    </w:p>
    <w:p w14:paraId="46586DF2" w14:textId="77777777" w:rsidR="002363FE" w:rsidRDefault="00CC0653">
      <w:pPr>
        <w:pStyle w:val="Heading3"/>
      </w:pPr>
      <w:bookmarkStart w:id="57" w:name="_TocRev057"/>
      <w:r>
        <w:t>3.6.2 Survivorship and Selection Bias</w:t>
      </w:r>
      <w:bookmarkEnd w:id="57"/>
    </w:p>
    <w:p w14:paraId="497EC211" w14:textId="77777777" w:rsidR="002363FE" w:rsidRDefault="00CC0653">
      <w:pPr>
        <w:spacing w:after="240" w:line="480" w:lineRule="auto"/>
      </w:pPr>
      <w:r>
        <w:rPr>
          <w:rFonts w:eastAsia="Times New Roman" w:cs="Times New Roman"/>
        </w:rPr>
        <w:t xml:space="preserve">The eligibility criteria exclude firms that held a licence for fewer than twelve consecutive quarters within the study period or have insufficient data. The resulting sample therefore consists of firms that survived and reported well enough to be observed, and such firms are likely to be larger and financially healthier than the population as a whole. This </w:t>
      </w:r>
      <w:r>
        <w:rPr>
          <w:rFonts w:eastAsia="Times New Roman" w:cs="Times New Roman"/>
          <w:b/>
          <w:bCs/>
        </w:rPr>
        <w:t>survivorship and selection bias</w:t>
      </w:r>
      <w:r>
        <w:rPr>
          <w:rFonts w:eastAsia="Times New Roman" w:cs="Times New Roman"/>
        </w:rPr>
        <w:t xml:space="preserve"> may understate the harmful effects of forex scarcity, illiquidity and exchange rate volatility, because the firms most damaged by these conditions are the most likely to exit or stop reporting.</w:t>
      </w:r>
    </w:p>
    <w:p w14:paraId="1EE7E842" w14:textId="77777777" w:rsidR="002363FE" w:rsidRDefault="00CC0653">
      <w:pPr>
        <w:spacing w:after="240" w:line="480" w:lineRule="auto"/>
      </w:pPr>
      <w:r>
        <w:rPr>
          <w:rFonts w:eastAsia="Times New Roman" w:cs="Times New Roman"/>
        </w:rPr>
        <w:t xml:space="preserve">The study addresses this concern in five ways. First, the main estimates use the unbalanced panel, which retains firms for the quarters in which they are observed. Second, the model is re-estimated on the balanced panel of firms observed throughout the period. Third, the minimum-observation threshold is varied (eight, twelve and sixteen consecutive quarters). Fourth, an entry/exit indicator is included to test whether firms that enter or exit during the period behave differently. Fifth, the inverse-probability weights of Rule S4 are applied. If the results change substantially across these samples, that will itself be reported as an important finding about the sector.</w:t>
      </w:r>
    </w:p>
    <w:p w14:paraId="41C5FCE6" w14:textId="77777777" w:rsidR="004D7763" w:rsidRDefault="00F74BA7" w:rsidP="00F204DA">
      <w:pPr>
        <w:pStyle w:val="Heading2"/>
      </w:pPr>
      <w:bookmarkStart w:id="58" w:name="_TocRev058"/>
      <w:r>
        <w:t>3.7 Data Sources and Collection Procedures</w:t>
      </w:r>
      <w:bookmarkEnd w:id="58"/>
    </w:p>
    <w:p w14:paraId="6383E3FC" w14:textId="77777777" w:rsidR="00754637" w:rsidRPr="00754637" w:rsidRDefault="00754637" w:rsidP="00754637">
      <w:pPr>
        <w:spacing w:after="200" w:line="480" w:lineRule="auto"/>
        <w:rPr>
          <w:rFonts w:cs="Times New Roman"/>
        </w:rPr>
      </w:pPr>
      <w:r>
        <w:rPr>
          <w:rFonts w:eastAsia="Times New Roman" w:cs="Times New Roman"/>
        </w:rPr>
        <w:t xml:space="preserve">This study relies on secondary (archival) data rather than surveys. Four kinds of data are used: (i) firms' audited annual financial statements and, where they exist, quarterly interim or management accounts, obtained from published reports for listed firms, from the NPA if it agrees to release them under a formal data-access request, or directly from firms with written consent; (ii) company-level operational data, such as sales and import volumes, from the NPA; (iii) daily exchange rate data from the Bank of Ghana; and (iv) macroeconomic data from the IMF, the World Bank and the Ghana Statistical Service. Firm-level foreign exchange records (requests, letter-of-credit applications and settlement rates) can only come from the firms themselves and are obtained with written consent. Which of these sources can actually be obtained, for how many firms and at what frequency, is established in the pilot data audit (Section 3.7.6). The study does not assume access to any confidential record for which documented permission has not been obtained (Section 3.14).</w:t>
      </w:r>
    </w:p>
    <w:p w14:paraId="55CE31FB" w14:textId="77777777" w:rsidR="00F74BA7" w:rsidRDefault="00F74BA7" w:rsidP="00B07880">
      <w:pPr>
        <w:pStyle w:val="Heading3"/>
      </w:pPr>
      <w:bookmarkStart w:id="59" w:name="_TocRev059"/>
      <w:r>
        <w:t>3.7.1 National Petroleum Authority Regulatory Filings</w:t>
      </w:r>
      <w:bookmarkEnd w:id="59"/>
    </w:p>
    <w:p w14:paraId="6260588D" w14:textId="77777777" w:rsidR="00F74BA7" w:rsidRDefault="00F74BA7" w:rsidP="00607B9F">
      <w:pPr>
        <w:spacing w:line="480" w:lineRule="auto"/>
      </w:pPr>
      <w:r>
        <w:rPr>
          <w:rFonts w:eastAsia="Times New Roman" w:cs="Times New Roman"/>
        </w:rPr>
        <w:t xml:space="preserve">The NPA is the expected source of the population register and of company-level operational data, such as sales and import volumes, which it collects in regulating the sector. It is also a potential source of firms' financial statements where these are submitted to it in connection with licensing. Whether, and in what form, these records can be released for research is established in the pilot data audit through a formal written request to the NPA, supported by a letter from the University and, if necessary, a request under the Right to Information Act, 2019 (Act 989). The study does not assume that financial statements exist at the NPA for every firm or that they will be released. From whichever source is accessible, the following variables are extracted for each firm and period: revenue, net income, EBITDA, total assets, total equity, capital expenditure, current assets, current liabilities, total and short-term interest-bearing debt, interest expense, operating cash flow, USD-denominated monetary assets and liabilities (from the currency-risk note required by IFRS 7) and import volumes.</w:t>
      </w:r>
    </w:p>
    <w:p w14:paraId="2532086B" w14:textId="77777777" w:rsidR="002363FE" w:rsidRDefault="00CC0653">
      <w:pPr>
        <w:spacing w:after="240" w:line="480" w:lineRule="auto"/>
      </w:pPr>
      <w:r>
        <w:rPr>
          <w:rFonts w:eastAsia="Times New Roman" w:cs="Times New Roman"/>
          <w:b/>
          <w:bCs/>
        </w:rPr>
        <w:t>Treatment of data frequency.</w:t>
      </w:r>
      <w:r>
        <w:rPr>
          <w:rFonts w:eastAsia="Times New Roman" w:cs="Times New Roman"/>
        </w:rPr>
        <w:t xml:space="preserve"> The study uses actual quarterly firm-level data wherever they exist. Interpolating annual financial statements into quarterly values would create artificial within-year variation, which is particularly problematic for a study that relies on dynamic GMM, lagged variables and lagged mediation, because the estimators could be fitted partly to synthetic observations. The study therefore (i) identifies, for each variable and firm, whether it is genuinely observed quarterly or only annually; (ii) conducts the </w:t>
      </w:r>
      <w:r>
        <w:rPr>
          <w:rFonts w:eastAsia="Times New Roman" w:cs="Times New Roman"/>
          <w:b/>
          <w:bCs/>
        </w:rPr>
        <w:t>principal analysis on observed quarterly data only</w:t>
      </w:r>
      <w:r>
        <w:rPr>
          <w:rFonts w:eastAsia="Times New Roman" w:cs="Times New Roman"/>
        </w:rPr>
        <w:t xml:space="preserve">; and (iii) uses quarterly values disaggregated from annual data by the Chow–Lin procedure (Chow &amp; Lin, 1971; Sax &amp; Steiner, 2013), with NPA monthly sales and import volumes as related indicators, </w:t>
      </w:r>
      <w:r>
        <w:rPr>
          <w:rFonts w:eastAsia="Times New Roman" w:cs="Times New Roman"/>
          <w:b/>
          <w:bCs/>
        </w:rPr>
        <w:t>only in robustness analysis</w:t>
      </w:r>
      <w:r>
        <w:rPr>
          <w:rFonts w:eastAsia="Times New Roman" w:cs="Times New Roman"/>
        </w:rPr>
        <w:t xml:space="preserve">. If the quarterly panel fails the threshold in Rule D2 (Section 3.7.6), the annual panel becomes the primary panel and the quarterly data, for the firms that have them, are analysed as a supplementary sample; the frequency of each variable is reported in the operationalisation table. Interpolated data are not used as the primary basis for any hypothesis test.</w:t>
      </w:r>
    </w:p>
    <w:p w14:paraId="0B79B9A1" w14:textId="77777777" w:rsidR="00F74BA7" w:rsidRDefault="00F74BA7" w:rsidP="00B07880">
      <w:pPr>
        <w:pStyle w:val="Heading3"/>
      </w:pPr>
      <w:bookmarkStart w:id="60" w:name="_TocRev060"/>
      <w:r>
        <w:t>3.7.2 Bank of Ghana Exchange Rate and Forex Publications</w:t>
      </w:r>
      <w:bookmarkEnd w:id="60"/>
    </w:p>
    <w:p w14:paraId="57D31746" w14:textId="77777777" w:rsidR="00F74BA7" w:rsidRDefault="00F74BA7" w:rsidP="00607B9F">
      <w:pPr>
        <w:spacing w:line="480" w:lineRule="auto"/>
      </w:pPr>
      <w:r>
        <w:rPr>
          <w:rFonts w:eastAsia="Times New Roman" w:cs="Times New Roman"/>
        </w:rPr>
        <w:t xml:space="preserve">The exchange rate series is the Bank of Ghana daily interbank GHS/USD rate, taken as the mid-rate (the average of the published buying and selling rates) for each trading day from 2 January 2015 to 31 December 2024, which gives approximately 2,500 daily observations. These daily data are used only to estimate volatility (Section 3.10.2). The quarterly volatility measure that enters the panel models is the within-quarter mean of the estimated daily conditional variance; the same daily series also supplies the quarterly depreciation and appreciation variables and the reference rate against which firms' foreign exchange premiums are measured.</w:t>
      </w:r>
    </w:p>
    <w:p w14:paraId="5830C4B3" w14:textId="77777777" w:rsidR="00F74BA7" w:rsidRDefault="00F74BA7" w:rsidP="00607B9F">
      <w:pPr>
        <w:spacing w:line="480" w:lineRule="auto"/>
      </w:pPr>
      <w:r>
        <w:rPr>
          <w:rFonts w:eastAsia="Times New Roman" w:cs="Times New Roman"/>
        </w:rPr>
        <w:t xml:space="preserve">The official interbank rate rather than a parallel-market rate is used because it is the benchmark against which petroleum import prices are calculated and letters of credit are settled, making it the economically relevant rate for the import cost and working capital channels (Krugman &amp; Obstfeld, 2022). Sector-wide indicators of foreign exchange conditions, such as the spread between retail (forex bureau) and interbank rates where these rates are published, are time-level series common to all firms. They are used only to validate the firm-level forex accessibility index and to construct the fallback access measure in Section 3.8.2; they are not treated as firm-level measures. Firm-specific premiums are measured from firms' own settlement records, as the effective rate paid relative to the interbank mid-rate on the settlement date.</w:t>
      </w:r>
    </w:p>
    <w:p w14:paraId="61F6F2EC" w14:textId="77777777" w:rsidR="002363FE" w:rsidRDefault="00CC0653">
      <w:pPr>
        <w:pStyle w:val="Heading3"/>
      </w:pPr>
      <w:bookmarkStart w:id="61" w:name="_TocRev061"/>
      <w:r>
        <w:rPr>
          <w:rFonts w:eastAsia="Times New Roman" w:cs="Times New Roman"/>
        </w:rPr>
        <w:t xml:space="preserve">3.7.3 Ghana Revenue Authority Records (Used Only with Documented Permission)</w:t>
      </w:r>
      <w:bookmarkEnd w:id="61"/>
    </w:p>
    <w:p w14:paraId="59D23727" w14:textId="77777777" w:rsidR="00530CD3" w:rsidRPr="00263A1F" w:rsidRDefault="00530CD3" w:rsidP="00263A1F">
      <w:pPr>
        <w:spacing w:after="200" w:line="480" w:lineRule="auto"/>
        <w:rPr>
          <w:rFonts w:cs="Times New Roman"/>
          <w:color w:val="000000" w:themeColor="text1"/>
        </w:rPr>
      </w:pPr>
      <w:r>
        <w:rPr>
          <w:rFonts w:eastAsia="Times New Roman" w:cs="Times New Roman"/>
        </w:rPr>
        <w:t xml:space="preserve">Corporate tax returns held by the Ghana Revenue Authority (GRA) are confidential taxpayer information under the Revenue Administration Act, 2016 (Act 915), and the study does not assume access to them. GRA data will be used only if the GRA grants documented written permission under a formal data-access arrangement and releases the data in de-identified form; the approval letter will be kept on the ethics file and reported to the Research Ethics Committee. The planning assumption is that such permission will not be granted. Accordingly, the variables that tax records might have supplied (interest expense, debt maturity and operating cash flow) are taken from audited financial statements obtained from the sources in Section 3.7.1, and no part of the design depends on GRA data.</w:t>
      </w:r>
    </w:p>
    <w:p w14:paraId="709AB0D3" w14:textId="77777777" w:rsidR="002363FE" w:rsidRDefault="00CC0653">
      <w:pPr>
        <w:pStyle w:val="Heading3"/>
      </w:pPr>
      <w:bookmarkStart w:id="62" w:name="_TocRev062"/>
      <w:r>
        <w:t>3.7.4 World Bank and International Monetary Fund Databases</w:t>
      </w:r>
      <w:bookmarkEnd w:id="62"/>
    </w:p>
    <w:p w14:paraId="797E90CD" w14:textId="77777777" w:rsidR="00530CD3" w:rsidRPr="00263A1F" w:rsidRDefault="00530CD3" w:rsidP="00263A1F">
      <w:pPr>
        <w:spacing w:after="200" w:line="480" w:lineRule="auto"/>
        <w:rPr>
          <w:rFonts w:cs="Times New Roman"/>
          <w:color w:val="000000" w:themeColor="text1"/>
        </w:rPr>
      </w:pPr>
      <w:r>
        <w:rPr>
          <w:rFonts w:eastAsia="Times New Roman" w:cs="Times New Roman"/>
        </w:rPr>
        <w:t xml:space="preserve">Macroeconomic variables (the Brent crude oil price, consumer price inflation, real GDP growth and the Bank of Ghana policy rate) are obtained at quarterly frequency from the IMF's International Financial Statistics, the Ghana Statistical Service's quarterly GDP and consumer price releases and the World Bank's commodity price data. Because these variables are common to all firms, they are absorbed by the quarter fixed effects in the core specifications. They enter only the specifications without full quarter effects (the secondary specification in Equation 4a, the Panel VAR and the ARIMAX models), where they control for aggregate conditions that affect all firms simultaneously (Wooldridge, 2019; Baltagi, 2021).</w:t>
      </w:r>
    </w:p>
    <w:p w14:paraId="0785F5F2" w14:textId="77777777" w:rsidR="002363FE" w:rsidRDefault="00CC0653">
      <w:pPr>
        <w:pStyle w:val="Heading3"/>
      </w:pPr>
      <w:bookmarkStart w:id="63" w:name="_TocRev063"/>
      <w:r>
        <w:t>3.7.5 Data Integration, Cleaning and Panel Construction</w:t>
      </w:r>
      <w:bookmarkEnd w:id="63"/>
    </w:p>
    <w:p w14:paraId="393906ED" w14:textId="77777777" w:rsidR="00530CD3" w:rsidRPr="00263A1F" w:rsidRDefault="00530CD3" w:rsidP="00263A1F">
      <w:pPr>
        <w:spacing w:after="200" w:line="480" w:lineRule="auto"/>
        <w:rPr>
          <w:rFonts w:cs="Times New Roman"/>
          <w:color w:val="000000" w:themeColor="text1"/>
        </w:rPr>
      </w:pPr>
      <w:r>
        <w:rPr>
          <w:rFonts w:eastAsia="Times New Roman" w:cs="Times New Roman"/>
        </w:rPr>
        <w:t xml:space="preserve">Missing values are not interpolated in the principal analysis, consistent with the treatment of data frequency in Section 3.7.1. Each model is estimated on the firm-periods for which its variables are observed, using estimators for unbalanced panels (Baltagi, 2021; Croissant &amp; Millo, 2019). The study reports, by variable and firm category, the share of missing firm-periods and whether missingness is related to firm size, category or period. As a robustness check, missing values are multiply imputed with a method designed for time-series cross-section data (Honaker &amp; King, 2010), using 20 imputed datasets, and the estimates are combined across them. A firm-period is dropped from all analyses if total assets or net income is missing. Outliers in firm-level ratios are winsorised at the 1st and 99th percentiles to limit the influence of extreme observations without discarding firms (Wooldridge, 2019).</w:t>
      </w:r>
    </w:p>
    <w:p>
      <w:pPr>
        <w:pStyle w:val="Heading3"/>
      </w:pPr>
      <w:bookmarkStart w:id="1308" w:name="_TocNew1308"/>
      <w:r>
        <w:t xml:space="preserve">3.7.6 Pilot Data Audit and Pre-Specified Decision Rules</w:t>
      </w:r>
      <w:bookmarkEnd w:id="1308"/>
    </w:p>
    <w:p>
      <w:pPr>
        <w:spacing w:after="240" w:line="480" w:lineRule="auto"/>
        <w:jc w:val="both"/>
      </w:pPr>
      <w:r>
        <w:rPr>
          <w:rFonts w:eastAsia="Times New Roman" w:cs="Times New Roman"/>
        </w:rPr>
        <w:t xml:space="preserve">Before full data collection, a pilot data audit establishes what can actually be observed. It covers all registered BIDECs and a random selection of 20 OMCs and 10 LPGMCs from the NPA register, chosen with a recorded random seed, and is completed within the first three months of the data-collection phase. For each firm it records the items in Table 3.2. Its results (the dated counts of registered, eligible and usable firms by category, the frequency at which each variable is observed, the extent of missing data and the access route and permission status for each source) are submitted to the supervisory committee before main data collection begins and are reproduced in Chapter Four.</w:t>
      </w:r>
    </w:p>
    <w:p>
      <w:pPr>
        <w:keepNext/>
        <w:spacing w:before="240" w:after="120"/>
        <w:jc w:val="left"/>
      </w:pPr>
      <w:r>
        <w:rPr>
          <w:rFonts w:eastAsia="Times New Roman" w:cs="Times New Roman"/>
          <w:b/>
          <w:bCs/>
        </w:rPr>
        <w:t xml:space="preserve">Table 3.2: Pilot Data Audit Protocol</w:t>
      </w:r>
    </w:p>
    <w:tbl>
      <w:tblPr>
        <w:tblStyle w:val="TableGrid"/>
        <w:tblW w:w="9360" w:type="dxa"/>
        <w:tblLayout w:type="fixed"/>
        <w:tblLook w:val="04A0" w:firstRow="1" w:lastRow="0" w:firstColumn="1" w:lastColumn="0" w:noHBand="0" w:noVBand="1"/>
      </w:tblPr>
      <w:tblGrid>
        <w:gridCol w:w="1500"/>
        <w:gridCol w:w="2900"/>
        <w:gridCol w:w="2400"/>
        <w:gridCol w:w="2560"/>
      </w:tblGrid>
      <w:tr>
        <w:trPr>
          <w:cantSplit/>
          <w:tblHeader/>
        </w:trPr>
        <w:tc>
          <w:tcPr>
            <w:tcW w:w="15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Audit item</w:t>
            </w:r>
          </w:p>
        </w:tc>
        <w:tc>
          <w:tcPr>
            <w:tcW w:w="29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What is recorded</w:t>
            </w:r>
          </w:p>
        </w:tc>
        <w:tc>
          <w:tcPr>
            <w:tcW w:w="24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Source and permission</w:t>
            </w:r>
          </w:p>
        </w:tc>
        <w:tc>
          <w:tcPr>
            <w:tcW w:w="256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Decision it informs</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Population register</w:t>
            </w:r>
          </w:p>
        </w:tc>
        <w:tc>
          <w:tcPr>
            <w:tcW w:w="2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Number of licensed BIDECs, OMCs and LPGMCs at each year-end, 2015–2024, with the date of each extract</w:t>
            </w:r>
          </w:p>
        </w:tc>
        <w:tc>
          <w:tcPr>
            <w:tcW w:w="2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NPA, by written request (University letter; Right to Information Act, 2019 if required)</w:t>
            </w:r>
          </w:p>
        </w:tc>
        <w:tc>
          <w:tcPr>
            <w:tcW w:w="2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Population counts for Table 3.1; Rule S2</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Financial statements</w:t>
            </w:r>
          </w:p>
        </w:tc>
        <w:tc>
          <w:tcPr>
            <w:tcW w:w="2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Number of firms with audited annual statements; with quarterly interim or management accounts; longest run of consecutive observed periods</w:t>
            </w:r>
          </w:p>
        </w:tc>
        <w:tc>
          <w:tcPr>
            <w:tcW w:w="2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Published reports (listed firms); NPA if released; firms with written consent</w:t>
            </w:r>
          </w:p>
        </w:tc>
        <w:tc>
          <w:tcPr>
            <w:tcW w:w="2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Rule D2 (quarterly or annual panel)</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Core variables</w:t>
            </w:r>
          </w:p>
        </w:tc>
        <w:tc>
          <w:tcPr>
            <w:tcW w:w="2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Whether net income, total assets, equity, current assets and liabilities, capital expenditure, interest-bearing debt, interest expense and operating cash flow are observed</w:t>
            </w:r>
          </w:p>
        </w:tc>
        <w:tc>
          <w:tcPr>
            <w:tcW w:w="2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As above</w:t>
            </w:r>
          </w:p>
        </w:tc>
        <w:tc>
          <w:tcPr>
            <w:tcW w:w="2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A variable is used as primary only if observed for ≥ 80% of usable firm-periods; otherwise the alternative in Table 3.3</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Forex records</w:t>
            </w:r>
          </w:p>
        </w:tc>
        <w:tc>
          <w:tcPr>
            <w:tcW w:w="2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Firm-period availability of each of the five forex accessibility components (Table 3.4)</w:t>
            </w:r>
          </w:p>
        </w:tc>
        <w:tc>
          <w:tcPr>
            <w:tcW w:w="2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Firms, with written consent</w:t>
            </w:r>
          </w:p>
        </w:tc>
        <w:tc>
          <w:tcPr>
            <w:tcW w:w="2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Rule D3 (forex measure)</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Exposure</w:t>
            </w:r>
          </w:p>
        </w:tc>
        <w:tc>
          <w:tcPr>
            <w:tcW w:w="2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USD-denominated monetary assets and liabilities (IFRS 7 note) and USD share of purchases in the first available year</w:t>
            </w:r>
          </w:p>
        </w:tc>
        <w:tc>
          <w:tcPr>
            <w:tcW w:w="2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Audited statements</w:t>
            </w:r>
          </w:p>
        </w:tc>
        <w:tc>
          <w:tcPr>
            <w:tcW w:w="2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Measure of FXE</w:t>
            </w:r>
            <w:r>
              <w:rPr>
                <w:rFonts w:eastAsia="Times New Roman" w:cs="Times New Roman"/>
                <w:sz w:val="18"/>
                <w:szCs w:val="18"/>
                <w:vertAlign w:val="subscript"/>
              </w:rPr>
              <w:t xml:space="preserve">i</w:t>
            </w:r>
            <w:r>
              <w:rPr>
                <w:rFonts w:eastAsia="Times New Roman" w:cs="Times New Roman"/>
                <w:sz w:val="18"/>
                <w:szCs w:val="18"/>
              </w:rPr>
              <w:t xml:space="preserve"> (Section 3.8.5)</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Missing data</w:t>
            </w:r>
          </w:p>
        </w:tc>
        <w:tc>
          <w:tcPr>
            <w:tcW w:w="2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Share of missing firm-periods by variable and category; relation of missingness to size, category and period</w:t>
            </w:r>
          </w:p>
        </w:tc>
        <w:tc>
          <w:tcPr>
            <w:tcW w:w="2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Audit data</w:t>
            </w:r>
          </w:p>
        </w:tc>
        <w:tc>
          <w:tcPr>
            <w:tcW w:w="2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Section 3.7.5; Rule S4</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Legal access</w:t>
            </w:r>
          </w:p>
        </w:tc>
        <w:tc>
          <w:tcPr>
            <w:tcW w:w="2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Written permission or consent held for each non-public source</w:t>
            </w:r>
          </w:p>
        </w:tc>
        <w:tc>
          <w:tcPr>
            <w:tcW w:w="2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NPA; firms; GRA only with documented permission</w:t>
            </w:r>
          </w:p>
        </w:tc>
        <w:tc>
          <w:tcPr>
            <w:tcW w:w="2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No source is used without documented permission</w:t>
            </w:r>
          </w:p>
        </w:tc>
      </w:tr>
    </w:tbl>
    <w:p>
      <w:pPr>
        <w:spacing w:before="60" w:after="240"/>
        <w:jc w:val="left"/>
      </w:pPr>
      <w:r>
        <w:rPr>
          <w:rFonts w:eastAsia="Times New Roman" w:cs="Times New Roman"/>
          <w:i/>
          <w:iCs/>
          <w:sz w:val="20"/>
          <w:szCs w:val="20"/>
        </w:rPr>
        <w:t xml:space="preserve">Source: Author's construct (2026).</w:t>
      </w:r>
    </w:p>
    <w:p>
      <w:pPr>
        <w:spacing w:after="240" w:line="480" w:lineRule="auto"/>
        <w:jc w:val="both"/>
      </w:pPr>
      <w:r>
        <w:rPr>
          <w:rFonts w:eastAsia="Times New Roman" w:cs="Times New Roman"/>
        </w:rPr>
        <w:t xml:space="preserve">The decision rules that follow from the audit are fixed now, so that design choices cannot be influenced by the results of the analysis:</w:t>
      </w:r>
    </w:p>
    <w:p>
      <w:pPr>
        <w:spacing w:after="120" w:line="480" w:lineRule="auto"/>
        <w:ind w:left="720" w:hanging="360"/>
        <w:jc w:val="both"/>
      </w:pPr>
      <w:r>
        <w:rPr>
          <w:rFonts w:eastAsia="Times New Roman" w:cs="Times New Roman"/>
          <w:b/>
          <w:bCs/>
        </w:rPr>
        <w:t xml:space="preserve">Rule D1 (population and selection).</w:t>
      </w:r>
      <w:r>
        <w:rPr>
          <w:rFonts w:eastAsia="Times New Roman" w:cs="Times New Roman"/>
        </w:rPr>
        <w:t xml:space="preserve"> Rules S1 to S4 in Section 3.6.1 apply.</w:t>
      </w:r>
    </w:p>
    <w:p>
      <w:pPr>
        <w:spacing w:after="120" w:line="480" w:lineRule="auto"/>
        <w:ind w:left="720" w:hanging="360"/>
        <w:jc w:val="both"/>
      </w:pPr>
      <w:r>
        <w:rPr>
          <w:rFonts w:eastAsia="Times New Roman" w:cs="Times New Roman"/>
          <w:b/>
          <w:bCs/>
        </w:rPr>
        <w:t xml:space="preserve">Rule D2 (data frequency).</w:t>
      </w:r>
      <w:r>
        <w:rPr>
          <w:rFonts w:eastAsia="Times New Roman" w:cs="Times New Roman"/>
        </w:rPr>
        <w:t xml:space="preserve"> The quarterly panel is the primary panel if at least 40 eligible firms have at least twelve consecutive quarters of observed data on ROA, the current ratio, capital expenditure and leverage. Otherwise the annual panel (2015–2024) is primary and the quarterly data are used as a supplementary sample. The threshold of 40 firms keeps the collapsed GMM instrument set of about 20 instruments (Section 3.11.2) at or below half the number of firms. Under the annual design, the lag structure of every model is restated in years, and the ARIMAX model is not estimated (Table 3.5).</w:t>
      </w:r>
    </w:p>
    <w:p>
      <w:pPr>
        <w:spacing w:after="120" w:line="480" w:lineRule="auto"/>
        <w:ind w:left="720" w:hanging="360"/>
        <w:jc w:val="both"/>
      </w:pPr>
      <w:r>
        <w:rPr>
          <w:rFonts w:eastAsia="Times New Roman" w:cs="Times New Roman"/>
          <w:b/>
          <w:bCs/>
        </w:rPr>
        <w:t xml:space="preserve">Rule D3 (forex accessibility measure).</w:t>
      </w:r>
      <w:r>
        <w:rPr>
          <w:rFonts w:eastAsia="Times New Roman" w:cs="Times New Roman"/>
        </w:rPr>
        <w:t xml:space="preserve"> The firm-level forex accessibility index is used if at least three of its five components are observed for at least 60 percent of usable firm-periods. Otherwise, forex accessibility is measured by the exposure-weighted sector measure defined in Section 3.8.2, and H1 is interpreted as a test of whether firms that depend more on formal-bank foreign exchange perform worse when sector-wide access tightens.</w:t>
      </w:r>
    </w:p>
    <w:p>
      <w:pPr>
        <w:spacing w:after="120" w:line="480" w:lineRule="auto"/>
        <w:ind w:left="720" w:hanging="360"/>
        <w:jc w:val="both"/>
      </w:pPr>
      <w:r>
        <w:rPr>
          <w:rFonts w:eastAsia="Times New Roman" w:cs="Times New Roman"/>
          <w:b/>
          <w:bCs/>
        </w:rPr>
        <w:t xml:space="preserve">Rule D4 (estimator).</w:t>
      </w:r>
      <w:r>
        <w:rPr>
          <w:rFonts w:eastAsia="Times New Roman" w:cs="Times New Roman"/>
        </w:rPr>
        <w:t xml:space="preserve"> System GMM is the core estimator only if the conditions in Section 3.11.2 are met; otherwise the fixed-effects alternative specified there is used.</w:t>
      </w:r>
    </w:p>
    <w:p>
      <w:pPr>
        <w:spacing w:after="120" w:line="480" w:lineRule="auto"/>
        <w:ind w:left="720" w:hanging="360"/>
        <w:jc w:val="both"/>
      </w:pPr>
      <w:r>
        <w:rPr>
          <w:rFonts w:eastAsia="Times New Roman" w:cs="Times New Roman"/>
          <w:b/>
          <w:bCs/>
        </w:rPr>
        <w:t xml:space="preserve">Rule D5 (supporting analyses).</w:t>
      </w:r>
      <w:r>
        <w:rPr>
          <w:rFonts w:eastAsia="Times New Roman" w:cs="Times New Roman"/>
        </w:rPr>
        <w:t xml:space="preserve"> The Panel VAR, ARIMAX and Monte Carlo analyses are carried out only under the conditions in Table 3.5 (Section 3.9.4).</w:t>
      </w:r>
    </w:p>
    <w:p w14:paraId="5BCB8CE9" w14:textId="77777777" w:rsidR="002363FE" w:rsidRDefault="00CC0653">
      <w:pPr>
        <w:pStyle w:val="Heading2"/>
      </w:pPr>
      <w:bookmarkStart w:id="64" w:name="_TocRev064"/>
      <w:r>
        <w:t>3.8 Measurement and Operationalisation of Variables</w:t>
      </w:r>
      <w:bookmarkEnd w:id="64"/>
    </w:p>
    <w:p w14:paraId="2AE9A62E" w14:textId="77777777" w:rsidR="002363FE" w:rsidRDefault="00CC0653">
      <w:pPr>
        <w:pStyle w:val="Heading3"/>
      </w:pPr>
      <w:bookmarkStart w:id="65" w:name="_TocRev065"/>
      <w:r>
        <w:t>3.8.1 Variable Operationalisation</w:t>
      </w:r>
      <w:bookmarkEnd w:id="65"/>
    </w:p>
    <w:p w14:paraId="6098FCE3" w14:textId="77777777" w:rsidR="002363FE" w:rsidRDefault="00CC0653">
      <w:pPr>
        <w:spacing w:after="240" w:line="480" w:lineRule="auto"/>
      </w:pPr>
      <w:r>
        <w:rPr>
          <w:rFonts w:eastAsia="Times New Roman" w:cs="Times New Roman"/>
        </w:rPr>
        <w:t xml:space="preserve">Table 3.3 sets out, for every construct, the variable, its measurement, the direction of interpretation, the data source, the frequency, the expected sign and its role in the models. Defining every variable in this way exposes inconsistencies before estimation and ensures that the same definitions are used in all chapters.</w:t>
      </w:r>
    </w:p>
    <w:p>
      <w:pPr>
        <w:spacing w:after="240" w:line="480" w:lineRule="auto"/>
        <w:jc w:val="both"/>
      </w:pPr>
      <w:r>
        <w:rPr>
          <w:rFonts w:eastAsia="Times New Roman" w:cs="Times New Roman"/>
        </w:rPr>
        <w:t xml:space="preserve">In the table, FS denotes firms' financial statements from whichever source in Section 3.7 is accessible, and frequencies are quarterly under the quarterly design and annual under the annual design (Rule D2).</w:t>
      </w:r>
    </w:p>
    <w:p w14:paraId="682A89EC" w14:textId="77777777" w:rsidR="002363FE" w:rsidRDefault="00CC0653">
      <w:pPr>
        <w:keepNext/>
        <w:spacing w:before="240" w:after="120"/>
        <w:jc w:val="left"/>
      </w:pPr>
      <w:r>
        <w:rPr>
          <w:rFonts w:eastAsia="Times New Roman" w:cs="Times New Roman"/>
          <w:b/>
          <w:bCs/>
        </w:rPr>
        <w:t xml:space="preserve">Table 3.3: Operationalisation of Variables</w:t>
      </w:r>
    </w:p>
    <w:tbl>
      <w:tblPr>
        <w:tblStyle w:val="TableGrid"/>
        <w:tblW w:w="9360" w:type="dxa"/>
        <w:tblLayout w:type="fixed"/>
        <w:tblLook w:val="04A0" w:firstRow="1" w:lastRow="0" w:firstColumn="1" w:lastColumn="0" w:noHBand="0" w:noVBand="1"/>
      </w:tblPr>
      <w:tblGrid>
        <w:gridCol w:w="1150"/>
        <w:gridCol w:w="1200"/>
        <w:gridCol w:w="2350"/>
        <w:gridCol w:w="1250"/>
        <w:gridCol w:w="1150"/>
        <w:gridCol w:w="1000"/>
        <w:gridCol w:w="1260"/>
      </w:tblGrid>
      <w:tr>
        <w:trPr>
          <w:cantSplit/>
          <w:tblHeader/>
        </w:trPr>
        <w:tc>
          <w:tcPr>
            <w:tcW w:w="115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Construct</w:t>
            </w:r>
          </w:p>
        </w:tc>
        <w:tc>
          <w:tcPr>
            <w:tcW w:w="12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Variable</w:t>
            </w:r>
          </w:p>
        </w:tc>
        <w:tc>
          <w:tcPr>
            <w:tcW w:w="235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Measurement</w:t>
            </w:r>
          </w:p>
        </w:tc>
        <w:tc>
          <w:tcPr>
            <w:tcW w:w="125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Direction</w:t>
            </w:r>
          </w:p>
        </w:tc>
        <w:tc>
          <w:tcPr>
            <w:tcW w:w="115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Source</w:t>
            </w:r>
          </w:p>
        </w:tc>
        <w:tc>
          <w:tcPr>
            <w:tcW w:w="10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Expected sign</w:t>
            </w:r>
          </w:p>
        </w:tc>
        <w:tc>
          <w:tcPr>
            <w:tcW w:w="126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Role</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Performance</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ROA</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Net income / total assets</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better</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DV</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Primary outcome</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Performance</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ROE</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Net income / total equity</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better</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DV</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Secondary outcome</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Performance</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NPM; EBITDA margin</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Net income / revenue; EBITDA / revenue</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better</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DV</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Robustness</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Forex access</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FA</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PCA index of five oriented components (Table 3.4); fallback FXT</w:t>
            </w:r>
            <w:r>
              <w:rPr>
                <w:rFonts w:eastAsia="Times New Roman" w:cs="Times New Roman"/>
                <w:sz w:val="16"/>
                <w:szCs w:val="16"/>
                <w:vertAlign w:val="subscript"/>
              </w:rPr>
              <w:t xml:space="preserve">t</w:t>
            </w:r>
            <w:r>
              <w:rPr>
                <w:rFonts w:eastAsia="Times New Roman" w:cs="Times New Roman"/>
                <w:sz w:val="16"/>
                <w:szCs w:val="16"/>
              </w:rPr>
              <w:t xml:space="preserve"> × FBD</w:t>
            </w:r>
            <w:r>
              <w:rPr>
                <w:rFonts w:eastAsia="Times New Roman" w:cs="Times New Roman"/>
                <w:sz w:val="16"/>
                <w:szCs w:val="16"/>
                <w:vertAlign w:val="subscript"/>
              </w:rPr>
              <w:t xml:space="preserve">i</w:t>
            </w:r>
            <w:r>
              <w:rPr>
                <w:rFonts w:eastAsia="Times New Roman" w:cs="Times New Roman"/>
                <w:sz w:val="16"/>
                <w:szCs w:val="16"/>
              </w:rPr>
              <w:t xml:space="preserve"> (Rule D3)</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better access</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Firm records (consent); BoG</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Independent</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Liquidity</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CR (LV), LV²</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Current assets / current liabilities; its square</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Inverted-U</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 (LV), − (LV²)</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Independent</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Liquidity</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CCC; QR</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Inventory + receivable − payable days; quick ratio</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CCC: higher = worse</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CCC −; QR +</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Robustness</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FX volatility</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EXRV</w:t>
            </w:r>
            <w:r>
              <w:rPr>
                <w:rFonts w:eastAsia="Times New Roman" w:cs="Times New Roman"/>
                <w:sz w:val="16"/>
                <w:szCs w:val="16"/>
                <w:vertAlign w:val="subscript"/>
              </w:rPr>
              <w:t xml:space="preserve">t</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Quarterly mean of daily GARCH/EGARCH conditional variance of GHS/USD returns</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more volatile</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BoG (daily)</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Absorbed by λ</w:t>
            </w:r>
            <w:r>
              <w:rPr>
                <w:rFonts w:eastAsia="Times New Roman" w:cs="Times New Roman"/>
                <w:sz w:val="16"/>
                <w:szCs w:val="16"/>
                <w:vertAlign w:val="subscript"/>
              </w:rPr>
              <w:t xml:space="preserve">t</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Common shock; enters core models only through EXRV</w:t>
            </w:r>
            <w:r>
              <w:rPr>
                <w:rFonts w:eastAsia="Times New Roman" w:cs="Times New Roman"/>
                <w:sz w:val="16"/>
                <w:szCs w:val="16"/>
                <w:vertAlign w:val="subscript"/>
              </w:rPr>
              <w:t xml:space="preserve">t</w:t>
            </w:r>
            <w:r>
              <w:rPr>
                <w:rFonts w:eastAsia="Times New Roman" w:cs="Times New Roman"/>
                <w:sz w:val="16"/>
                <w:szCs w:val="16"/>
              </w:rPr>
              <w:t xml:space="preserve"> × FXE</w:t>
            </w:r>
            <w:r>
              <w:rPr>
                <w:rFonts w:eastAsia="Times New Roman" w:cs="Times New Roman"/>
                <w:sz w:val="16"/>
                <w:szCs w:val="16"/>
                <w:vertAlign w:val="subscript"/>
              </w:rPr>
              <w:t xml:space="preserve">i</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FX exposure</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FXE</w:t>
            </w:r>
            <w:r>
              <w:rPr>
                <w:rFonts w:eastAsia="Times New Roman" w:cs="Times New Roman"/>
                <w:sz w:val="16"/>
                <w:szCs w:val="16"/>
                <w:vertAlign w:val="subscript"/>
              </w:rPr>
              <w:t xml:space="preserve">i</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Net USD monetary liabilities / total assets (IFRS 7 note), first available year; alt.: USD share of purchases</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more exposed</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 (EXRV × FXE)</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Identifies H3</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Depreciation shocks</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DEP</w:t>
            </w:r>
            <w:r>
              <w:rPr>
                <w:rFonts w:eastAsia="Times New Roman" w:cs="Times New Roman"/>
                <w:sz w:val="16"/>
                <w:szCs w:val="16"/>
                <w:vertAlign w:val="subscript"/>
              </w:rPr>
              <w:t xml:space="preserve">t</w:t>
            </w:r>
            <w:r>
              <w:rPr>
                <w:rFonts w:eastAsia="Times New Roman" w:cs="Times New Roman"/>
                <w:sz w:val="16"/>
                <w:szCs w:val="16"/>
              </w:rPr>
              <w:t xml:space="preserve">, APP</w:t>
            </w:r>
            <w:r>
              <w:rPr>
                <w:rFonts w:eastAsia="Times New Roman" w:cs="Times New Roman"/>
                <w:sz w:val="16"/>
                <w:szCs w:val="16"/>
                <w:vertAlign w:val="subscript"/>
              </w:rPr>
              <w:t xml:space="preserve">t</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Positive and negative parts of quarterly change in log GHS/USD, interacted with FXE</w:t>
            </w:r>
            <w:r>
              <w:rPr>
                <w:rFonts w:eastAsia="Times New Roman" w:cs="Times New Roman"/>
                <w:sz w:val="16"/>
                <w:szCs w:val="16"/>
                <w:vertAlign w:val="subscript"/>
              </w:rPr>
              <w:t xml:space="preserve">i</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DEP higher = larger depreciation</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BoG</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DEP×FXE −</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Asymmetry test</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Investment</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CAPEX intensity (ID)</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Capital expenditure / total assets</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more investment</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Mediator</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Investment</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Outlets</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Retail outlets added or upgraded</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more expansion</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NPA</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Robustness</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Risk</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FR</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PCA index of debt / assets, short-term / total debt, SD of OCF / assets over t−8 to t−1</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Higher = more risk</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 moderator</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Moderator (entered at t−1 in interactions)</w:t>
            </w:r>
          </w:p>
        </w:tc>
      </w:tr>
      <w:tr>
        <w:trPr>
          <w:cantSplit/>
        </w:trPr>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Controls</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SIZE; OIL; INF; GDP; RATE</w:t>
            </w:r>
          </w:p>
        </w:tc>
        <w:tc>
          <w:tcPr>
            <w:tcW w:w="23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Log total assets; Brent price; CPI inflation; real GDP growth; policy rate</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w:t>
            </w:r>
          </w:p>
        </w:tc>
        <w:tc>
          <w:tcPr>
            <w:tcW w:w="11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FS; IMF; GSS; WB</w:t>
            </w:r>
          </w:p>
        </w:tc>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Theory-based</w:t>
            </w:r>
          </w:p>
        </w:tc>
        <w:tc>
          <w:tcPr>
            <w:tcW w:w="12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SIZE in all models; macro variables only without quarter effects</w:t>
            </w:r>
          </w:p>
        </w:tc>
      </w:tr>
    </w:tbl>
    <w:p w14:paraId="7F92612A" w14:textId="77777777" w:rsidR="002363FE" w:rsidRDefault="00CC0653">
      <w:pPr>
        <w:spacing w:before="60" w:after="240"/>
        <w:jc w:val="left"/>
      </w:pPr>
      <w:r>
        <w:rPr>
          <w:rFonts w:eastAsia="Times New Roman" w:cs="Times New Roman"/>
          <w:i/>
          <w:iCs/>
          <w:sz w:val="20"/>
          <w:szCs w:val="20"/>
        </w:rPr>
        <w:t xml:space="preserve">Source: Author's construct (2026). DV = dependent variable; PCA = principal component analysis; FS = financial statements; BoG = Bank of Ghana; GSS = Ghana Statistical Service; WB = World Bank; OCF = operating cash flow.</w:t>
      </w:r>
    </w:p>
    <w:p w14:paraId="2DA68D2F" w14:textId="77777777" w:rsidR="002363FE" w:rsidRDefault="00CC0653">
      <w:pPr>
        <w:pStyle w:val="Heading3"/>
      </w:pPr>
      <w:bookmarkStart w:id="66" w:name="_TocRev066"/>
      <w:r>
        <w:t>3.8.2 Construction of the Forex Accessibility Index</w:t>
      </w:r>
      <w:bookmarkEnd w:id="66"/>
    </w:p>
    <w:p w14:paraId="6983008A" w14:textId="77777777" w:rsidR="002363FE" w:rsidRDefault="00CC0653">
      <w:pPr>
        <w:spacing w:after="240" w:line="480" w:lineRule="auto"/>
      </w:pPr>
      <w:r>
        <w:rPr>
          <w:rFonts w:eastAsia="Times New Roman" w:cs="Times New Roman"/>
        </w:rPr>
        <w:t xml:space="preserve">The forex accessibility index is built from up to five firm-level components, defined in Table 3.4. Their natural directions differ: a higher allocation ratio and a higher formal-funding share indicate better access, whereas a longer delay, a higher rejection rate and a higher premium indicate worse access. None of the components is built from profit, sales margins or liquidity, so the index is not mechanically related to the outcome or to the other key predictors. Whether each component is observed at firm-quarter level is not known in advance; it is established in the pilot data audit, and Rule D3 determines whether the index or the fallback measure is used.</w:t>
      </w:r>
    </w:p>
    <w:p>
      <w:pPr>
        <w:keepNext/>
        <w:spacing w:before="240" w:after="120"/>
        <w:jc w:val="left"/>
      </w:pPr>
      <w:r>
        <w:rPr>
          <w:rFonts w:eastAsia="Times New Roman" w:cs="Times New Roman"/>
          <w:b/>
          <w:bCs/>
        </w:rPr>
        <w:t xml:space="preserve">Table 3.4: Components of the Forex Accessibility Index</w:t>
      </w:r>
    </w:p>
    <w:tbl>
      <w:tblPr>
        <w:tblStyle w:val="TableGrid"/>
        <w:tblW w:w="9360" w:type="dxa"/>
        <w:tblLayout w:type="fixed"/>
        <w:tblLook w:val="04A0" w:firstRow="1" w:lastRow="0" w:firstColumn="1" w:lastColumn="0" w:noHBand="0" w:noVBand="1"/>
      </w:tblPr>
      <w:tblGrid>
        <w:gridCol w:w="1500"/>
        <w:gridCol w:w="3000"/>
        <w:gridCol w:w="1200"/>
        <w:gridCol w:w="1900"/>
        <w:gridCol w:w="1760"/>
      </w:tblGrid>
      <w:tr>
        <w:trPr>
          <w:cantSplit/>
          <w:tblHeader/>
        </w:trPr>
        <w:tc>
          <w:tcPr>
            <w:tcW w:w="15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Component</w:t>
            </w:r>
          </w:p>
        </w:tc>
        <w:tc>
          <w:tcPr>
            <w:tcW w:w="30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Definition (per firm-quarter)</w:t>
            </w:r>
          </w:p>
        </w:tc>
        <w:tc>
          <w:tcPr>
            <w:tcW w:w="12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Direction</w:t>
            </w:r>
          </w:p>
        </w:tc>
        <w:tc>
          <w:tcPr>
            <w:tcW w:w="19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Source</w:t>
            </w:r>
          </w:p>
        </w:tc>
        <w:tc>
          <w:tcPr>
            <w:tcW w:w="176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8"/>
                <w:szCs w:val="18"/>
              </w:rPr>
              <w:t xml:space="preserve">Expected availability at firm-quarter level</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Allocation delay (DELAY)</w:t>
            </w:r>
          </w:p>
        </w:tc>
        <w:tc>
          <w:tcPr>
            <w:tcW w:w="3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Mean number of days between a foreign exchange request to a bank and the allocation of the funds, across the firm's requests in the quarter</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Reverse-coded</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Firm records: requests and bank allocation advices</w:t>
            </w:r>
          </w:p>
        </w:tc>
        <w:tc>
          <w:tcPr>
            <w:tcW w:w="17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Not published; requires firms' request and bank allocation records</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Rejection rate (REJ)</w:t>
            </w:r>
          </w:p>
        </w:tc>
        <w:tc>
          <w:tcPr>
            <w:tcW w:w="3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Share of foreign exchange requests or letter-of-credit applications rejected or left unfunded at the end of the quarter</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Reverse-coded</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Firm records</w:t>
            </w:r>
          </w:p>
        </w:tc>
        <w:tc>
          <w:tcPr>
            <w:tcW w:w="17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Not published; requires firm records</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Allocation ratio (ALLOC)</w:t>
            </w:r>
          </w:p>
        </w:tc>
        <w:tc>
          <w:tcPr>
            <w:tcW w:w="3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USD allocated / USD requested in the quarter (capped at 1)</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Higher = better</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Firm records</w:t>
            </w:r>
          </w:p>
        </w:tc>
        <w:tc>
          <w:tcPr>
            <w:tcW w:w="17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Not published; requires firm records</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Premium paid (PREM)</w:t>
            </w:r>
          </w:p>
        </w:tc>
        <w:tc>
          <w:tcPr>
            <w:tcW w:w="3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Volume-weighted effective GHS/USD rate paid / BoG interbank mid-rate on the settlement date − 1</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Reverse-coded</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Firm settlement records; BoG</w:t>
            </w:r>
          </w:p>
        </w:tc>
        <w:tc>
          <w:tcPr>
            <w:tcW w:w="17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Computable if firms provide settlement records; the BoG reference rate is public</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Formal funding share (FORM)</w:t>
            </w:r>
          </w:p>
        </w:tc>
        <w:tc>
          <w:tcPr>
            <w:tcW w:w="3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Share of USD import payments funded by purchases from banks rather than from other sources</w:t>
            </w:r>
          </w:p>
        </w:tc>
        <w:tc>
          <w:tcPr>
            <w:tcW w:w="1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Higher = better</w:t>
            </w:r>
          </w:p>
        </w:tc>
        <w:tc>
          <w:tcPr>
            <w:tcW w:w="19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Firm records; audited statements</w:t>
            </w:r>
          </w:p>
        </w:tc>
        <w:tc>
          <w:tcPr>
            <w:tcW w:w="17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8"/>
                <w:szCs w:val="18"/>
              </w:rPr>
              <w:t xml:space="preserve">Partly inferable from audited statements; full measure needs firm records</w:t>
            </w:r>
          </w:p>
        </w:tc>
      </w:tr>
    </w:tbl>
    <w:p>
      <w:pPr>
        <w:spacing w:before="60" w:after="240"/>
        <w:jc w:val="left"/>
      </w:pPr>
      <w:r>
        <w:rPr>
          <w:rFonts w:eastAsia="Times New Roman" w:cs="Times New Roman"/>
          <w:i/>
          <w:iCs/>
          <w:sz w:val="20"/>
          <w:szCs w:val="20"/>
        </w:rPr>
        <w:t xml:space="preserve">Source: Author's construct (2026). All components refer to the same firm and quarter (or year under the annual design). Actual availability of each component is confirmed in the pilot data audit (Table 3.2).</w:t>
      </w:r>
    </w:p>
    <w:p>
      <w:pPr>
        <w:spacing w:after="240" w:line="480" w:lineRule="auto"/>
        <w:jc w:val="both"/>
      </w:pPr>
      <w:r>
        <w:rPr>
          <w:rFonts w:eastAsia="Times New Roman" w:cs="Times New Roman"/>
        </w:rPr>
        <w:t xml:space="preserve">The index is constructed in the following steps, which make it reproducible:</w:t>
      </w:r>
    </w:p>
    <w:p>
      <w:pPr>
        <w:spacing w:after="120" w:line="480" w:lineRule="auto"/>
        <w:ind w:left="720" w:hanging="360"/>
        <w:jc w:val="both"/>
      </w:pPr>
      <w:r>
        <w:rPr>
          <w:rFonts w:eastAsia="Times New Roman" w:cs="Times New Roman"/>
        </w:rPr>
        <w:t xml:space="preserve">1.</w:t>
      </w:r>
      <w:r>
        <w:rPr>
          <w:rFonts w:eastAsia="Times New Roman" w:cs="Times New Roman"/>
        </w:rPr>
        <w:tab/>
      </w:r>
      <w:r>
        <w:rPr>
          <w:rFonts w:eastAsia="Times New Roman" w:cs="Times New Roman"/>
        </w:rPr>
        <w:t xml:space="preserve">Orientation: DELAY, REJ and PREM are multiplied by −1 so that every component increases with better access.</w:t>
      </w:r>
    </w:p>
    <w:p>
      <w:pPr>
        <w:spacing w:after="120" w:line="480" w:lineRule="auto"/>
        <w:ind w:left="720" w:hanging="360"/>
        <w:jc w:val="both"/>
      </w:pPr>
      <w:r>
        <w:rPr>
          <w:rFonts w:eastAsia="Times New Roman" w:cs="Times New Roman"/>
        </w:rPr>
        <w:t xml:space="preserve">2.</w:t>
      </w:r>
      <w:r>
        <w:rPr>
          <w:rFonts w:eastAsia="Times New Roman" w:cs="Times New Roman"/>
        </w:rPr>
        <w:tab/>
      </w:r>
      <w:r>
        <w:rPr>
          <w:rFonts w:eastAsia="Times New Roman" w:cs="Times New Roman"/>
        </w:rPr>
        <w:t xml:space="preserve">Scaling: each component is winsorised at the 1st and 99th percentiles and standardised to zero mean and unit variance over the pooled sample of firm-periods.</w:t>
      </w:r>
    </w:p>
    <w:p>
      <w:pPr>
        <w:spacing w:after="120" w:line="480" w:lineRule="auto"/>
        <w:ind w:left="720" w:hanging="360"/>
        <w:jc w:val="both"/>
      </w:pPr>
      <w:r>
        <w:rPr>
          <w:rFonts w:eastAsia="Times New Roman" w:cs="Times New Roman"/>
        </w:rPr>
        <w:t xml:space="preserve">3.</w:t>
      </w:r>
      <w:r>
        <w:rPr>
          <w:rFonts w:eastAsia="Times New Roman" w:cs="Times New Roman"/>
        </w:rPr>
        <w:tab/>
      </w:r>
      <w:r>
        <w:rPr>
          <w:rFonts w:eastAsia="Times New Roman" w:cs="Times New Roman"/>
        </w:rPr>
        <w:t xml:space="preserve">Suitability: the Kaiser–Meyer–Olkin (KMO) measure and Bartlett's test of sphericity are reported (Kaiser, 1974); PCA weights are used only if KMO ≥ 0.5 and Bartlett's test rejects at the 5 percent level.</w:t>
      </w:r>
    </w:p>
    <w:p>
      <w:pPr>
        <w:spacing w:after="120" w:line="480" w:lineRule="auto"/>
        <w:ind w:left="720" w:hanging="360"/>
        <w:jc w:val="both"/>
      </w:pPr>
      <w:r>
        <w:rPr>
          <w:rFonts w:eastAsia="Times New Roman" w:cs="Times New Roman"/>
        </w:rPr>
        <w:t xml:space="preserve">4.</w:t>
      </w:r>
      <w:r>
        <w:rPr>
          <w:rFonts w:eastAsia="Times New Roman" w:cs="Times New Roman"/>
        </w:rPr>
        <w:tab/>
      </w:r>
      <w:r>
        <w:rPr>
          <w:rFonts w:eastAsia="Times New Roman" w:cs="Times New Roman"/>
        </w:rPr>
        <w:t xml:space="preserve">Weights: the weights are the loadings of the first principal component, which are reported with the share of variance it explains (Jolliffe &amp; Cadima, 2016); the orientation is checked so that all loadings are positive. If the suitability conditions in step 3 fail, or any loading is negative after orientation, the index is the equally weighted mean of the standardised components.</w:t>
      </w:r>
    </w:p>
    <w:p>
      <w:pPr>
        <w:spacing w:after="120" w:line="480" w:lineRule="auto"/>
        <w:ind w:left="720" w:hanging="360"/>
        <w:jc w:val="both"/>
      </w:pPr>
      <w:r>
        <w:rPr>
          <w:rFonts w:eastAsia="Times New Roman" w:cs="Times New Roman"/>
        </w:rPr>
        <w:t xml:space="preserve">5.</w:t>
      </w:r>
      <w:r>
        <w:rPr>
          <w:rFonts w:eastAsia="Times New Roman" w:cs="Times New Roman"/>
        </w:rPr>
        <w:tab/>
      </w:r>
      <w:r>
        <w:rPr>
          <w:rFonts w:eastAsia="Times New Roman" w:cs="Times New Roman"/>
        </w:rPr>
        <w:t xml:space="preserve">Missing components: the index is computed for a firm-period if at least three of the five components are observed, by re-weighting the available components proportionally; such firm-periods are flagged and excluded in a robustness check.</w:t>
      </w:r>
    </w:p>
    <w:p>
      <w:pPr>
        <w:spacing w:after="120" w:line="480" w:lineRule="auto"/>
        <w:ind w:left="720" w:hanging="360"/>
        <w:jc w:val="both"/>
      </w:pPr>
      <w:r>
        <w:rPr>
          <w:rFonts w:eastAsia="Times New Roman" w:cs="Times New Roman"/>
        </w:rPr>
        <w:t xml:space="preserve">6.</w:t>
      </w:r>
      <w:r>
        <w:rPr>
          <w:rFonts w:eastAsia="Times New Roman" w:cs="Times New Roman"/>
        </w:rPr>
        <w:tab/>
      </w:r>
      <w:r>
        <w:rPr>
          <w:rFonts w:eastAsia="Times New Roman" w:cs="Times New Roman"/>
        </w:rPr>
        <w:t xml:space="preserve">Validation: (i) internal consistency is reported with Cronbach's alpha; (ii) event validity is checked by testing whether the index is lower, on average, in the documented foreign exchange stress episodes of 2015–2016 and 2022 than in other quarters; (iii) convergent validity is checked through the correlation of the quarterly cross-firm mean of the index with the sector-wide retail–interbank spread; and (iv) the models are re-estimated with each component separately and with the equally weighted index, rather than assuming that the PCA index is superior.</w:t>
      </w:r>
    </w:p>
    <w:p>
      <w:pPr>
        <w:spacing w:after="240" w:line="480" w:lineRule="auto"/>
        <w:jc w:val="both"/>
      </w:pPr>
      <w:r>
        <w:rPr>
          <w:rFonts w:eastAsia="Times New Roman" w:cs="Times New Roman"/>
          <w:b/>
          <w:bCs/>
        </w:rPr>
        <w:t xml:space="preserve">Fallback measure.</w:t>
      </w:r>
      <w:r>
        <w:rPr>
          <w:rFonts w:eastAsia="Times New Roman" w:cs="Times New Roman"/>
        </w:rPr>
        <w:t xml:space="preserve"> If Rule D3 shows that the firm-level components are not available, forex accessibility is measured as FA</w:t>
      </w:r>
      <w:r>
        <w:rPr>
          <w:rFonts w:eastAsia="Times New Roman" w:cs="Times New Roman"/>
          <w:vertAlign w:val="superscript"/>
        </w:rPr>
        <w:t xml:space="preserve">S</w:t>
      </w:r>
      <w:r>
        <w:rPr>
          <w:rFonts w:eastAsia="Times New Roman" w:cs="Times New Roman"/>
          <w:vertAlign w:val="subscript"/>
        </w:rPr>
        <w:t xml:space="preserve">it</w:t>
      </w:r>
      <w:r>
        <w:rPr>
          <w:rFonts w:eastAsia="Times New Roman" w:cs="Times New Roman"/>
        </w:rPr>
        <w:t xml:space="preserve"> = −FXT</w:t>
      </w:r>
      <w:r>
        <w:rPr>
          <w:rFonts w:eastAsia="Times New Roman" w:cs="Times New Roman"/>
          <w:vertAlign w:val="subscript"/>
        </w:rPr>
        <w:t xml:space="preserve">t</w:t>
      </w:r>
      <w:r>
        <w:rPr>
          <w:rFonts w:eastAsia="Times New Roman" w:cs="Times New Roman"/>
        </w:rPr>
        <w:t xml:space="preserve"> × FBD</w:t>
      </w:r>
      <w:r>
        <w:rPr>
          <w:rFonts w:eastAsia="Times New Roman" w:cs="Times New Roman"/>
          <w:vertAlign w:val="subscript"/>
        </w:rPr>
        <w:t xml:space="preserve">i</w:t>
      </w:r>
      <w:r>
        <w:rPr>
          <w:rFonts w:eastAsia="Times New Roman" w:cs="Times New Roman"/>
        </w:rPr>
        <w:t xml:space="preserve">, where FXT</w:t>
      </w:r>
      <w:r>
        <w:rPr>
          <w:rFonts w:eastAsia="Times New Roman" w:cs="Times New Roman"/>
          <w:vertAlign w:val="subscript"/>
        </w:rPr>
        <w:t xml:space="preserve">t</w:t>
      </w:r>
      <w:r>
        <w:rPr>
          <w:rFonts w:eastAsia="Times New Roman" w:cs="Times New Roman"/>
        </w:rPr>
        <w:t xml:space="preserve"> is a standardised sector-wide index of foreign exchange tightness (the retail–interbank spread and, where documented, Bank of Ghana foreign exchange interventions targeted at the petroleum sector) and FBD</w:t>
      </w:r>
      <w:r>
        <w:rPr>
          <w:rFonts w:eastAsia="Times New Roman" w:cs="Times New Roman"/>
          <w:vertAlign w:val="subscript"/>
        </w:rPr>
        <w:t xml:space="preserve">i</w:t>
      </w:r>
      <w:r>
        <w:rPr>
          <w:rFonts w:eastAsia="Times New Roman" w:cs="Times New Roman"/>
        </w:rPr>
        <w:t xml:space="preserve"> is the firm's predetermined dependence on formal-bank foreign exchange, measured as its USD-invoiced purchases relative to cost of sales in the first available year. Because FXT</w:t>
      </w:r>
      <w:r>
        <w:rPr>
          <w:rFonts w:eastAsia="Times New Roman" w:cs="Times New Roman"/>
          <w:vertAlign w:val="subscript"/>
        </w:rPr>
        <w:t xml:space="preserve">t</w:t>
      </w:r>
      <w:r>
        <w:rPr>
          <w:rFonts w:eastAsia="Times New Roman" w:cs="Times New Roman"/>
        </w:rPr>
        <w:t xml:space="preserve"> is common to all firms, only this interaction is identified once quarter effects are included; the logic is the same as for exchange rate volatility (Section 3.8.5) and follows the financial-dependence design of Rajan and Zingales (1998).</w:t>
      </w:r>
    </w:p>
    <w:p w14:paraId="355D15A5" w14:textId="77777777" w:rsidR="002363FE" w:rsidRDefault="00CC0653">
      <w:pPr>
        <w:pStyle w:val="Heading3"/>
      </w:pPr>
      <w:bookmarkStart w:id="67" w:name="_TocRev067"/>
      <w:r>
        <w:t>3.8.3 Construction of the Financial Risk Index</w:t>
      </w:r>
      <w:bookmarkEnd w:id="67"/>
    </w:p>
    <w:p w14:paraId="4F141E4D" w14:textId="77777777" w:rsidR="002363FE" w:rsidRDefault="00CC0653">
      <w:pPr>
        <w:spacing w:after="240" w:line="480" w:lineRule="auto"/>
      </w:pPr>
      <w:r>
        <w:rPr>
          <w:rFonts w:eastAsia="Times New Roman" w:cs="Times New Roman"/>
        </w:rPr>
        <w:t xml:space="preserve">The financial risk index is designed so that it does not mechanically include components of the outcome or of the key predictors. Three components are used, each oriented so that a higher value means greater risk: (i) book leverage, total interest-bearing debt divided by total assets; (ii) debt maturity, short-term interest-bearing debt divided by total interest-bearing debt, which captures refinancing risk; and (iii) cash-flow volatility, the standard deviation of operating cash flow to total assets over the previous eight quarters (t−8 to t−1, or the previous four years under the annual design), which is measured before the period in which performance is observed. Three commonly used measures are deliberately excluded from the core index: the interest coverage ratio, because its numerator (EBIT) is a measure of current profit and would make the moderator a function of the outcome; the debt-to-equity ratio, because its denominator is the denominator of ROE; and the ratio of short-term to long-term liabilities, because current liabilities are the denominator of the current ratio, the liquidity predictor. For the same reason, the Altman (1968) Z-score is not used, since it contains EBIT and retained earnings.</w:t>
      </w:r>
    </w:p>
    <w:p w14:paraId="51DB5520" w14:textId="77777777" w:rsidR="002363FE" w:rsidRDefault="00CC0653">
      <w:pPr>
        <w:spacing w:after="240" w:line="480" w:lineRule="auto"/>
      </w:pPr>
      <w:r>
        <w:rPr>
          <w:rFonts w:eastAsia="Times New Roman" w:cs="Times New Roman"/>
        </w:rPr>
        <w:t xml:space="preserve">The weights are the loadings of the first principal component, with the KMO, Bartlett, loading and explained-variance diagnostics and the same suitability and fallback rules as for the forex index (Section 3.8.2). Three justifications support data-driven weights: no theory specifies the relative importance of the components; the first component maximises the common variation that the components share; and the result is checked against alternatives rather than assumed. The alternatives tested are (i) the equally weighted mean of the standardised components, (ii) book leverage alone and (iii) an extended index that adds the inverted interest coverage ratio measured at t−1. Firm-periods with negative equity or zero debt are retained (leverage is defined on assets, not equity) and flagged, and extreme values are winsorised at the 1st and 99th percentiles. In the moderation model, financial risk is entered at t−1 in the interaction terms to limit reverse causality from current performance to measured risk.</w:t>
      </w:r>
    </w:p>
    <w:p w14:paraId="665D8EB4" w14:textId="77777777" w:rsidR="002363FE" w:rsidRDefault="00CC0653">
      <w:pPr>
        <w:pStyle w:val="Heading3"/>
      </w:pPr>
      <w:bookmarkStart w:id="68" w:name="_TocRev068"/>
      <w:r>
        <w:lastRenderedPageBreak/>
        <w:t>3.8.4 Measurement of Investment Decisions</w:t>
      </w:r>
      <w:bookmarkEnd w:id="68"/>
    </w:p>
    <w:p w14:paraId="2E3886AE" w14:textId="77777777" w:rsidR="002363FE" w:rsidRDefault="00CC0653">
      <w:pPr>
        <w:spacing w:after="240" w:line="480" w:lineRule="auto"/>
      </w:pPr>
      <w:r>
        <w:rPr>
          <w:rFonts w:eastAsia="Times New Roman" w:cs="Times New Roman"/>
        </w:rPr>
        <w:t xml:space="preserve">Investment decisions are measured primarily as capital expenditure divided by total assets (CAPEX intensity), which is the mediator in all mediation models. The number of retail outlets added or upgraded is used only as a robustness measure, and only if reliable quarterly data are available from the NPA.</w:t>
      </w:r>
    </w:p>
    <w:p w14:paraId="49937B48" w14:textId="77777777" w:rsidR="002363FE" w:rsidRDefault="00CC0653">
      <w:pPr>
        <w:pStyle w:val="Heading3"/>
      </w:pPr>
      <w:bookmarkStart w:id="69" w:name="_TocRev069"/>
      <w:r>
        <w:t>3.8.5 Exchange Rate Volatility, Exposure and Asymmetry</w:t>
      </w:r>
      <w:bookmarkEnd w:id="69"/>
    </w:p>
    <w:p w14:paraId="39ED4A3B" w14:textId="77777777" w:rsidR="002363FE" w:rsidRDefault="00CC0653">
      <w:pPr>
        <w:spacing w:after="240" w:line="480" w:lineRule="auto"/>
      </w:pPr>
      <w:r>
        <w:rPr>
          <w:rFonts w:eastAsia="Times New Roman" w:cs="Times New Roman"/>
        </w:rPr>
        <w:t xml:space="preserve">Because the GARCH/EGARCH model is estimated on a single national GHS/USD series, the resulting conditional variance is a common, time-varying shock that takes the same value for all firms in a quarter. It is therefore written as EXRV</w:t>
      </w:r>
      <w:r>
        <w:rPr>
          <w:rFonts w:eastAsia="Times New Roman" w:cs="Times New Roman"/>
          <w:vertAlign w:val="subscript"/>
        </w:rPr>
        <w:t xml:space="preserve">t</w:t>
      </w:r>
      <w:r>
        <w:rPr>
          <w:rFonts w:eastAsia="Times New Roman" w:cs="Times New Roman"/>
        </w:rPr>
        <w:t xml:space="preserve">. With a full set of quarter fixed effects, EXRV</w:t>
      </w:r>
      <w:r>
        <w:rPr>
          <w:rFonts w:eastAsia="Times New Roman" w:cs="Times New Roman"/>
          <w:vertAlign w:val="subscript"/>
        </w:rPr>
        <w:t xml:space="preserve">t</w:t>
      </w:r>
      <w:r>
        <w:rPr>
          <w:rFonts w:eastAsia="Times New Roman" w:cs="Times New Roman"/>
        </w:rPr>
        <w:t xml:space="preserve"> is perfectly collinear with those effects and its separate effect is not identified; without them, it is confounded with any other macroeconomic development in the same quarter. The study therefore does not claim a separately identified common volatility effect. Identification comes from the interaction EXRV</w:t>
      </w:r>
      <w:r>
        <w:rPr>
          <w:rFonts w:eastAsia="Times New Roman" w:cs="Times New Roman"/>
          <w:vertAlign w:val="subscript"/>
        </w:rPr>
        <w:t xml:space="preserve">t</w:t>
      </w:r>
      <w:r>
        <w:rPr>
          <w:rFonts w:eastAsia="Times New Roman" w:cs="Times New Roman"/>
        </w:rPr>
        <w:t xml:space="preserve"> × FXE</w:t>
      </w:r>
      <w:r>
        <w:rPr>
          <w:rFonts w:eastAsia="Times New Roman" w:cs="Times New Roman"/>
          <w:vertAlign w:val="subscript"/>
        </w:rPr>
        <w:t xml:space="preserve">i</w:t>
      </w:r>
      <w:r>
        <w:rPr>
          <w:rFonts w:eastAsia="Times New Roman" w:cs="Times New Roman"/>
        </w:rPr>
        <w:t xml:space="preserve">, which varies across firms within a quarter: it asks whether the same volatility shock lowers performance more for firms with greater foreign exchange exposure, as Exchange Rate Exposure Theory predicts (Adler &amp; Dumas, 1984; Jorion, 1990).</w:t>
      </w:r>
    </w:p>
    <w:p>
      <w:pPr>
        <w:spacing w:after="240" w:line="480" w:lineRule="auto"/>
        <w:jc w:val="both"/>
      </w:pPr>
      <w:r>
        <w:rPr>
          <w:rFonts w:eastAsia="Times New Roman" w:cs="Times New Roman"/>
        </w:rPr>
        <w:t xml:space="preserve">Exposure is defined precisely as follows. The primary measure is FXE</w:t>
      </w:r>
      <w:r>
        <w:rPr>
          <w:rFonts w:eastAsia="Times New Roman" w:cs="Times New Roman"/>
          <w:vertAlign w:val="subscript"/>
        </w:rPr>
        <w:t xml:space="preserve">i</w:t>
      </w:r>
      <w:r>
        <w:rPr>
          <w:rFonts w:eastAsia="Times New Roman" w:cs="Times New Roman"/>
        </w:rPr>
        <w:t xml:space="preserve"> = (USD-denominated monetary liabilities − USD-denominated monetary assets) / total assets, taken from the currency-risk note that IFRS 7 requires in audited financial statements, measured in the firm's first available financial year. That year is used only to measure exposure and is excluded from the estimation sample, so FXE</w:t>
      </w:r>
      <w:r>
        <w:rPr>
          <w:rFonts w:eastAsia="Times New Roman" w:cs="Times New Roman"/>
          <w:vertAlign w:val="subscript"/>
        </w:rPr>
        <w:t xml:space="preserve">i</w:t>
      </w:r>
      <w:r>
        <w:rPr>
          <w:rFonts w:eastAsia="Times New Roman" w:cs="Times New Roman"/>
        </w:rPr>
        <w:t xml:space="preserve"> is predetermined with respect to the performance it is used to explain. The alternative measure is the USD-invoiced share of purchases in the same year, which captures operating rather than balance-sheet exposure; the two are reported separately and are not combined. As a coarse check, the direct-importer status of BIDECs and LPGMCs is also used. FXE</w:t>
      </w:r>
      <w:r>
        <w:rPr>
          <w:rFonts w:eastAsia="Times New Roman" w:cs="Times New Roman"/>
          <w:vertAlign w:val="subscript"/>
        </w:rPr>
        <w:t xml:space="preserve">i</w:t>
      </w:r>
      <w:r>
        <w:rPr>
          <w:rFonts w:eastAsia="Times New Roman" w:cs="Times New Roman"/>
        </w:rPr>
        <w:t xml:space="preserve"> is time-invariant, so its own main effect is absorbed by the firm fixed effect.</w:t>
      </w:r>
    </w:p>
    <w:p w14:paraId="5F458170" w14:textId="77777777" w:rsidR="002363FE" w:rsidRDefault="00CC0653">
      <w:pPr>
        <w:spacing w:after="240" w:line="480" w:lineRule="auto"/>
      </w:pPr>
      <w:r>
        <w:rPr>
          <w:rFonts w:eastAsia="Times New Roman" w:cs="Times New Roman"/>
        </w:rPr>
        <w:t xml:space="preserve">Two distinct questions about asymmetry are separated. </w:t>
      </w:r>
      <w:r>
        <w:rPr>
          <w:rFonts w:eastAsia="Times New Roman" w:cs="Times New Roman"/>
          <w:b/>
          <w:bCs/>
        </w:rPr>
        <w:t>Question A</w:t>
      </w:r>
      <w:r>
        <w:rPr>
          <w:rFonts w:eastAsia="Times New Roman" w:cs="Times New Roman"/>
        </w:rPr>
        <w:t xml:space="preserve"> asks whether Ghana's exchange rate volatility responds asymmetrically to depreciation and appreciation shocks; this is answered by the EGARCH asymmetry parameter (γ) in Model 1. </w:t>
      </w:r>
      <w:r>
        <w:rPr>
          <w:rFonts w:eastAsia="Times New Roman" w:cs="Times New Roman"/>
          <w:b/>
          <w:bCs/>
        </w:rPr>
        <w:t>Question B</w:t>
      </w:r>
      <w:r>
        <w:rPr>
          <w:rFonts w:eastAsia="Times New Roman" w:cs="Times New Roman"/>
        </w:rPr>
        <w:t xml:space="preserve"> asks whether depreciation shocks have a larger effect on firm performance than appreciation shocks; this is </w:t>
        <w:lastRenderedPageBreak/>
        <w:t>answered in the performance model by including the signed variables DEP</w:t>
      </w:r>
      <w:r>
        <w:rPr>
          <w:rFonts w:eastAsia="Times New Roman" w:cs="Times New Roman"/>
          <w:vertAlign w:val="subscript"/>
        </w:rPr>
        <w:t>t</w:t>
      </w:r>
      <w:r>
        <w:rPr>
          <w:rFonts w:eastAsia="Times New Roman" w:cs="Times New Roman"/>
        </w:rPr>
        <w:t xml:space="preserve"> = max(Δln S</w:t>
      </w:r>
      <w:r>
        <w:rPr>
          <w:rFonts w:eastAsia="Times New Roman" w:cs="Times New Roman"/>
          <w:vertAlign w:val="subscript"/>
        </w:rPr>
        <w:t>t</w:t>
      </w:r>
      <w:r>
        <w:rPr>
          <w:rFonts w:eastAsia="Times New Roman" w:cs="Times New Roman"/>
        </w:rPr>
        <w:t>, 0) and APP</w:t>
      </w:r>
      <w:r>
        <w:rPr>
          <w:rFonts w:eastAsia="Times New Roman" w:cs="Times New Roman"/>
          <w:vertAlign w:val="subscript"/>
        </w:rPr>
        <w:t>t</w:t>
      </w:r>
      <w:r>
        <w:rPr>
          <w:rFonts w:eastAsia="Times New Roman" w:cs="Times New Roman"/>
        </w:rPr>
        <w:t xml:space="preserve"> = min(Δln S</w:t>
      </w:r>
      <w:r>
        <w:rPr>
          <w:rFonts w:eastAsia="Times New Roman" w:cs="Times New Roman"/>
          <w:vertAlign w:val="subscript"/>
        </w:rPr>
        <w:t>t</w:t>
      </w:r>
      <w:r>
        <w:rPr>
          <w:rFonts w:eastAsia="Times New Roman" w:cs="Times New Roman"/>
        </w:rPr>
        <w:t>, 0) and testing the equality of their coefficients. The EGARCH parameter alone is not interpreted as evidence that depreciation has a larger effect on profitability.</w:t>
      </w:r>
    </w:p>
    <w:p w14:paraId="088394E3" w14:textId="77777777" w:rsidR="002363FE" w:rsidRDefault="00CC0653">
      <w:pPr>
        <w:pStyle w:val="Heading2"/>
      </w:pPr>
      <w:bookmarkStart w:id="70" w:name="_TocRev070"/>
      <w:r>
        <w:t>3.9 Analysis of Data</w:t>
      </w:r>
      <w:bookmarkEnd w:id="70"/>
    </w:p>
    <w:p w14:paraId="3AF36ADC" w14:textId="77777777" w:rsidR="002363FE" w:rsidRDefault="00CC0653">
      <w:pPr>
        <w:spacing w:after="240" w:line="480" w:lineRule="auto"/>
      </w:pPr>
      <w:r>
        <w:rPr>
          <w:rFonts w:eastAsia="Times New Roman" w:cs="Times New Roman"/>
        </w:rPr>
        <w:t xml:space="preserve">All analyses are conducted in R (version 4.5 or later), using rugarch for GARCH/EGARCH estimation (Ghalanos, 2022), plm for panel diagnostics, fixed-effects benchmarks and System GMM (Croissant &amp; Millo, 2019), panelvar for Panel VAR (Sigmund &amp; Ferstl, 2021), forecast for ARIMAX (Hyndman &amp; Khandakar, 2008), boot for bootstrapped indirect effects, mediation for the sensitivity analysis of indirect effects (Tingley et al., 2014), and interactions for simple slopes and Johnson–Neyman intervals (Long &amp; Malloy, 2022). Using one software environment ensures that outputs such as the volatility series pass between stages without transcription errors and that all results can be reproduced.</w:t>
      </w:r>
    </w:p>
    <w:p w14:paraId="27573BB6" w14:textId="77777777" w:rsidR="002363FE" w:rsidRDefault="00CC0653">
      <w:pPr>
        <w:pStyle w:val="Heading3"/>
      </w:pPr>
      <w:bookmarkStart w:id="71" w:name="_TocRev071"/>
      <w:r>
        <w:t>3.9.1 Analytical Sequence</w:t>
      </w:r>
      <w:bookmarkEnd w:id="71"/>
    </w:p>
    <w:p w14:paraId="589A7B06" w14:textId="77777777" w:rsidR="002363FE" w:rsidRDefault="00CC0653">
      <w:pPr>
        <w:spacing w:after="240" w:line="480" w:lineRule="auto"/>
      </w:pPr>
      <w:r>
        <w:rPr>
          <w:rFonts w:eastAsia="Times New Roman" w:cs="Times New Roman"/>
        </w:rPr>
        <w:t>The analysis proceeds in six stages, each tied to an objective:</w:t>
      </w:r>
    </w:p>
    <w:p w14:paraId="396E8114" w14:textId="77777777" w:rsidR="002363FE" w:rsidRDefault="00CC0653">
      <w:pPr>
        <w:spacing w:after="120" w:line="480" w:lineRule="auto"/>
        <w:ind w:left="720" w:hanging="360"/>
      </w:pPr>
      <w:r>
        <w:rPr>
          <w:rFonts w:eastAsia="Times New Roman" w:cs="Times New Roman"/>
        </w:rPr>
        <w:t>•</w:t>
        <w:tab/>
      </w:r>
      <w:r>
        <w:rPr>
          <w:rFonts w:eastAsia="Times New Roman" w:cs="Times New Roman"/>
          <w:b/>
          <w:bCs/>
        </w:rPr>
        <w:t>Stage 1 – Exchange rate volatility (Model 1).</w:t>
      </w:r>
      <w:r>
        <w:rPr>
          <w:rFonts w:eastAsia="Times New Roman" w:cs="Times New Roman"/>
        </w:rPr>
        <w:t xml:space="preserve"> GARCH(1,1) and EGARCH(1,1) models are estimated on daily GHS/USD returns, and the preferred specification supplies EXRV</w:t>
      </w:r>
      <w:r>
        <w:rPr>
          <w:rFonts w:eastAsia="Times New Roman" w:cs="Times New Roman"/>
          <w:vertAlign w:val="subscript"/>
        </w:rPr>
        <w:t>t</w:t>
      </w:r>
      <w:r>
        <w:rPr>
          <w:rFonts w:eastAsia="Times New Roman" w:cs="Times New Roman"/>
        </w:rPr>
        <w:t>.</w:t>
      </w:r>
    </w:p>
    <w:p w14:paraId="5F5AA552" w14:textId="77777777" w:rsidR="002363FE" w:rsidRDefault="00CC0653">
      <w:pPr>
        <w:spacing w:after="120" w:line="480" w:lineRule="auto"/>
        <w:ind w:left="720" w:hanging="360"/>
      </w:pPr>
      <w:r>
        <w:rPr>
          <w:rFonts w:eastAsia="Times New Roman" w:cs="Times New Roman"/>
        </w:rPr>
        <w:t xml:space="preserve">•</w:t>
      </w:r>
      <w:r>
        <w:rPr>
          <w:rFonts w:eastAsia="Times New Roman" w:cs="Times New Roman"/>
        </w:rPr>
        <w:tab/>
      </w:r>
      <w:r>
        <w:rPr>
          <w:rFonts w:eastAsia="Times New Roman" w:cs="Times New Roman"/>
          <w:b/>
          <w:bCs/>
        </w:rPr>
        <w:t xml:space="preserve">Stage 2 – Main dynamic panel (Model 2; Objective 1).</w:t>
      </w:r>
      <w:r>
        <w:rPr>
          <w:rFonts w:eastAsia="Times New Roman" w:cs="Times New Roman"/>
        </w:rPr>
        <w:t xml:space="preserve"> A dynamic panel model with firm and quarter fixed effects gives the effects of forex accessibility and liquidity (with its square) on performance and the exposure-conditioned effect of exchange rate volatility (EXRV</w:t>
      </w:r>
      <w:r>
        <w:rPr>
          <w:rFonts w:eastAsia="Times New Roman" w:cs="Times New Roman"/>
          <w:vertAlign w:val="subscript"/>
        </w:rPr>
        <w:t xml:space="preserve">t</w:t>
      </w:r>
      <w:r>
        <w:rPr>
          <w:rFonts w:eastAsia="Times New Roman" w:cs="Times New Roman"/>
        </w:rPr>
        <w:t xml:space="preserve"> × FXE</w:t>
      </w:r>
      <w:r>
        <w:rPr>
          <w:rFonts w:eastAsia="Times New Roman" w:cs="Times New Roman"/>
          <w:vertAlign w:val="subscript"/>
        </w:rPr>
        <w:t xml:space="preserve">i</w:t>
      </w:r>
      <w:r>
        <w:rPr>
          <w:rFonts w:eastAsia="Times New Roman" w:cs="Times New Roman"/>
        </w:rPr>
        <w:t xml:space="preserve">), with lagged and signed (depreciation and appreciation) volatility interactions as additional tests.</w:t>
      </w:r>
    </w:p>
    <w:p w14:paraId="33851873" w14:textId="77777777" w:rsidR="002363FE" w:rsidRDefault="00CC0653">
      <w:pPr>
        <w:spacing w:after="120" w:line="480" w:lineRule="auto"/>
        <w:ind w:left="720" w:hanging="360"/>
      </w:pPr>
      <w:r>
        <w:rPr>
          <w:rFonts w:eastAsia="Times New Roman" w:cs="Times New Roman"/>
        </w:rPr>
        <w:t>•</w:t>
        <w:tab/>
      </w:r>
      <w:r>
        <w:rPr>
          <w:rFonts w:eastAsia="Times New Roman" w:cs="Times New Roman"/>
          <w:b/>
          <w:bCs/>
        </w:rPr>
        <w:t>Stage 3 – Heterogeneity (Model 3; Objective 2).</w:t>
      </w:r>
      <w:r>
        <w:rPr>
          <w:rFonts w:eastAsia="Times New Roman" w:cs="Times New Roman"/>
        </w:rPr>
        <w:t xml:space="preserve"> Firm-category interactions and separate category estimates test whether the effects differ across BIDECs, OMCs and LPGMCs.</w:t>
      </w:r>
    </w:p>
    <w:p w14:paraId="1407CF91" w14:textId="77777777" w:rsidR="002363FE" w:rsidRDefault="00CC0653">
      <w:pPr>
        <w:spacing w:after="120" w:line="480" w:lineRule="auto"/>
        <w:ind w:left="720" w:hanging="360"/>
      </w:pPr>
      <w:r>
        <w:rPr>
          <w:rFonts w:eastAsia="Times New Roman" w:cs="Times New Roman"/>
        </w:rPr>
        <w:t xml:space="preserve">•</w:t>
      </w:r>
      <w:r>
        <w:rPr>
          <w:rFonts w:eastAsia="Times New Roman" w:cs="Times New Roman"/>
        </w:rPr>
        <w:tab/>
      </w:r>
      <w:r>
        <w:rPr>
          <w:rFonts w:eastAsia="Times New Roman" w:cs="Times New Roman"/>
          <w:b/>
          <w:bCs/>
        </w:rPr>
        <w:t xml:space="preserve">Stage 4 – Investment channel (Model 4; Objective 3).</w:t>
      </w:r>
      <w:r>
        <w:rPr>
          <w:rFonts w:eastAsia="Times New Roman" w:cs="Times New Roman"/>
        </w:rPr>
        <w:t xml:space="preserve"> Investment is tested as the channel from forex accessibility to performance with explicit temporal ordering, cluster-bootstrapped indirect effects and a sensitivity analysis for unobserved mediator–outcome confounding.</w:t>
      </w:r>
    </w:p>
    <w:p w14:paraId="0AB2B4B6" w14:textId="77777777" w:rsidR="002363FE" w:rsidRDefault="00CC0653">
      <w:pPr>
        <w:spacing w:after="120" w:line="480" w:lineRule="auto"/>
        <w:ind w:left="720" w:hanging="360"/>
      </w:pPr>
      <w:r>
        <w:rPr>
          <w:rFonts w:eastAsia="Times New Roman" w:cs="Times New Roman"/>
        </w:rPr>
        <w:t>•</w:t>
        <w:tab/>
      </w:r>
      <w:r>
        <w:rPr>
          <w:rFonts w:eastAsia="Times New Roman" w:cs="Times New Roman"/>
          <w:b/>
          <w:bCs/>
        </w:rPr>
        <w:t>Stage 5 – Moderation (Model 5; Objective 4).</w:t>
      </w:r>
      <w:r>
        <w:rPr>
          <w:rFonts w:eastAsia="Times New Roman" w:cs="Times New Roman"/>
        </w:rPr>
        <w:t xml:space="preserve"> Interactions with financial risk test H5a to H5c, and marginal effects are interpreted across the range of financial risk.</w:t>
      </w:r>
    </w:p>
    <w:p w14:paraId="04CB6517" w14:textId="77777777" w:rsidR="002363FE" w:rsidRDefault="00CC0653">
      <w:pPr>
        <w:spacing w:after="120" w:line="480" w:lineRule="auto"/>
        <w:ind w:left="720" w:hanging="360"/>
      </w:pPr>
      <w:r>
        <w:rPr>
          <w:rFonts w:eastAsia="Times New Roman" w:cs="Times New Roman"/>
        </w:rPr>
        <w:t xml:space="preserve">•</w:t>
      </w:r>
      <w:r>
        <w:rPr>
          <w:rFonts w:eastAsia="Times New Roman" w:cs="Times New Roman"/>
        </w:rPr>
        <w:tab/>
      </w:r>
      <w:r>
        <w:rPr>
          <w:rFonts w:eastAsia="Times New Roman" w:cs="Times New Roman"/>
          <w:b/>
          <w:bCs/>
        </w:rPr>
        <w:t xml:space="preserve">Stage 6 – Dynamic responses (Model 6; Objective 5; supporting).</w:t>
      </w:r>
      <w:r>
        <w:rPr>
          <w:rFonts w:eastAsia="Times New Roman" w:cs="Times New Roman"/>
        </w:rPr>
        <w:t xml:space="preserve"> Where the conditions in Table 3.5 are met, Panel VAR and ARIMAX models trace the dynamic responses of performance to shocks in the financial conditions.</w:t>
      </w:r>
    </w:p>
    <w:p w14:paraId="09F1D4F6" w14:textId="77777777" w:rsidR="002363FE" w:rsidRDefault="00CC0653">
      <w:pPr>
        <w:spacing w:after="240" w:line="480" w:lineRule="auto"/>
      </w:pPr>
      <w:r>
        <w:rPr>
          <w:rFonts w:eastAsia="Times New Roman" w:cs="Times New Roman"/>
        </w:rPr>
        <w:t>Robustness checks are applied at each stage (Section 3.12.4). A Monte Carlo exercise is used only as a supporting methodological analysis to assess the finite-sample performance of the estimators (Section 3.10.8).</w:t>
      </w:r>
    </w:p>
    <w:p w14:paraId="1D839E49" w14:textId="77777777" w:rsidR="002363FE" w:rsidRDefault="00CC0653">
      <w:pPr>
        <w:pStyle w:val="Heading3"/>
      </w:pPr>
      <w:bookmarkStart w:id="72" w:name="_TocRev072"/>
      <w:r>
        <w:t>3.9.2 Decision Rules Governing Analytical Progression</w:t>
      </w:r>
      <w:bookmarkEnd w:id="72"/>
    </w:p>
    <w:p w14:paraId="5D5C23D8" w14:textId="77777777" w:rsidR="002363FE" w:rsidRDefault="00CC0653">
      <w:pPr>
        <w:spacing w:after="240" w:line="480" w:lineRule="auto"/>
      </w:pPr>
      <w:r>
        <w:rPr>
          <w:rFonts w:eastAsia="Times New Roman" w:cs="Times New Roman"/>
          <w:b/>
          <w:bCs/>
        </w:rPr>
        <w:t>Model-selection rules.</w:t>
      </w:r>
      <w:r>
        <w:rPr>
          <w:rFonts w:eastAsia="Times New Roman" w:cs="Times New Roman"/>
        </w:rPr>
        <w:t xml:space="preserve"> The choice between GARCH(1,1) and EGARCH(1,1) is based jointly on information criteria, residual diagnostics (ARCH-LM and Ljung–Box tests) and the Engle–Ng (1993) sign-bias test. The lag length of the Panel VAR is selected by the moment and model selection criteria of Andrews and Lu (2001), and the ARIMAX orders by AIC and BIC subject to white-noise residuals.</w:t>
      </w:r>
    </w:p>
    <w:p w14:paraId="32D800B1" w14:textId="77777777" w:rsidR="002363FE" w:rsidRDefault="00CC0653">
      <w:pPr>
        <w:spacing w:after="240" w:line="480" w:lineRule="auto"/>
      </w:pPr>
      <w:r>
        <w:rPr>
          <w:rFonts w:eastAsia="Times New Roman" w:cs="Times New Roman"/>
          <w:b/>
          <w:bCs/>
        </w:rPr>
        <w:t>Instrument rules.</w:t>
      </w:r>
      <w:r>
        <w:rPr>
          <w:rFonts w:eastAsia="Times New Roman" w:cs="Times New Roman"/>
        </w:rPr>
        <w:t xml:space="preserve"> The System GMM instrument set follows the classification in Table 3.7. The instrument count is kept at or below half the number of firms by collapsing the instrument matrix and limiting lag depth. Instrument validity is judged jointly from the Hansen test, Difference-in-Hansen tests, the AR(2) test and the instrument count, rather than from a single p-value threshold, and the choice between System GMM and the fixed-effects alternative follows the conditions in Section 3.11.2.</w:t>
      </w:r>
    </w:p>
    <w:p w14:paraId="239F5D5F" w14:textId="77777777" w:rsidR="002363FE" w:rsidRDefault="00CC0653">
      <w:pPr>
        <w:spacing w:after="240" w:line="480" w:lineRule="auto"/>
      </w:pPr>
      <w:r>
        <w:rPr>
          <w:rFonts w:eastAsia="Times New Roman" w:cs="Times New Roman"/>
          <w:b/>
          <w:bCs/>
        </w:rPr>
        <w:lastRenderedPageBreak/>
        <w:t>Inheritance rules.</w:t>
      </w:r>
      <w:r>
        <w:rPr>
          <w:rFonts w:eastAsia="Times New Roman" w:cs="Times New Roman"/>
        </w:rPr>
        <w:t xml:space="preserve"> The volatility series from Stage 1 is the volatility measure used in all later stages. The mediation and moderation models use the same variable definitions, sample and instrument strategy as the main dynamic panel model, so that differences in results can be attributed to the mechanisms being tested rather than to changes in specification.</w:t>
      </w:r>
    </w:p>
    <w:p w14:paraId="33CDBB89" w14:textId="77777777" w:rsidR="002363FE" w:rsidRDefault="00CC0653">
      <w:pPr>
        <w:pStyle w:val="Heading3"/>
      </w:pPr>
      <w:bookmarkStart w:id="73" w:name="_TocRev073"/>
      <w:r>
        <w:t>3.9.3 Integration of Analytical Outputs into Policy Inference</w:t>
      </w:r>
      <w:bookmarkEnd w:id="73"/>
    </w:p>
    <w:p w14:paraId="76A04F2F" w14:textId="77777777" w:rsidR="002363FE" w:rsidRDefault="00CC0653">
      <w:pPr>
        <w:spacing w:after="240" w:line="480" w:lineRule="auto"/>
      </w:pPr>
      <w:r>
        <w:rPr>
          <w:rFonts w:eastAsia="Times New Roman" w:cs="Times New Roman"/>
        </w:rPr>
        <w:t>The outputs of the stages are combined at three levels. The main dynamic panel and heterogeneity models show which financial conditions matter most and for which firm category, and the estimated optimal liquidity level indicates when additional liquidity stops improving profitability. The lagged mediation model indicates whether forex relief improves performance mainly through working capital or through investment, which determines whether policy should prioritise working-capital support or capital-expenditure facilitation. The moderation and dynamic models indicate which firms benefit least from improved conditions and how long shocks persist, which informs risk-differentiated targeting and the timing of regulatory interventions (Stulz, 1990; Myers, 1977; Hayes, 2018). Throughout, findings are interpreted as evidence consistent with the hypothesised mechanisms under the stated identifying assumptions.</w:t>
      </w:r>
    </w:p>
    <w:p>
      <w:pPr>
        <w:pStyle w:val="Heading3"/>
      </w:pPr>
      <w:bookmarkStart w:id="809" w:name="_TocNew809"/>
      <w:r>
        <w:t xml:space="preserve">3.9.4 Core and Supporting Analyses and When Each Is Dropped</w:t>
      </w:r>
      <w:bookmarkEnd w:id="809"/>
    </w:p>
    <w:p>
      <w:pPr>
        <w:spacing w:after="240" w:line="480" w:lineRule="auto"/>
        <w:jc w:val="both"/>
      </w:pPr>
      <w:r>
        <w:rPr>
          <w:rFonts w:eastAsia="Times New Roman" w:cs="Times New Roman"/>
        </w:rPr>
        <w:t xml:space="preserve">The proposal uses several methods, and each must earn its place. The core of the study consists of Models 2 to 5, which test H1 to H5c; the GARCH/EGARCH model is a measurement step that supplies the volatility series. The Panel VAR, ARIMAX and Monte Carlo analyses are supporting: they are reported only if the conditions in Table 3.5 hold, and no conclusion on H1 to H5c depends on them. Table 3.5 states, for each method, the question it answers and the result that would cause it to be dropped or replaced. These conditions are fixed before estimation, and every replacement is reported with the reason for it.</w:t>
      </w:r>
    </w:p>
    <w:p>
      <w:pPr>
        <w:keepNext/>
        <w:spacing w:before="240" w:after="120"/>
        <w:jc w:val="left"/>
      </w:pPr>
      <w:r>
        <w:rPr>
          <w:rFonts w:eastAsia="Times New Roman" w:cs="Times New Roman"/>
          <w:b/>
          <w:bCs/>
        </w:rPr>
        <w:t xml:space="preserve">Table 3.5: Core and Supporting Analyses: Purpose and Conditions for Dropping or Replacing Each Method</w:t>
      </w:r>
    </w:p>
    <w:tbl>
      <w:tblPr>
        <w:tblStyle w:val="TableGrid"/>
        <w:tblW w:w="9360" w:type="dxa"/>
        <w:tblLayout w:type="fixed"/>
        <w:tblLook w:val="04A0" w:firstRow="1" w:lastRow="0" w:firstColumn="1" w:lastColumn="0" w:noHBand="0" w:noVBand="1"/>
      </w:tblPr>
      <w:tblGrid>
        <w:gridCol w:w="1500"/>
        <w:gridCol w:w="2200"/>
        <w:gridCol w:w="1300"/>
        <w:gridCol w:w="4360"/>
      </w:tblGrid>
      <w:tr>
        <w:trPr>
          <w:cantSplit/>
          <w:tblHeader/>
        </w:trPr>
        <w:tc>
          <w:tcPr>
            <w:tcW w:w="15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Method</w:t>
            </w:r>
          </w:p>
        </w:tc>
        <w:tc>
          <w:tcPr>
            <w:tcW w:w="22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Question it answers</w:t>
            </w:r>
          </w:p>
        </w:tc>
        <w:tc>
          <w:tcPr>
            <w:tcW w:w="13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Status</w:t>
            </w:r>
          </w:p>
        </w:tc>
        <w:tc>
          <w:tcPr>
            <w:tcW w:w="436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Result that causes it to be dropped or replaced</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GARCH/EGARCH on daily returns (Model 1)</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How volatile was the GHS/USD rate in each quarter?</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Core (measurement)</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Replaced by realised volatility (the quarterly sum of squared daily returns) if neither model converges, if the standardised residuals retain ARCH effects at the 5% level after break dummies are added, or if persistence α + β ≥ 0.99 remains after allowing for structural breaks (Section 3.10.2).</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Dynamic panel with firm and quarter effects, System GMM (Model 2)</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Direct effects of FA and LV; exposure-conditioned effect of EXRV (H1–H3)</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Core</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Estimator replaced by Difference GMM or by two-way fixed effects with Driscoll–Kraay errors and bias-corrected LSDV if the conditions in Section 3.11.2 fail (N &lt; 40, instrument count &gt; N/2, AR(2) rejected, or Hansen/Difference-in-Hansen rejection). The model itself is always estimated.</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Category interactions (Model 3)</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Do the effects differ across BIDECs, OMCs and LPGMCs? (H1a–H3a)</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Core</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Category-specific estimates dropped for any category with fewer than 15 usable firms (Rule S3); the pooled interaction model is always estimated.</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Lagged investment channel (Model 4)</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Is FA associated with performance indirectly through later investment? (H4)</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Core</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Reported as an indirect association unless the conditions in Section 3.10.5 hold. If capital expenditure is observed for fewer than 60% of usable firm-periods, the indirect effect is not estimated and only the two links (FA → CAPEX, CAPEX → FP) are reported.</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Moderation by financial risk (Model 5)</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Does financial risk weaken or strengthen the effects? (H5a–H5c)</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Core</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PCA index replaced by the equally weighted index if KMO &lt; 0.5 or Bartlett's test does not reject; replaced by leverage alone if fewer than two risk components are observed for 80% of firm-periods.</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Two-way fixed effects with Driscoll–Kraay errors</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Do the conclusions depend on the GMM endogeneity correction or on cross-sectional dependence?</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Robustness benchmark</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Always reported.</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Panel VAR (Model 6)</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How does performance respond over time to shocks in FA and LV? (H6)</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Supporting</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Dropped if fewer than 30 firms have at least 20 consecutive periods, if the stability (eigenvalue) condition fails, or if the Hansen test rejects; replaced by local projections from the Model 2 specification (Jordà, 2005).</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ARIMAX (Model 6)</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Timing of category-level performance responses; scenario projections</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Supporting</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Not estimated under the annual design or if a category's quarterly average cannot be built for at least 32 quarters; scenario projections are reported only if the model beats the benchmark ARIMA out of sample (lower RMSE on 2024 hold-out).</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Monte Carlo (Section 3.10.8)</w:t>
            </w:r>
          </w:p>
        </w:tc>
        <w:tc>
          <w:tcPr>
            <w:tcW w:w="22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How biased and precise are the estimators at the actual N and T?</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Supporting</w:t>
            </w:r>
          </w:p>
        </w:tc>
        <w:tc>
          <w:tcPr>
            <w:tcW w:w="43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Run only if System GMM is the core estimator; its results guide the instrument set and are not evidence for the hypotheses.</w:t>
            </w:r>
          </w:p>
        </w:tc>
      </w:tr>
    </w:tbl>
    <w:p>
      <w:pPr>
        <w:spacing w:before="60" w:after="240"/>
        <w:jc w:val="left"/>
      </w:pPr>
      <w:r>
        <w:rPr>
          <w:rFonts w:eastAsia="Times New Roman" w:cs="Times New Roman"/>
          <w:i/>
          <w:iCs/>
          <w:sz w:val="20"/>
          <w:szCs w:val="20"/>
        </w:rPr>
        <w:t xml:space="preserve">Source: Author's construct (2026).</w:t>
      </w:r>
    </w:p>
    <w:p w14:paraId="7F0AA4CC" w14:textId="77777777" w:rsidR="002363FE" w:rsidRDefault="00CC0653">
      <w:pPr>
        <w:pStyle w:val="Heading2"/>
      </w:pPr>
      <w:bookmarkStart w:id="74" w:name="_TocRev074"/>
      <w:r>
        <w:t>3.10 Model Specifications</w:t>
      </w:r>
      <w:bookmarkEnd w:id="74"/>
    </w:p>
    <w:p w14:paraId="56612782" w14:textId="77777777" w:rsidR="002363FE" w:rsidRDefault="00CC0653">
      <w:pPr>
        <w:pStyle w:val="Heading3"/>
      </w:pPr>
      <w:bookmarkStart w:id="75" w:name="_TocRev075"/>
      <w:r>
        <w:t>3.10.1 Overview of the Empirical Architecture</w:t>
      </w:r>
      <w:bookmarkEnd w:id="75"/>
    </w:p>
    <w:p w14:paraId="68359ABD" w14:textId="77777777" w:rsidR="002363FE" w:rsidRDefault="00CC0653">
      <w:pPr>
        <w:spacing w:after="240" w:line="480" w:lineRule="auto"/>
      </w:pPr>
      <w:r>
        <w:rPr>
          <w:rFonts w:eastAsia="Times New Roman" w:cs="Times New Roman"/>
        </w:rPr>
        <w:t>The empirical framework is deliberately parsimonious and follows the sequence:</w:t>
      </w:r>
    </w:p>
    <w:p w14:paraId="6B7E2FCE" w14:textId="77777777" w:rsidR="002363FE" w:rsidRDefault="00CC0653">
      <w:pPr>
        <w:spacing w:after="120"/>
        <w:jc w:val="center"/>
      </w:pPr>
      <w:r>
        <w:rPr>
          <w:rFonts w:eastAsia="Times New Roman" w:cs="Times New Roman"/>
          <w:b/>
          <w:bCs/>
        </w:rPr>
        <w:t>GARCH/EGARCH → Dynamic panel (System GMM) → Heterogeneity → Lagged mediation → Moderation → Robustness</w:t>
      </w:r>
      <w:r>
        <w:rPr>
          <w:rFonts w:eastAsia="Times New Roman" w:cs="Times New Roman"/>
        </w:rPr>
        <w:t xml:space="preserve">, complemented by </w:t>
      </w:r>
      <w:r>
        <w:rPr>
          <w:rFonts w:eastAsia="Times New Roman" w:cs="Times New Roman"/>
          <w:b/>
          <w:bCs/>
        </w:rPr>
        <w:t>Panel VAR and ARIMAX</w:t>
      </w:r>
      <w:r>
        <w:rPr>
          <w:rFonts w:eastAsia="Times New Roman" w:cs="Times New Roman"/>
        </w:rPr>
        <w:t xml:space="preserve"> for the dynamic objective.</w:t>
      </w:r>
    </w:p>
    <w:p w14:paraId="62FCE84C" w14:textId="77777777" w:rsidR="002363FE" w:rsidRDefault="00CC0653">
      <w:pPr>
        <w:spacing w:after="240" w:line="480" w:lineRule="auto"/>
      </w:pPr>
      <w:r>
        <w:rPr>
          <w:rFonts w:eastAsia="Times New Roman" w:cs="Times New Roman"/>
        </w:rPr>
        <w:lastRenderedPageBreak/>
        <w:t xml:space="preserve">Each component exists to serve the central argument of the study: that forex accessibility, liquidity and exchange rate volatility affect performance directly, that forex accessibility also operates through investment, and that financial risk conditions these effects. Models 2 to 5 form the core and Model 6 and the Monte Carlo exercise are supporting (Section 3.9.4); the techniques are not ends in themselves.</w:t>
      </w:r>
    </w:p>
    <w:p w14:paraId="1B688C32" w14:textId="77777777" w:rsidR="002363FE" w:rsidRDefault="00CC0653">
      <w:pPr>
        <w:pStyle w:val="Heading3"/>
      </w:pPr>
      <w:bookmarkStart w:id="76" w:name="_TocRev076"/>
      <w:r>
        <w:t>3.10.2 Model 1: Exchange Rate Volatility (GARCH and EGARCH)</w:t>
      </w:r>
      <w:bookmarkEnd w:id="76"/>
    </w:p>
    <w:p w14:paraId="14D712D0" w14:textId="77777777" w:rsidR="002363FE" w:rsidRDefault="00CC0653">
      <w:pPr>
        <w:spacing w:after="240" w:line="480" w:lineRule="auto"/>
      </w:pPr>
      <w:r>
        <w:rPr>
          <w:rFonts w:eastAsia="Times New Roman" w:cs="Times New Roman"/>
        </w:rPr>
        <w:t xml:space="preserve">Volatility is estimated from daily rather than quarterly data. A GARCH model estimated on the 40 quarterly observations of 2015–2024 would rest on too few observations to estimate the variance dynamics reliably, whereas the daily series provides about 2,500 observations. The series is the Bank of Ghana daily interbank GHS/USD mid-rate S</w:t>
      </w:r>
      <w:r>
        <w:rPr>
          <w:rFonts w:eastAsia="Times New Roman" w:cs="Times New Roman"/>
          <w:vertAlign w:val="subscript"/>
        </w:rPr>
        <w:t xml:space="preserve">d</w:t>
      </w:r>
      <w:r>
        <w:rPr>
          <w:rFonts w:eastAsia="Times New Roman" w:cs="Times New Roman"/>
        </w:rPr>
        <w:t xml:space="preserve"> (Section 3.7.2), quoted as cedis per dollar, from 2 January 2015 to 31 December 2024. Returns are defined as r</w:t>
      </w:r>
      <w:r>
        <w:rPr>
          <w:rFonts w:eastAsia="Times New Roman" w:cs="Times New Roman"/>
          <w:vertAlign w:val="subscript"/>
        </w:rPr>
        <w:t xml:space="preserve">d</w:t>
      </w:r>
      <w:r>
        <w:rPr>
          <w:rFonts w:eastAsia="Times New Roman" w:cs="Times New Roman"/>
        </w:rPr>
        <w:t xml:space="preserve"> = 100 × ln(S</w:t>
      </w:r>
      <w:r>
        <w:rPr>
          <w:rFonts w:eastAsia="Times New Roman" w:cs="Times New Roman"/>
          <w:vertAlign w:val="subscript"/>
        </w:rPr>
        <w:t xml:space="preserve">d</w:t>
      </w:r>
      <w:r>
        <w:rPr>
          <w:rFonts w:eastAsia="Times New Roman" w:cs="Times New Roman"/>
        </w:rPr>
        <w:t xml:space="preserve"> / S</w:t>
      </w:r>
      <w:r>
        <w:rPr>
          <w:rFonts w:eastAsia="Times New Roman" w:cs="Times New Roman"/>
          <w:vertAlign w:val="subscript"/>
        </w:rPr>
        <w:t xml:space="preserve">d−1</w:t>
      </w:r>
      <w:r>
        <w:rPr>
          <w:rFonts w:eastAsia="Times New Roman" w:cs="Times New Roman"/>
        </w:rPr>
        <w:t xml:space="preserve">), where d−1 is the previous trading day, so that a positive return is a depreciation of the cedi. Weekends and public holidays are excluded rather than filled with zero returns. If more than 20 percent of daily returns are zero, which can occur when the rate is tightly managed, the models are re-estimated on weekly (Wednesday-to-Wednesday) returns as a robustness check (Bollerslev, 1986; Engle, 1982). An autoregressive term is added to the mean equation if the Ljung–Box test shows serial correlation in the returns.</w:t>
      </w:r>
    </w:p>
    <w:p w14:paraId="19F97554" w14:textId="77777777" w:rsidR="002363FE" w:rsidRDefault="00CC0653">
      <w:pPr>
        <w:spacing w:after="240" w:line="480" w:lineRule="auto"/>
      </w:pPr>
      <w:r>
        <w:rPr>
          <w:rFonts w:eastAsia="Times New Roman" w:cs="Times New Roman"/>
          <w:b/>
          <w:bCs/>
        </w:rPr>
        <w:t>GARCH(1,1) specification:</w:t>
      </w:r>
    </w:p>
    <w:p w14:paraId="1216E119" w14:textId="77777777" w:rsidR="002363FE" w:rsidRDefault="00CC0653">
      <w:pPr>
        <w:spacing w:before="120" w:after="240" w:line="360" w:lineRule="auto"/>
        <w:jc w:val="center"/>
      </w:pPr>
      <w:r>
        <w:rPr>
          <w:rFonts w:eastAsia="Times New Roman" w:cs="Times New Roman"/>
          <w:i/>
          <w:iCs/>
        </w:rPr>
        <w:t>r</w:t>
      </w:r>
      <w:r>
        <w:rPr>
          <w:rFonts w:eastAsia="Times New Roman" w:cs="Times New Roman"/>
          <w:i/>
          <w:iCs/>
          <w:vertAlign w:val="subscript"/>
        </w:rPr>
        <w:t>d</w:t>
      </w:r>
      <w:r>
        <w:rPr>
          <w:rFonts w:eastAsia="Times New Roman" w:cs="Times New Roman"/>
          <w:i/>
          <w:iCs/>
        </w:rPr>
        <w:t xml:space="preserve"> = μ + ε</w:t>
      </w:r>
      <w:r>
        <w:rPr>
          <w:rFonts w:eastAsia="Times New Roman" w:cs="Times New Roman"/>
          <w:i/>
          <w:iCs/>
          <w:vertAlign w:val="subscript"/>
        </w:rPr>
        <w:t>d</w:t>
      </w:r>
      <w:r>
        <w:rPr>
          <w:rFonts w:eastAsia="Times New Roman" w:cs="Times New Roman"/>
          <w:i/>
          <w:iCs/>
        </w:rPr>
        <w:t>,     ε</w:t>
      </w:r>
      <w:r>
        <w:rPr>
          <w:rFonts w:eastAsia="Times New Roman" w:cs="Times New Roman"/>
          <w:i/>
          <w:iCs/>
          <w:vertAlign w:val="subscript"/>
        </w:rPr>
        <w:t>d</w:t>
      </w:r>
      <w:r>
        <w:rPr>
          <w:rFonts w:eastAsia="Times New Roman" w:cs="Times New Roman"/>
          <w:i/>
          <w:iCs/>
        </w:rPr>
        <w:t xml:space="preserve"> = σ</w:t>
      </w:r>
      <w:r>
        <w:rPr>
          <w:rFonts w:eastAsia="Times New Roman" w:cs="Times New Roman"/>
          <w:i/>
          <w:iCs/>
          <w:vertAlign w:val="subscript"/>
        </w:rPr>
        <w:t>d</w:t>
      </w:r>
      <w:r>
        <w:rPr>
          <w:rFonts w:eastAsia="Times New Roman" w:cs="Times New Roman"/>
          <w:i/>
          <w:iCs/>
        </w:rPr>
        <w:t>z</w:t>
      </w:r>
      <w:r>
        <w:rPr>
          <w:rFonts w:eastAsia="Times New Roman" w:cs="Times New Roman"/>
          <w:i/>
          <w:iCs/>
          <w:vertAlign w:val="subscript"/>
        </w:rPr>
        <w:t>d</w:t>
      </w:r>
      <w:r>
        <w:rPr>
          <w:rFonts w:eastAsia="Times New Roman" w:cs="Times New Roman"/>
          <w:i/>
          <w:iCs/>
        </w:rPr>
        <w:t>,  z</w:t>
      </w:r>
      <w:r>
        <w:rPr>
          <w:rFonts w:eastAsia="Times New Roman" w:cs="Times New Roman"/>
          <w:i/>
          <w:iCs/>
          <w:vertAlign w:val="subscript"/>
        </w:rPr>
        <w:t>d</w:t>
      </w:r>
      <w:r>
        <w:rPr>
          <w:rFonts w:eastAsia="Times New Roman" w:cs="Times New Roman"/>
          <w:i/>
          <w:iCs/>
        </w:rPr>
        <w:t xml:space="preserve"> ~ IID(0,1),     σ²</w:t>
      </w:r>
      <w:r>
        <w:rPr>
          <w:rFonts w:eastAsia="Times New Roman" w:cs="Times New Roman"/>
          <w:i/>
          <w:iCs/>
          <w:vertAlign w:val="subscript"/>
        </w:rPr>
        <w:t>d</w:t>
      </w:r>
      <w:r>
        <w:rPr>
          <w:rFonts w:eastAsia="Times New Roman" w:cs="Times New Roman"/>
          <w:i/>
          <w:iCs/>
        </w:rPr>
        <w:t xml:space="preserve"> = ω + αε²</w:t>
      </w:r>
      <w:r>
        <w:rPr>
          <w:rFonts w:eastAsia="Times New Roman" w:cs="Times New Roman"/>
          <w:i/>
          <w:iCs/>
          <w:vertAlign w:val="subscript"/>
        </w:rPr>
        <w:t>d−1</w:t>
      </w:r>
      <w:r>
        <w:rPr>
          <w:rFonts w:eastAsia="Times New Roman" w:cs="Times New Roman"/>
          <w:i/>
          <w:iCs/>
        </w:rPr>
        <w:t xml:space="preserve"> + βσ²</w:t>
      </w:r>
      <w:r>
        <w:rPr>
          <w:rFonts w:eastAsia="Times New Roman" w:cs="Times New Roman"/>
          <w:i/>
          <w:iCs/>
          <w:vertAlign w:val="subscript"/>
        </w:rPr>
        <w:t>d−1</w:t>
      </w:r>
      <w:r>
        <w:rPr>
          <w:rFonts w:eastAsia="Times New Roman" w:cs="Times New Roman"/>
          <w:i/>
          <w:iCs/>
        </w:rPr>
        <w:t xml:space="preserve">          (1)</w:t>
      </w:r>
    </w:p>
    <w:p w14:paraId="12C63DCC" w14:textId="77777777" w:rsidR="00F12AA8" w:rsidRPr="00F12AA8" w:rsidRDefault="00F12AA8" w:rsidP="00F12AA8">
      <w:pPr>
        <w:spacing w:after="200" w:line="480" w:lineRule="auto"/>
        <w:rPr>
          <w:rFonts w:cs="Times New Roman"/>
          <w:color w:val="000000" w:themeColor="text1"/>
        </w:rPr>
      </w:pPr>
      <w:r>
        <w:rPr>
          <w:rFonts w:eastAsia="Times New Roman" w:cs="Times New Roman"/>
        </w:rPr>
        <w:t>where σ²</w:t>
      </w:r>
      <w:r>
        <w:rPr>
          <w:rFonts w:eastAsia="Times New Roman" w:cs="Times New Roman"/>
          <w:vertAlign w:val="subscript"/>
        </w:rPr>
        <w:t>d</w:t>
      </w:r>
      <w:r>
        <w:rPr>
          <w:rFonts w:eastAsia="Times New Roman" w:cs="Times New Roman"/>
        </w:rPr>
        <w:t xml:space="preserve"> is the conditional variance; ω &gt; 0 is the long-run variance intercept; α ≥ 0 is the ARCH coefficient; β ≥ 0 is the GARCH coefficient; and the stationarity condition α + β &lt; 1 is imposed. The unconditional variance is σ² = ω / (1 − α − β) and the half-life of a volatility shock is h = ln(0.5) / ln(α + β) (Engle &amp; Patton, 2001).</w:t>
      </w:r>
    </w:p>
    <w:p w14:paraId="5A3D7A0C" w14:textId="77777777" w:rsidR="002363FE" w:rsidRDefault="00CC0653">
      <w:pPr>
        <w:spacing w:after="240" w:line="480" w:lineRule="auto"/>
      </w:pPr>
      <w:r>
        <w:rPr>
          <w:rFonts w:eastAsia="Times New Roman" w:cs="Times New Roman"/>
          <w:b/>
          <w:bCs/>
        </w:rPr>
        <w:t>EGARCH(1,1) specification:</w:t>
      </w:r>
    </w:p>
    <w:p w14:paraId="03800E62" w14:textId="77777777" w:rsidR="002363FE" w:rsidRDefault="00CC0653">
      <w:pPr>
        <w:spacing w:before="120" w:after="240" w:line="360" w:lineRule="auto"/>
        <w:jc w:val="center"/>
      </w:pPr>
      <w:r>
        <w:rPr>
          <w:rFonts w:eastAsia="Times New Roman" w:cs="Times New Roman"/>
          <w:i/>
          <w:iCs/>
        </w:rPr>
        <w:t>ln(σ²</w:t>
      </w:r>
      <w:r>
        <w:rPr>
          <w:rFonts w:eastAsia="Times New Roman" w:cs="Times New Roman"/>
          <w:i/>
          <w:iCs/>
          <w:vertAlign w:val="subscript"/>
        </w:rPr>
        <w:t>d</w:t>
      </w:r>
      <w:r>
        <w:rPr>
          <w:rFonts w:eastAsia="Times New Roman" w:cs="Times New Roman"/>
          <w:i/>
          <w:iCs/>
        </w:rPr>
        <w:t>) = ω + α[|z</w:t>
      </w:r>
      <w:r>
        <w:rPr>
          <w:rFonts w:eastAsia="Times New Roman" w:cs="Times New Roman"/>
          <w:i/>
          <w:iCs/>
          <w:vertAlign w:val="subscript"/>
        </w:rPr>
        <w:t>d−1</w:t>
      </w:r>
      <w:r>
        <w:rPr>
          <w:rFonts w:eastAsia="Times New Roman" w:cs="Times New Roman"/>
          <w:i/>
          <w:iCs/>
        </w:rPr>
        <w:t>| − E|z</w:t>
      </w:r>
      <w:r>
        <w:rPr>
          <w:rFonts w:eastAsia="Times New Roman" w:cs="Times New Roman"/>
          <w:i/>
          <w:iCs/>
          <w:vertAlign w:val="subscript"/>
        </w:rPr>
        <w:t>d−1</w:t>
      </w:r>
      <w:r>
        <w:rPr>
          <w:rFonts w:eastAsia="Times New Roman" w:cs="Times New Roman"/>
          <w:i/>
          <w:iCs/>
        </w:rPr>
        <w:t>|] + γz</w:t>
      </w:r>
      <w:r>
        <w:rPr>
          <w:rFonts w:eastAsia="Times New Roman" w:cs="Times New Roman"/>
          <w:i/>
          <w:iCs/>
          <w:vertAlign w:val="subscript"/>
        </w:rPr>
        <w:t>d−1</w:t>
      </w:r>
      <w:r>
        <w:rPr>
          <w:rFonts w:eastAsia="Times New Roman" w:cs="Times New Roman"/>
          <w:i/>
          <w:iCs/>
        </w:rPr>
        <w:t xml:space="preserve"> + β ln(σ²</w:t>
      </w:r>
      <w:r>
        <w:rPr>
          <w:rFonts w:eastAsia="Times New Roman" w:cs="Times New Roman"/>
          <w:i/>
          <w:iCs/>
          <w:vertAlign w:val="subscript"/>
        </w:rPr>
        <w:t>d−1</w:t>
      </w:r>
      <w:r>
        <w:rPr>
          <w:rFonts w:eastAsia="Times New Roman" w:cs="Times New Roman"/>
          <w:i/>
          <w:iCs/>
        </w:rPr>
        <w:t>)          (2)</w:t>
      </w:r>
    </w:p>
    <w:p w14:paraId="62B467EB" w14:textId="77777777" w:rsidR="00F12AA8" w:rsidRDefault="00F12AA8" w:rsidP="00F12AA8">
      <w:pPr>
        <w:spacing w:after="200" w:line="480" w:lineRule="auto"/>
        <w:rPr>
          <w:rFonts w:eastAsia="Calibri" w:cs="Times New Roman"/>
          <w:color w:val="000000" w:themeColor="text1"/>
        </w:rPr>
      </w:pPr>
      <w:r>
        <w:rPr>
          <w:rFonts w:eastAsia="Times New Roman" w:cs="Times New Roman"/>
        </w:rPr>
        <w:t>where γ captures the asymmetric response of conditional variance to positive and negative exchange rate shocks. Because returns are defined so that a positive value is a depreciation of the cedi, γ &gt; 0 indicates that depreciation shocks raise volatility more than appreciation shocks of the same size (Nelson, 1991; Bank of Ghana, 2023). Both models are estimated by quasi-maximum likelihood with Bollerslev–Wooldridge (1992) robust standard errors, using Student-t innovations where the standardised residuals show excess kurtosis.</w:t>
      </w:r>
    </w:p>
    <w:p w14:paraId="3E03838E" w14:textId="77777777" w:rsidR="002363FE" w:rsidRDefault="00CC0653">
      <w:pPr>
        <w:spacing w:after="240" w:line="480" w:lineRule="auto"/>
      </w:pPr>
      <w:r>
        <w:rPr>
          <w:rFonts w:eastAsia="Times New Roman" w:cs="Times New Roman"/>
        </w:rPr>
        <w:lastRenderedPageBreak/>
        <w:t>The preferred specification is selected using information criteria, residual diagnostics (ARCH-LM, Ljung–Box at lags 5, 10 and 20) and sign-bias tests. The quarterly volatility measure is the average conditional variance within each quarter:</w:t>
      </w:r>
    </w:p>
    <w:p>
      <w:pPr>
        <w:spacing w:after="240" w:line="480" w:lineRule="auto"/>
        <w:jc w:val="both"/>
      </w:pPr>
      <w:r>
        <w:rPr>
          <w:rFonts w:eastAsia="Times New Roman" w:cs="Times New Roman"/>
          <w:b/>
          <w:bCs/>
        </w:rPr>
        <w:t xml:space="preserve">Structural breaks.</w:t>
      </w:r>
      <w:r>
        <w:rPr>
          <w:rFonts w:eastAsia="Times New Roman" w:cs="Times New Roman"/>
        </w:rPr>
        <w:t xml:space="preserve"> The study period contains episodes, notably the 2020 COVID-19 shock and the 2022 debt and foreign exchange crisis, that may shift the level of volatility. Unmodelled shifts in the unconditional variance bias GARCH persistence upwards and can make volatility appear more persistent than it is (Lamoureux &amp; Lastrapes, 1990). Breaks in the variance are therefore tested with the iterated cumulative sum of squares (ICSS) algorithm (Inclán &amp; Tiao, 1994), using the version that is robust to fat tails and conditional heteroskedasticity (Sansó et al., 2004), and breaks in the mean with the Bai and Perron (2003) test. Where breaks are found, dummy variables for the break regimes enter the variance equation, ω</w:t>
      </w:r>
      <w:r>
        <w:rPr>
          <w:rFonts w:eastAsia="Times New Roman" w:cs="Times New Roman"/>
          <w:vertAlign w:val="subscript"/>
        </w:rPr>
        <w:t xml:space="preserve">d</w:t>
      </w:r>
      <w:r>
        <w:rPr>
          <w:rFonts w:eastAsia="Times New Roman" w:cs="Times New Roman"/>
        </w:rPr>
        <w:t xml:space="preserve"> = ω + Σ</w:t>
      </w:r>
      <w:r>
        <w:rPr>
          <w:rFonts w:eastAsia="Times New Roman" w:cs="Times New Roman"/>
          <w:vertAlign w:val="subscript"/>
        </w:rPr>
        <w:t xml:space="preserve">k</w:t>
      </w:r>
      <w:r>
        <w:rPr>
          <w:rFonts w:eastAsia="Times New Roman" w:cs="Times New Roman"/>
        </w:rPr>
        <w:t xml:space="preserve">δ</w:t>
      </w:r>
      <w:r>
        <w:rPr>
          <w:rFonts w:eastAsia="Times New Roman" w:cs="Times New Roman"/>
          <w:vertAlign w:val="subscript"/>
        </w:rPr>
        <w:t xml:space="preserve">k</w:t>
      </w:r>
      <w:r>
        <w:rPr>
          <w:rFonts w:eastAsia="Times New Roman" w:cs="Times New Roman"/>
        </w:rPr>
        <w:t xml:space="preserve">D</w:t>
      </w:r>
      <w:r>
        <w:rPr>
          <w:rFonts w:eastAsia="Times New Roman" w:cs="Times New Roman"/>
          <w:vertAlign w:val="subscript"/>
        </w:rPr>
        <w:t xml:space="preserve">k,d</w:t>
      </w:r>
      <w:r>
        <w:rPr>
          <w:rFonts w:eastAsia="Times New Roman" w:cs="Times New Roman"/>
        </w:rPr>
        <w:t xml:space="preserve">, and the persistence (α + β) and half-life are reported with and without them. The break-adjusted model is the preferred specification if it is supported by the information criteria.</w:t>
      </w:r>
    </w:p>
    <w:p w14:paraId="27DAA89E" w14:textId="77777777" w:rsidR="002363FE" w:rsidRDefault="00CC0653">
      <w:pPr>
        <w:spacing w:before="120" w:after="240" w:line="360" w:lineRule="auto"/>
        <w:jc w:val="center"/>
      </w:pP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(1 / D</w:t>
      </w:r>
      <w:r>
        <w:rPr>
          <w:rFonts w:eastAsia="Times New Roman" w:cs="Times New Roman"/>
          <w:i/>
          <w:iCs/>
          <w:vertAlign w:val="subscript"/>
        </w:rPr>
        <w:t>t</w:t>
      </w:r>
      <w:r>
        <w:rPr>
          <w:rFonts w:eastAsia="Times New Roman" w:cs="Times New Roman"/>
          <w:i/>
          <w:iCs/>
        </w:rPr>
        <w:t>) Σ</w:t>
      </w:r>
      <w:r>
        <w:rPr>
          <w:rFonts w:eastAsia="Times New Roman" w:cs="Times New Roman"/>
          <w:i/>
          <w:iCs/>
          <w:vertAlign w:val="subscript"/>
        </w:rPr>
        <w:t>d∈t</w:t>
      </w:r>
      <w:r>
        <w:rPr>
          <w:rFonts w:eastAsia="Times New Roman" w:cs="Times New Roman"/>
          <w:i/>
          <w:iCs/>
        </w:rPr>
        <w:t xml:space="preserve"> σ̂²</w:t>
      </w:r>
      <w:r>
        <w:rPr>
          <w:rFonts w:eastAsia="Times New Roman" w:cs="Times New Roman"/>
          <w:i/>
          <w:iCs/>
          <w:vertAlign w:val="subscript"/>
        </w:rPr>
        <w:t>d</w:t>
      </w:r>
      <w:r>
        <w:rPr>
          <w:rFonts w:eastAsia="Times New Roman" w:cs="Times New Roman"/>
          <w:i/>
          <w:iCs/>
        </w:rPr>
        <w:t xml:space="preserve">          (3)</w:t>
      </w:r>
    </w:p>
    <w:p w14:paraId="0A837A90" w14:textId="77777777" w:rsidR="002363FE" w:rsidRDefault="00CC0653">
      <w:pPr>
        <w:spacing w:after="240" w:line="480" w:lineRule="auto"/>
      </w:pPr>
      <w:r>
        <w:rPr>
          <w:rFonts w:eastAsia="Times New Roman" w:cs="Times New Roman"/>
        </w:rPr>
        <w:t xml:space="preserve">where D</w:t>
      </w:r>
      <w:r>
        <w:rPr>
          <w:rFonts w:eastAsia="Times New Roman" w:cs="Times New Roman"/>
          <w:vertAlign w:val="subscript"/>
        </w:rPr>
        <w:t xml:space="preserve">t</w:t>
      </w:r>
      <w:r>
        <w:rPr>
          <w:rFonts w:eastAsia="Times New Roman" w:cs="Times New Roman"/>
        </w:rPr>
        <w:t xml:space="preserve"> is the number of trading days in quarter t, so that EXRV</w:t>
      </w:r>
      <w:r>
        <w:rPr>
          <w:rFonts w:eastAsia="Times New Roman" w:cs="Times New Roman"/>
          <w:vertAlign w:val="subscript"/>
        </w:rPr>
        <w:t xml:space="preserve">t</w:t>
      </w:r>
      <w:r>
        <w:rPr>
          <w:rFonts w:eastAsia="Times New Roman" w:cs="Times New Roman"/>
        </w:rPr>
        <w:t xml:space="preserve"> is the mean of the estimated daily conditional variance within quarter t. EXRV</w:t>
      </w:r>
      <w:r>
        <w:rPr>
          <w:rFonts w:eastAsia="Times New Roman" w:cs="Times New Roman"/>
          <w:vertAlign w:val="subscript"/>
        </w:rPr>
        <w:t xml:space="preserve">t</w:t>
      </w:r>
      <w:r>
        <w:rPr>
          <w:rFonts w:eastAsia="Times New Roman" w:cs="Times New Roman"/>
        </w:rPr>
        <w:t xml:space="preserve"> is common to all firms in quarter t. Two alternative aggregations are used as robustness checks: the conditional variance on the last trading day of the quarter, and the realised variance (the sum of squared daily returns within the quarter), which does not depend on the GARCH model. Under the annual design, the same daily estimates are averaged within each financial year. The EGARCH parameter γ answers Question A in Section 3.8.5 (asymmetry of the volatility process) and is not interpreted as a direct effect on firm performance.</w:t>
      </w:r>
    </w:p>
    <w:p w14:paraId="71018C86" w14:textId="77777777" w:rsidR="002363FE" w:rsidRDefault="00CC0653">
      <w:pPr>
        <w:pStyle w:val="Heading3"/>
      </w:pPr>
      <w:bookmarkStart w:id="77" w:name="_TocRev077"/>
      <w:r>
        <w:t>3.10.3 Model 2: Main Dynamic Panel Model</w:t>
      </w:r>
      <w:bookmarkEnd w:id="77"/>
    </w:p>
    <w:p w14:paraId="6378E2F2" w14:textId="77777777" w:rsidR="002363FE" w:rsidRDefault="00CC0653">
      <w:pPr>
        <w:spacing w:after="240" w:line="480" w:lineRule="auto"/>
      </w:pPr>
      <w:r>
        <w:rPr>
          <w:rFonts w:eastAsia="Times New Roman" w:cs="Times New Roman"/>
        </w:rPr>
        <w:t>The main model, which tests H1, H2 and H3, is specified as:</w:t>
      </w:r>
    </w:p>
    <w:p>
      <w:pPr>
        <w:spacing w:before="120" w:after="240" w:line="360" w:lineRule="auto"/>
        <w:jc w:val="center"/>
      </w:pPr>
      <w:r>
        <w:rPr>
          <w:rFonts w:eastAsia="Times New Roman" w:cs="Times New Roman"/>
          <w:i/>
          <w:iCs/>
        </w:rPr>
        <w:t xml:space="preserve">FP</w:t>
      </w:r>
      <w:r>
        <w:rPr>
          <w:rFonts w:eastAsia="Times New Roman" w:cs="Times New Roman"/>
          <w:i/>
          <w:iCs/>
          <w:vertAlign w:val="subscript"/>
        </w:rPr>
        <w:t xml:space="preserve">it</w:t>
      </w:r>
      <w:r>
        <w:rPr>
          <w:rFonts w:eastAsia="Times New Roman" w:cs="Times New Roman"/>
          <w:i/>
          <w:iCs/>
        </w:rPr>
        <w:t xml:space="preserve"> = αFP</w:t>
      </w:r>
      <w:r>
        <w:rPr>
          <w:rFonts w:eastAsia="Times New Roman" w:cs="Times New Roman"/>
          <w:i/>
          <w:iCs/>
          <w:vertAlign w:val="subscript"/>
        </w:rPr>
        <w:t xml:space="preserve">i,t−1</w:t>
      </w:r>
      <w:r>
        <w:rPr>
          <w:rFonts w:eastAsia="Times New Roman" w:cs="Times New Roman"/>
          <w:i/>
          <w:iCs/>
        </w:rPr>
        <w:t xml:space="preserve"> + β</w:t>
      </w:r>
      <w:r>
        <w:rPr>
          <w:rFonts w:eastAsia="Times New Roman" w:cs="Times New Roman"/>
          <w:i/>
          <w:iCs/>
          <w:vertAlign w:val="subscript"/>
        </w:rPr>
        <w:t xml:space="preserve">1</w:t>
      </w:r>
      <w:r>
        <w:rPr>
          <w:rFonts w:eastAsia="Times New Roman" w:cs="Times New Roman"/>
          <w:i/>
          <w:iCs/>
        </w:rPr>
        <w:t xml:space="preserve">FA</w:t>
      </w:r>
      <w:r>
        <w:rPr>
          <w:rFonts w:eastAsia="Times New Roman" w:cs="Times New Roman"/>
          <w:i/>
          <w:iCs/>
          <w:vertAlign w:val="subscript"/>
        </w:rPr>
        <w:t xml:space="preserve">it</w:t>
      </w:r>
      <w:r>
        <w:rPr>
          <w:rFonts w:eastAsia="Times New Roman" w:cs="Times New Roman"/>
          <w:i/>
          <w:iCs/>
        </w:rPr>
        <w:t xml:space="preserve"> + β</w:t>
      </w:r>
      <w:r>
        <w:rPr>
          <w:rFonts w:eastAsia="Times New Roman" w:cs="Times New Roman"/>
          <w:i/>
          <w:iCs/>
          <w:vertAlign w:val="subscript"/>
        </w:rPr>
        <w:t xml:space="preserve">2</w:t>
      </w:r>
      <w:r>
        <w:rPr>
          <w:rFonts w:eastAsia="Times New Roman" w:cs="Times New Roman"/>
          <w:i/>
          <w:iCs/>
        </w:rPr>
        <w:t xml:space="preserve">LV</w:t>
      </w:r>
      <w:r>
        <w:rPr>
          <w:rFonts w:eastAsia="Times New Roman" w:cs="Times New Roman"/>
          <w:i/>
          <w:iCs/>
          <w:vertAlign w:val="subscript"/>
        </w:rPr>
        <w:t xml:space="preserve">it</w:t>
      </w:r>
      <w:r>
        <w:rPr>
          <w:rFonts w:eastAsia="Times New Roman" w:cs="Times New Roman"/>
          <w:i/>
          <w:iCs/>
        </w:rPr>
        <w:t xml:space="preserve"> + β</w:t>
      </w:r>
      <w:r>
        <w:rPr>
          <w:rFonts w:eastAsia="Times New Roman" w:cs="Times New Roman"/>
          <w:i/>
          <w:iCs/>
          <w:vertAlign w:val="subscript"/>
        </w:rPr>
        <w:t xml:space="preserve">3</w:t>
      </w:r>
      <w:r>
        <w:rPr>
          <w:rFonts w:eastAsia="Times New Roman" w:cs="Times New Roman"/>
          <w:i/>
          <w:iCs/>
        </w:rPr>
        <w:t xml:space="preserve">LV</w:t>
      </w:r>
      <w:r>
        <w:rPr>
          <w:rFonts w:eastAsia="Times New Roman" w:cs="Times New Roman"/>
          <w:i/>
          <w:iCs/>
          <w:vertAlign w:val="superscript"/>
        </w:rPr>
        <w:t xml:space="preserve">2</w:t>
      </w:r>
      <w:r>
        <w:rPr>
          <w:rFonts w:eastAsia="Times New Roman" w:cs="Times New Roman"/>
          <w:i/>
          <w:iCs/>
          <w:vertAlign w:val="subscript"/>
        </w:rPr>
        <w:t xml:space="preserve">it</w:t>
      </w:r>
      <w:r>
        <w:rPr>
          <w:rFonts w:eastAsia="Times New Roman" w:cs="Times New Roman"/>
          <w:i/>
          <w:iCs/>
        </w:rPr>
        <w:t xml:space="preserve"> + β</w:t>
      </w:r>
      <w:r>
        <w:rPr>
          <w:rFonts w:eastAsia="Times New Roman" w:cs="Times New Roman"/>
          <w:i/>
          <w:iCs/>
          <w:vertAlign w:val="subscript"/>
        </w:rPr>
        <w:t xml:space="preserve">5</w:t>
      </w:r>
      <w:r>
        <w:rPr>
          <w:rFonts w:eastAsia="Times New Roman" w:cs="Times New Roman"/>
          <w:i/>
          <w:iCs/>
        </w:rPr>
        <w:t xml:space="preserve">(EXRV</w:t>
      </w:r>
      <w:r>
        <w:rPr>
          <w:rFonts w:eastAsia="Times New Roman" w:cs="Times New Roman"/>
          <w:i/>
          <w:iCs/>
          <w:vertAlign w:val="subscript"/>
        </w:rPr>
        <w:t xml:space="preserve">t</w:t>
      </w:r>
      <w:r>
        <w:rPr>
          <w:rFonts w:eastAsia="Times New Roman" w:cs="Times New Roman"/>
          <w:i/>
          <w:iCs/>
        </w:rPr>
        <w:t xml:space="preserve"> × FXE</w:t>
      </w:r>
      <w:r>
        <w:rPr>
          <w:rFonts w:eastAsia="Times New Roman" w:cs="Times New Roman"/>
          <w:i/>
          <w:iCs/>
          <w:vertAlign w:val="subscript"/>
        </w:rPr>
        <w:t xml:space="preserve">i</w:t>
      </w:r>
      <w:r>
        <w:rPr>
          <w:rFonts w:eastAsia="Times New Roman" w:cs="Times New Roman"/>
          <w:i/>
          <w:iCs/>
        </w:rPr>
        <w:t xml:space="preserve">) + β</w:t>
      </w:r>
      <w:r>
        <w:rPr>
          <w:rFonts w:eastAsia="Times New Roman" w:cs="Times New Roman"/>
          <w:i/>
          <w:iCs/>
          <w:vertAlign w:val="subscript"/>
        </w:rPr>
        <w:t xml:space="preserve">6</w:t>
      </w:r>
      <w:r>
        <w:rPr>
          <w:rFonts w:eastAsia="Times New Roman" w:cs="Times New Roman"/>
          <w:i/>
          <w:iCs/>
        </w:rPr>
        <w:t xml:space="preserve">ID</w:t>
      </w:r>
      <w:r>
        <w:rPr>
          <w:rFonts w:eastAsia="Times New Roman" w:cs="Times New Roman"/>
          <w:i/>
          <w:iCs/>
          <w:vertAlign w:val="subscript"/>
        </w:rPr>
        <w:t xml:space="preserve">it</w:t>
      </w:r>
      <w:r>
        <w:rPr>
          <w:rFonts w:eastAsia="Times New Roman" w:cs="Times New Roman"/>
          <w:i/>
          <w:iCs/>
        </w:rPr>
        <w:t xml:space="preserve"> + β</w:t>
      </w:r>
      <w:r>
        <w:rPr>
          <w:rFonts w:eastAsia="Times New Roman" w:cs="Times New Roman"/>
          <w:i/>
          <w:iCs/>
          <w:vertAlign w:val="subscript"/>
        </w:rPr>
        <w:t xml:space="preserve">7</w:t>
      </w:r>
      <w:r>
        <w:rPr>
          <w:rFonts w:eastAsia="Times New Roman" w:cs="Times New Roman"/>
          <w:i/>
          <w:iCs/>
        </w:rPr>
        <w:t xml:space="preserve">FR</w:t>
      </w:r>
      <w:r>
        <w:rPr>
          <w:rFonts w:eastAsia="Times New Roman" w:cs="Times New Roman"/>
          <w:i/>
          <w:iCs/>
          <w:vertAlign w:val="subscript"/>
        </w:rPr>
        <w:t xml:space="preserve">it</w:t>
      </w:r>
      <w:r>
        <w:rPr>
          <w:rFonts w:eastAsia="Times New Roman" w:cs="Times New Roman"/>
          <w:i/>
          <w:iCs/>
        </w:rPr>
        <w:t xml:space="preserve"> + γSIZE</w:t>
      </w:r>
      <w:r>
        <w:rPr>
          <w:rFonts w:eastAsia="Times New Roman" w:cs="Times New Roman"/>
          <w:i/>
          <w:iCs/>
          <w:vertAlign w:val="subscript"/>
        </w:rPr>
        <w:t xml:space="preserve">it</w:t>
      </w:r>
      <w:r>
        <w:rPr>
          <w:rFonts w:eastAsia="Times New Roman" w:cs="Times New Roman"/>
          <w:i/>
          <w:iCs/>
        </w:rPr>
        <w:t xml:space="preserve"> + μ</w:t>
      </w:r>
      <w:r>
        <w:rPr>
          <w:rFonts w:eastAsia="Times New Roman" w:cs="Times New Roman"/>
          <w:i/>
          <w:iCs/>
          <w:vertAlign w:val="subscript"/>
        </w:rPr>
        <w:t xml:space="preserve">i</w:t>
      </w:r>
      <w:r>
        <w:rPr>
          <w:rFonts w:eastAsia="Times New Roman" w:cs="Times New Roman"/>
          <w:i/>
          <w:iCs/>
        </w:rPr>
        <w:t xml:space="preserve"> + λ</w:t>
      </w:r>
      <w:r>
        <w:rPr>
          <w:rFonts w:eastAsia="Times New Roman" w:cs="Times New Roman"/>
          <w:i/>
          <w:iCs/>
          <w:vertAlign w:val="subscript"/>
        </w:rPr>
        <w:t xml:space="preserve">t</w:t>
      </w:r>
      <w:r>
        <w:rPr>
          <w:rFonts w:eastAsia="Times New Roman" w:cs="Times New Roman"/>
          <w:i/>
          <w:iCs/>
        </w:rPr>
        <w:t xml:space="preserve"> + ε</w:t>
      </w:r>
      <w:r>
        <w:rPr>
          <w:rFonts w:eastAsia="Times New Roman" w:cs="Times New Roman"/>
          <w:i/>
          <w:iCs/>
          <w:vertAlign w:val="subscript"/>
        </w:rPr>
        <w:t xml:space="preserve">it</w:t>
      </w:r>
      <w:r>
        <w:rPr>
          <w:rFonts w:eastAsia="Times New Roman" w:cs="Times New Roman"/>
          <w:i/>
          <w:iCs/>
        </w:rPr>
        <w:t xml:space="preserve">          (4)</w:t>
      </w:r>
    </w:p>
    <w:p w14:paraId="3D187887" w14:textId="77777777" w:rsidR="002363FE" w:rsidRDefault="00CC0653">
      <w:pPr>
        <w:spacing w:after="240" w:line="480" w:lineRule="auto"/>
      </w:pPr>
      <w:r>
        <w:rPr>
          <w:rFonts w:eastAsia="Times New Roman" w:cs="Times New Roman"/>
        </w:rPr>
        <w:t xml:space="preserve">where FP</w:t>
      </w:r>
      <w:r>
        <w:rPr>
          <w:rFonts w:eastAsia="Times New Roman" w:cs="Times New Roman"/>
          <w:vertAlign w:val="subscript"/>
        </w:rPr>
        <w:t xml:space="preserve">it</w:t>
      </w:r>
      <w:r>
        <w:rPr>
          <w:rFonts w:eastAsia="Times New Roman" w:cs="Times New Roman"/>
        </w:rPr>
        <w:t xml:space="preserve"> is ROA (with ROE and margins as alternatives), SIZE</w:t>
      </w:r>
      <w:r>
        <w:rPr>
          <w:rFonts w:eastAsia="Times New Roman" w:cs="Times New Roman"/>
          <w:vertAlign w:val="subscript"/>
        </w:rPr>
        <w:t xml:space="preserve">it</w:t>
      </w:r>
      <w:r>
        <w:rPr>
          <w:rFonts w:eastAsia="Times New Roman" w:cs="Times New Roman"/>
        </w:rPr>
        <w:t xml:space="preserve"> is the log of total assets, μ</w:t>
      </w:r>
      <w:r>
        <w:rPr>
          <w:rFonts w:eastAsia="Times New Roman" w:cs="Times New Roman"/>
          <w:vertAlign w:val="subscript"/>
        </w:rPr>
        <w:t xml:space="preserve">i</w:t>
      </w:r>
      <w:r>
        <w:rPr>
          <w:rFonts w:eastAsia="Times New Roman" w:cs="Times New Roman"/>
        </w:rPr>
        <w:t xml:space="preserve"> is the firm effect, λ</w:t>
      </w:r>
      <w:r>
        <w:rPr>
          <w:rFonts w:eastAsia="Times New Roman" w:cs="Times New Roman"/>
          <w:vertAlign w:val="subscript"/>
        </w:rPr>
        <w:t xml:space="preserve">t</w:t>
      </w:r>
      <w:r>
        <w:rPr>
          <w:rFonts w:eastAsia="Times New Roman" w:cs="Times New Roman"/>
        </w:rPr>
        <w:t xml:space="preserve"> is a full set of quarter fixed effects and ε</w:t>
      </w:r>
      <w:r>
        <w:rPr>
          <w:rFonts w:eastAsia="Times New Roman" w:cs="Times New Roman"/>
          <w:vertAlign w:val="subscript"/>
        </w:rPr>
        <w:t xml:space="preserve">it</w:t>
      </w:r>
      <w:r>
        <w:rPr>
          <w:rFonts w:eastAsia="Times New Roman" w:cs="Times New Roman"/>
        </w:rPr>
        <w:t xml:space="preserve"> is the error term. Because EXRV</w:t>
      </w:r>
      <w:r>
        <w:rPr>
          <w:rFonts w:eastAsia="Times New Roman" w:cs="Times New Roman"/>
          <w:vertAlign w:val="subscript"/>
        </w:rPr>
        <w:t xml:space="preserve">t</w:t>
      </w:r>
      <w:r>
        <w:rPr>
          <w:rFonts w:eastAsia="Times New Roman" w:cs="Times New Roman"/>
        </w:rPr>
        <w:t xml:space="preserve"> takes the same value for all firms in a quarter, it is absorbed by λ</w:t>
      </w:r>
      <w:r>
        <w:rPr>
          <w:rFonts w:eastAsia="Times New Roman" w:cs="Times New Roman"/>
          <w:vertAlign w:val="subscript"/>
        </w:rPr>
        <w:t xml:space="preserve">t</w:t>
      </w:r>
      <w:r>
        <w:rPr>
          <w:rFonts w:eastAsia="Times New Roman" w:cs="Times New Roman"/>
        </w:rPr>
        <w:t xml:space="preserve">, as are the macroeconomic controls; its main effect is therefore not estimated in the core model. The effect of volatility is identified entirely by β</w:t>
      </w:r>
      <w:r>
        <w:rPr>
          <w:rFonts w:eastAsia="Times New Roman" w:cs="Times New Roman"/>
          <w:vertAlign w:val="subscript"/>
        </w:rPr>
        <w:t xml:space="preserve">5</w:t>
      </w:r>
      <w:r>
        <w:rPr>
          <w:rFonts w:eastAsia="Times New Roman" w:cs="Times New Roman"/>
        </w:rPr>
        <w:t xml:space="preserve">: whether the same volatility shock lowers performance more for firms whose predetermined exposure FXE</w:t>
      </w:r>
      <w:r>
        <w:rPr>
          <w:rFonts w:eastAsia="Times New Roman" w:cs="Times New Roman"/>
          <w:vertAlign w:val="subscript"/>
        </w:rPr>
        <w:t xml:space="preserve">i</w:t>
      </w:r>
      <w:r>
        <w:rPr>
          <w:rFonts w:eastAsia="Times New Roman" w:cs="Times New Roman"/>
        </w:rPr>
        <w:t xml:space="preserve"> is higher. The main effect of FXE</w:t>
      </w:r>
      <w:r>
        <w:rPr>
          <w:rFonts w:eastAsia="Times New Roman" w:cs="Times New Roman"/>
          <w:vertAlign w:val="subscript"/>
        </w:rPr>
        <w:t xml:space="preserve">i</w:t>
      </w:r>
      <w:r>
        <w:rPr>
          <w:rFonts w:eastAsia="Times New Roman" w:cs="Times New Roman"/>
        </w:rPr>
        <w:t xml:space="preserve"> is absorbed by μ</w:t>
      </w:r>
      <w:r>
        <w:rPr>
          <w:rFonts w:eastAsia="Times New Roman" w:cs="Times New Roman"/>
          <w:vertAlign w:val="subscript"/>
        </w:rPr>
        <w:t xml:space="preserve">i</w:t>
      </w:r>
      <w:r>
        <w:rPr>
          <w:rFonts w:eastAsia="Times New Roman" w:cs="Times New Roman"/>
        </w:rPr>
        <w:t xml:space="preserve">. In the GMM implementation the quarter effects enter as instruments for themselves or, if this would push the instrument count above the limit in Section 3.11.2, are removed by subtracting the cross-firm mean of every variable in each quarter, which is equivalent.</w:t>
      </w:r>
    </w:p>
    <w:p>
      <w:pPr>
        <w:spacing w:after="240" w:line="480" w:lineRule="auto"/>
        <w:jc w:val="both"/>
      </w:pPr>
      <w:r>
        <w:rPr>
          <w:rFonts w:eastAsia="Times New Roman" w:cs="Times New Roman"/>
        </w:rPr>
        <w:t xml:space="preserve">A secondary specification replaces the quarter effects with quarter-of-year dummies τ</w:t>
      </w:r>
      <w:r>
        <w:rPr>
          <w:rFonts w:eastAsia="Times New Roman" w:cs="Times New Roman"/>
          <w:vertAlign w:val="subscript"/>
        </w:rPr>
        <w:t xml:space="preserve">q</w:t>
      </w:r>
      <w:r>
        <w:rPr>
          <w:rFonts w:eastAsia="Times New Roman" w:cs="Times New Roman"/>
        </w:rPr>
        <w:t xml:space="preserve"> and macroeconomic controls Z</w:t>
      </w:r>
      <w:r>
        <w:rPr>
          <w:rFonts w:eastAsia="Times New Roman" w:cs="Times New Roman"/>
          <w:vertAlign w:val="subscript"/>
        </w:rPr>
        <w:t xml:space="preserve">t</w:t>
      </w:r>
      <w:r>
        <w:rPr>
          <w:rFonts w:eastAsia="Times New Roman" w:cs="Times New Roman"/>
        </w:rPr>
        <w:t xml:space="preserve"> (oil price, inflation, GDP growth and the policy rate):</w:t>
      </w:r>
    </w:p>
    <w:p>
      <w:pPr>
        <w:spacing w:before="120" w:after="240" w:line="360" w:lineRule="auto"/>
        <w:jc w:val="center"/>
      </w:pPr>
      <w:r>
        <w:rPr>
          <w:rFonts w:eastAsia="Times New Roman" w:cs="Times New Roman"/>
          <w:i/>
          <w:iCs/>
        </w:rPr>
        <w:t xml:space="preserve">FP</w:t>
      </w:r>
      <w:r>
        <w:rPr>
          <w:rFonts w:eastAsia="Times New Roman" w:cs="Times New Roman"/>
          <w:i/>
          <w:iCs/>
          <w:vertAlign w:val="subscript"/>
        </w:rPr>
        <w:t xml:space="preserve">it</w:t>
      </w:r>
      <w:r>
        <w:rPr>
          <w:rFonts w:eastAsia="Times New Roman" w:cs="Times New Roman"/>
          <w:i/>
          <w:iCs/>
        </w:rPr>
        <w:t xml:space="preserve"> = αFP</w:t>
      </w:r>
      <w:r>
        <w:rPr>
          <w:rFonts w:eastAsia="Times New Roman" w:cs="Times New Roman"/>
          <w:i/>
          <w:iCs/>
          <w:vertAlign w:val="subscript"/>
        </w:rPr>
        <w:t xml:space="preserve">i,t−1</w:t>
      </w:r>
      <w:r>
        <w:rPr>
          <w:rFonts w:eastAsia="Times New Roman" w:cs="Times New Roman"/>
          <w:i/>
          <w:iCs/>
        </w:rPr>
        <w:t xml:space="preserve"> + β</w:t>
      </w:r>
      <w:r>
        <w:rPr>
          <w:rFonts w:eastAsia="Times New Roman" w:cs="Times New Roman"/>
          <w:i/>
          <w:iCs/>
          <w:vertAlign w:val="subscript"/>
        </w:rPr>
        <w:t xml:space="preserve">1</w:t>
      </w:r>
      <w:r>
        <w:rPr>
          <w:rFonts w:eastAsia="Times New Roman" w:cs="Times New Roman"/>
          <w:i/>
          <w:iCs/>
        </w:rPr>
        <w:t xml:space="preserve">FA</w:t>
      </w:r>
      <w:r>
        <w:rPr>
          <w:rFonts w:eastAsia="Times New Roman" w:cs="Times New Roman"/>
          <w:i/>
          <w:iCs/>
          <w:vertAlign w:val="subscript"/>
        </w:rPr>
        <w:t xml:space="preserve">it</w:t>
      </w:r>
      <w:r>
        <w:rPr>
          <w:rFonts w:eastAsia="Times New Roman" w:cs="Times New Roman"/>
          <w:i/>
          <w:iCs/>
        </w:rPr>
        <w:t xml:space="preserve"> + β</w:t>
      </w:r>
      <w:r>
        <w:rPr>
          <w:rFonts w:eastAsia="Times New Roman" w:cs="Times New Roman"/>
          <w:i/>
          <w:iCs/>
          <w:vertAlign w:val="subscript"/>
        </w:rPr>
        <w:t xml:space="preserve">2</w:t>
      </w:r>
      <w:r>
        <w:rPr>
          <w:rFonts w:eastAsia="Times New Roman" w:cs="Times New Roman"/>
          <w:i/>
          <w:iCs/>
        </w:rPr>
        <w:t xml:space="preserve">LV</w:t>
      </w:r>
      <w:r>
        <w:rPr>
          <w:rFonts w:eastAsia="Times New Roman" w:cs="Times New Roman"/>
          <w:i/>
          <w:iCs/>
          <w:vertAlign w:val="subscript"/>
        </w:rPr>
        <w:t xml:space="preserve">it</w:t>
      </w:r>
      <w:r>
        <w:rPr>
          <w:rFonts w:eastAsia="Times New Roman" w:cs="Times New Roman"/>
          <w:i/>
          <w:iCs/>
        </w:rPr>
        <w:t xml:space="preserve"> + β</w:t>
      </w:r>
      <w:r>
        <w:rPr>
          <w:rFonts w:eastAsia="Times New Roman" w:cs="Times New Roman"/>
          <w:i/>
          <w:iCs/>
          <w:vertAlign w:val="subscript"/>
        </w:rPr>
        <w:t xml:space="preserve">3</w:t>
      </w:r>
      <w:r>
        <w:rPr>
          <w:rFonts w:eastAsia="Times New Roman" w:cs="Times New Roman"/>
          <w:i/>
          <w:iCs/>
        </w:rPr>
        <w:t xml:space="preserve">LV</w:t>
      </w:r>
      <w:r>
        <w:rPr>
          <w:rFonts w:eastAsia="Times New Roman" w:cs="Times New Roman"/>
          <w:i/>
          <w:iCs/>
          <w:vertAlign w:val="superscript"/>
        </w:rPr>
        <w:t xml:space="preserve">2</w:t>
      </w:r>
      <w:r>
        <w:rPr>
          <w:rFonts w:eastAsia="Times New Roman" w:cs="Times New Roman"/>
          <w:i/>
          <w:iCs/>
          <w:vertAlign w:val="subscript"/>
        </w:rPr>
        <w:t xml:space="preserve">it</w:t>
      </w:r>
      <w:r>
        <w:rPr>
          <w:rFonts w:eastAsia="Times New Roman" w:cs="Times New Roman"/>
          <w:i/>
          <w:iCs/>
        </w:rPr>
        <w:t xml:space="preserve"> + β</w:t>
      </w:r>
      <w:r>
        <w:rPr>
          <w:rFonts w:eastAsia="Times New Roman" w:cs="Times New Roman"/>
          <w:i/>
          <w:iCs/>
          <w:vertAlign w:val="subscript"/>
        </w:rPr>
        <w:t xml:space="preserve">4</w:t>
      </w:r>
      <w:r>
        <w:rPr>
          <w:rFonts w:eastAsia="Times New Roman" w:cs="Times New Roman"/>
          <w:i/>
          <w:iCs/>
        </w:rPr>
        <w:t xml:space="preserve">EXRV</w:t>
      </w:r>
      <w:r>
        <w:rPr>
          <w:rFonts w:eastAsia="Times New Roman" w:cs="Times New Roman"/>
          <w:i/>
          <w:iCs/>
          <w:vertAlign w:val="subscript"/>
        </w:rPr>
        <w:t xml:space="preserve">t</w:t>
      </w:r>
      <w:r>
        <w:rPr>
          <w:rFonts w:eastAsia="Times New Roman" w:cs="Times New Roman"/>
          <w:i/>
          <w:iCs/>
        </w:rPr>
        <w:t xml:space="preserve"> + β</w:t>
      </w:r>
      <w:r>
        <w:rPr>
          <w:rFonts w:eastAsia="Times New Roman" w:cs="Times New Roman"/>
          <w:i/>
          <w:iCs/>
          <w:vertAlign w:val="subscript"/>
        </w:rPr>
        <w:t xml:space="preserve">5</w:t>
      </w:r>
      <w:r>
        <w:rPr>
          <w:rFonts w:eastAsia="Times New Roman" w:cs="Times New Roman"/>
          <w:i/>
          <w:iCs/>
        </w:rPr>
        <w:t xml:space="preserve">(EXRV</w:t>
      </w:r>
      <w:r>
        <w:rPr>
          <w:rFonts w:eastAsia="Times New Roman" w:cs="Times New Roman"/>
          <w:i/>
          <w:iCs/>
          <w:vertAlign w:val="subscript"/>
        </w:rPr>
        <w:t xml:space="preserve">t</w:t>
      </w:r>
      <w:r>
        <w:rPr>
          <w:rFonts w:eastAsia="Times New Roman" w:cs="Times New Roman"/>
          <w:i/>
          <w:iCs/>
        </w:rPr>
        <w:t xml:space="preserve"> × FXE</w:t>
      </w:r>
      <w:r>
        <w:rPr>
          <w:rFonts w:eastAsia="Times New Roman" w:cs="Times New Roman"/>
          <w:i/>
          <w:iCs/>
          <w:vertAlign w:val="subscript"/>
        </w:rPr>
        <w:t xml:space="preserve">i</w:t>
      </w:r>
      <w:r>
        <w:rPr>
          <w:rFonts w:eastAsia="Times New Roman" w:cs="Times New Roman"/>
          <w:i/>
          <w:iCs/>
        </w:rPr>
        <w:t xml:space="preserve">) + β</w:t>
      </w:r>
      <w:r>
        <w:rPr>
          <w:rFonts w:eastAsia="Times New Roman" w:cs="Times New Roman"/>
          <w:i/>
          <w:iCs/>
          <w:vertAlign w:val="subscript"/>
        </w:rPr>
        <w:t xml:space="preserve">6</w:t>
      </w:r>
      <w:r>
        <w:rPr>
          <w:rFonts w:eastAsia="Times New Roman" w:cs="Times New Roman"/>
          <w:i/>
          <w:iCs/>
        </w:rPr>
        <w:t xml:space="preserve">ID</w:t>
      </w:r>
      <w:r>
        <w:rPr>
          <w:rFonts w:eastAsia="Times New Roman" w:cs="Times New Roman"/>
          <w:i/>
          <w:iCs/>
          <w:vertAlign w:val="subscript"/>
        </w:rPr>
        <w:t xml:space="preserve">it</w:t>
      </w:r>
      <w:r>
        <w:rPr>
          <w:rFonts w:eastAsia="Times New Roman" w:cs="Times New Roman"/>
          <w:i/>
          <w:iCs/>
        </w:rPr>
        <w:t xml:space="preserve"> + β</w:t>
      </w:r>
      <w:r>
        <w:rPr>
          <w:rFonts w:eastAsia="Times New Roman" w:cs="Times New Roman"/>
          <w:i/>
          <w:iCs/>
          <w:vertAlign w:val="subscript"/>
        </w:rPr>
        <w:t xml:space="preserve">7</w:t>
      </w:r>
      <w:r>
        <w:rPr>
          <w:rFonts w:eastAsia="Times New Roman" w:cs="Times New Roman"/>
          <w:i/>
          <w:iCs/>
        </w:rPr>
        <w:t xml:space="preserve">FR</w:t>
      </w:r>
      <w:r>
        <w:rPr>
          <w:rFonts w:eastAsia="Times New Roman" w:cs="Times New Roman"/>
          <w:i/>
          <w:iCs/>
          <w:vertAlign w:val="subscript"/>
        </w:rPr>
        <w:t xml:space="preserve">it</w:t>
      </w:r>
      <w:r>
        <w:rPr>
          <w:rFonts w:eastAsia="Times New Roman" w:cs="Times New Roman"/>
          <w:i/>
          <w:iCs/>
        </w:rPr>
        <w:t xml:space="preserve"> + γSIZE</w:t>
      </w:r>
      <w:r>
        <w:rPr>
          <w:rFonts w:eastAsia="Times New Roman" w:cs="Times New Roman"/>
          <w:i/>
          <w:iCs/>
          <w:vertAlign w:val="subscript"/>
        </w:rPr>
        <w:t xml:space="preserve">it</w:t>
      </w:r>
      <w:r>
        <w:rPr>
          <w:rFonts w:eastAsia="Times New Roman" w:cs="Times New Roman"/>
          <w:i/>
          <w:iCs/>
        </w:rPr>
        <w:t xml:space="preserve"> + π′Z</w:t>
      </w:r>
      <w:r>
        <w:rPr>
          <w:rFonts w:eastAsia="Times New Roman" w:cs="Times New Roman"/>
          <w:i/>
          <w:iCs/>
          <w:vertAlign w:val="subscript"/>
        </w:rPr>
        <w:t xml:space="preserve">t</w:t>
      </w:r>
      <w:r>
        <w:rPr>
          <w:rFonts w:eastAsia="Times New Roman" w:cs="Times New Roman"/>
          <w:i/>
          <w:iCs/>
        </w:rPr>
        <w:t xml:space="preserve"> + μ</w:t>
      </w:r>
      <w:r>
        <w:rPr>
          <w:rFonts w:eastAsia="Times New Roman" w:cs="Times New Roman"/>
          <w:i/>
          <w:iCs/>
          <w:vertAlign w:val="subscript"/>
        </w:rPr>
        <w:t xml:space="preserve">i</w:t>
      </w:r>
      <w:r>
        <w:rPr>
          <w:rFonts w:eastAsia="Times New Roman" w:cs="Times New Roman"/>
          <w:i/>
          <w:iCs/>
        </w:rPr>
        <w:t xml:space="preserve"> + τ</w:t>
      </w:r>
      <w:r>
        <w:rPr>
          <w:rFonts w:eastAsia="Times New Roman" w:cs="Times New Roman"/>
          <w:i/>
          <w:iCs/>
          <w:vertAlign w:val="subscript"/>
        </w:rPr>
        <w:t xml:space="preserve">q</w:t>
      </w:r>
      <w:r>
        <w:rPr>
          <w:rFonts w:eastAsia="Times New Roman" w:cs="Times New Roman"/>
          <w:i/>
          <w:iCs/>
        </w:rPr>
        <w:t xml:space="preserve"> + ε</w:t>
      </w:r>
      <w:r>
        <w:rPr>
          <w:rFonts w:eastAsia="Times New Roman" w:cs="Times New Roman"/>
          <w:i/>
          <w:iCs/>
          <w:vertAlign w:val="subscript"/>
        </w:rPr>
        <w:t xml:space="preserve">it</w:t>
      </w:r>
      <w:r>
        <w:rPr>
          <w:rFonts w:eastAsia="Times New Roman" w:cs="Times New Roman"/>
          <w:i/>
          <w:iCs/>
        </w:rPr>
        <w:t xml:space="preserve">          (4a)</w:t>
      </w:r>
    </w:p>
    <w:p>
      <w:pPr>
        <w:spacing w:after="240" w:line="480" w:lineRule="auto"/>
        <w:jc w:val="both"/>
      </w:pPr>
      <w:r>
        <w:rPr>
          <w:rFonts w:eastAsia="Times New Roman" w:cs="Times New Roman"/>
        </w:rPr>
        <w:t xml:space="preserve">In Equation (4a), β</w:t>
      </w:r>
      <w:r>
        <w:rPr>
          <w:rFonts w:eastAsia="Times New Roman" w:cs="Times New Roman"/>
          <w:vertAlign w:val="subscript"/>
        </w:rPr>
        <w:t xml:space="preserve">4</w:t>
      </w:r>
      <w:r>
        <w:rPr>
          <w:rFonts w:eastAsia="Times New Roman" w:cs="Times New Roman"/>
        </w:rPr>
        <w:t xml:space="preserve"> is reported only as the aggregate association between volatility and performance conditional on the listed controls. It is not claimed as a separately identified effect, because any macroeconomic shock that coincides with high volatility and is not captured by the controls, such as the 2022 debt crisis, is confounded with it. No conclusion on H3 rests on β</w:t>
      </w:r>
      <w:r>
        <w:rPr>
          <w:rFonts w:eastAsia="Times New Roman" w:cs="Times New Roman"/>
          <w:vertAlign w:val="subscript"/>
        </w:rPr>
        <w:t xml:space="preserve">4</w:t>
      </w:r>
      <w:r>
        <w:rPr>
          <w:rFonts w:eastAsia="Times New Roman" w:cs="Times New Roman"/>
        </w:rPr>
        <w:t xml:space="preserve">.</w:t>
      </w:r>
    </w:p>
    <w:p w14:paraId="6ED4A430" w14:textId="77777777" w:rsidR="002363FE" w:rsidRDefault="00CC0653">
      <w:pPr>
        <w:spacing w:after="240" w:line="480" w:lineRule="auto"/>
      </w:pPr>
      <w:r>
        <w:rPr>
          <w:rFonts w:eastAsia="Times New Roman" w:cs="Times New Roman"/>
        </w:rPr>
        <w:t xml:space="preserve">The expected signs are β</w:t>
      </w:r>
      <w:r>
        <w:rPr>
          <w:rFonts w:eastAsia="Times New Roman" w:cs="Times New Roman"/>
          <w:vertAlign w:val="subscript"/>
        </w:rPr>
        <w:t xml:space="preserve">1</w:t>
      </w:r>
      <w:r>
        <w:rPr>
          <w:rFonts w:eastAsia="Times New Roman" w:cs="Times New Roman"/>
        </w:rPr>
        <w:t xml:space="preserve"> &gt; 0 (H1); β</w:t>
      </w:r>
      <w:r>
        <w:rPr>
          <w:rFonts w:eastAsia="Times New Roman" w:cs="Times New Roman"/>
          <w:vertAlign w:val="subscript"/>
        </w:rPr>
        <w:t xml:space="preserve">2</w:t>
      </w:r>
      <w:r>
        <w:rPr>
          <w:rFonts w:eastAsia="Times New Roman" w:cs="Times New Roman"/>
        </w:rPr>
        <w:t xml:space="preserve"> &gt; 0 and β</w:t>
      </w:r>
      <w:r>
        <w:rPr>
          <w:rFonts w:eastAsia="Times New Roman" w:cs="Times New Roman"/>
          <w:vertAlign w:val="subscript"/>
        </w:rPr>
        <w:t xml:space="preserve">3</w:t>
      </w:r>
      <w:r>
        <w:rPr>
          <w:rFonts w:eastAsia="Times New Roman" w:cs="Times New Roman"/>
        </w:rPr>
        <w:t xml:space="preserve"> &lt; 0 (H2); and β</w:t>
      </w:r>
      <w:r>
        <w:rPr>
          <w:rFonts w:eastAsia="Times New Roman" w:cs="Times New Roman"/>
          <w:vertAlign w:val="subscript"/>
        </w:rPr>
        <w:t xml:space="preserve">5</w:t>
      </w:r>
      <w:r>
        <w:rPr>
          <w:rFonts w:eastAsia="Times New Roman" w:cs="Times New Roman"/>
        </w:rPr>
        <w:t xml:space="preserve"> &lt; 0 (H3). If the liquidity coefficients support an interior optimum, the implied optimal liquidity level is:</w:t>
      </w:r>
    </w:p>
    <w:p w14:paraId="6EABBAC6" w14:textId="77777777" w:rsidR="002363FE" w:rsidRDefault="00CC0653">
      <w:pPr>
        <w:spacing w:before="120" w:after="240" w:line="360" w:lineRule="auto"/>
        <w:jc w:val="center"/>
      </w:pPr>
      <w:r>
        <w:rPr>
          <w:rFonts w:eastAsia="Times New Roman" w:cs="Times New Roman"/>
          <w:i/>
          <w:iCs/>
        </w:rPr>
        <w:lastRenderedPageBreak/>
        <w:t>LV* = −β</w:t>
      </w:r>
      <w:r>
        <w:rPr>
          <w:rFonts w:eastAsia="Times New Roman" w:cs="Times New Roman"/>
          <w:i/>
          <w:iCs/>
          <w:vertAlign w:val="subscript"/>
        </w:rPr>
        <w:t>2</w:t>
      </w:r>
      <w:r>
        <w:rPr>
          <w:rFonts w:eastAsia="Times New Roman" w:cs="Times New Roman"/>
          <w:i/>
          <w:iCs/>
        </w:rPr>
        <w:t xml:space="preserve"> / (2β</w:t>
      </w:r>
      <w:r>
        <w:rPr>
          <w:rFonts w:eastAsia="Times New Roman" w:cs="Times New Roman"/>
          <w:i/>
          <w:iCs/>
          <w:vertAlign w:val="subscript"/>
        </w:rPr>
        <w:t>3</w:t>
      </w:r>
      <w:r>
        <w:rPr>
          <w:rFonts w:eastAsia="Times New Roman" w:cs="Times New Roman"/>
          <w:i/>
          <w:iCs/>
        </w:rPr>
        <w:t>)          (5)</w:t>
      </w:r>
    </w:p>
    <w:p w14:paraId="4D292927" w14:textId="77777777" w:rsidR="002363FE" w:rsidRDefault="00CC0653">
      <w:pPr>
        <w:spacing w:after="240" w:line="480" w:lineRule="auto"/>
      </w:pPr>
      <w:r>
        <w:rPr>
          <w:rFonts w:eastAsia="Times New Roman" w:cs="Times New Roman"/>
        </w:rPr>
        <w:t xml:space="preserve">with a 95 percent confidence interval computed by the delta method and, because the ratio of coefficients can make that interval unreliable, by the Fieller method. H2 is supported only if all three conditions hold: (i) β</w:t>
      </w:r>
      <w:r>
        <w:rPr>
          <w:rFonts w:eastAsia="Times New Roman" w:cs="Times New Roman"/>
          <w:vertAlign w:val="subscript"/>
        </w:rPr>
        <w:t xml:space="preserve">2</w:t>
      </w:r>
      <w:r>
        <w:rPr>
          <w:rFonts w:eastAsia="Times New Roman" w:cs="Times New Roman"/>
        </w:rPr>
        <w:t xml:space="preserve"> and β</w:t>
      </w:r>
      <w:r>
        <w:rPr>
          <w:rFonts w:eastAsia="Times New Roman" w:cs="Times New Roman"/>
          <w:vertAlign w:val="subscript"/>
        </w:rPr>
        <w:t xml:space="preserve">3</w:t>
      </w:r>
      <w:r>
        <w:rPr>
          <w:rFonts w:eastAsia="Times New Roman" w:cs="Times New Roman"/>
        </w:rPr>
        <w:t xml:space="preserve"> are jointly significant (Wald test of β</w:t>
      </w:r>
      <w:r>
        <w:rPr>
          <w:rFonts w:eastAsia="Times New Roman" w:cs="Times New Roman"/>
          <w:vertAlign w:val="subscript"/>
        </w:rPr>
        <w:t xml:space="preserve">2</w:t>
      </w:r>
      <w:r>
        <w:rPr>
          <w:rFonts w:eastAsia="Times New Roman" w:cs="Times New Roman"/>
        </w:rPr>
        <w:t xml:space="preserve"> = β</w:t>
      </w:r>
      <w:r>
        <w:rPr>
          <w:rFonts w:eastAsia="Times New Roman" w:cs="Times New Roman"/>
          <w:vertAlign w:val="subscript"/>
        </w:rPr>
        <w:t xml:space="preserve">3</w:t>
      </w:r>
      <w:r>
        <w:rPr>
          <w:rFonts w:eastAsia="Times New Roman" w:cs="Times New Roman"/>
        </w:rPr>
        <w:t xml:space="preserve"> = 0) with β</w:t>
      </w:r>
      <w:r>
        <w:rPr>
          <w:rFonts w:eastAsia="Times New Roman" w:cs="Times New Roman"/>
          <w:vertAlign w:val="subscript"/>
        </w:rPr>
        <w:t xml:space="preserve">2</w:t>
      </w:r>
      <w:r>
        <w:rPr>
          <w:rFonts w:eastAsia="Times New Roman" w:cs="Times New Roman"/>
        </w:rPr>
        <w:t xml:space="preserve"> &gt; 0 and β</w:t>
      </w:r>
      <w:r>
        <w:rPr>
          <w:rFonts w:eastAsia="Times New Roman" w:cs="Times New Roman"/>
          <w:vertAlign w:val="subscript"/>
        </w:rPr>
        <w:t xml:space="preserve">3</w:t>
      </w:r>
      <w:r>
        <w:rPr>
          <w:rFonts w:eastAsia="Times New Roman" w:cs="Times New Roman"/>
        </w:rPr>
        <w:t xml:space="preserve"> &lt; 0; (ii) the slope ∂FP/∂LV = β</w:t>
      </w:r>
      <w:r>
        <w:rPr>
          <w:rFonts w:eastAsia="Times New Roman" w:cs="Times New Roman"/>
          <w:vertAlign w:val="subscript"/>
        </w:rPr>
        <w:t xml:space="preserve">2</w:t>
      </w:r>
      <w:r>
        <w:rPr>
          <w:rFonts w:eastAsia="Times New Roman" w:cs="Times New Roman"/>
        </w:rPr>
        <w:t xml:space="preserve"> + 2β</w:t>
      </w:r>
      <w:r>
        <w:rPr>
          <w:rFonts w:eastAsia="Times New Roman" w:cs="Times New Roman"/>
          <w:vertAlign w:val="subscript"/>
        </w:rPr>
        <w:t xml:space="preserve">3</w:t>
      </w:r>
      <w:r>
        <w:rPr>
          <w:rFonts w:eastAsia="Times New Roman" w:cs="Times New Roman"/>
        </w:rPr>
        <w:t xml:space="preserve">LV is significantly positive at the lower bound and significantly negative at the upper bound of the observed liquidity range, taken as the 5th and 95th percentiles of LV (the test of Lind &amp; Mehlum, 2010); and (iii) LV* and its confidence interval lie inside that range. If the slope is significant at only one end of the range, the relationship is reported as concave but monotonic rather than inverted-U (Baños-Caballero et al., 2014).</w:t>
      </w:r>
    </w:p>
    <w:p w14:paraId="3F1C944F" w14:textId="77777777" w:rsidR="002363FE" w:rsidRDefault="00CC0653">
      <w:pPr>
        <w:spacing w:after="240" w:line="480" w:lineRule="auto"/>
      </w:pPr>
      <w:r>
        <w:rPr>
          <w:rFonts w:eastAsia="Times New Roman" w:cs="Times New Roman"/>
          <w:b/>
          <w:bCs/>
        </w:rPr>
        <w:t xml:space="preserve">Additional tests of H3.</w:t>
      </w:r>
      <w:r>
        <w:rPr>
          <w:rFonts w:eastAsia="Times New Roman" w:cs="Times New Roman"/>
        </w:rPr>
        <w:t xml:space="preserve"> The core H3 concerns the contemporaneous exposure-conditioned effect of volatility. Two additional tests are conducted, both within the specification with quarter effects. First, lagged interaction terms are added and their cumulative effect is tested with a Wald test:</w:t>
      </w:r>
    </w:p>
    <w:p>
      <w:pPr>
        <w:spacing w:before="120" w:after="240" w:line="360" w:lineRule="auto"/>
        <w:jc w:val="center"/>
      </w:pPr>
      <w:r>
        <w:rPr>
          <w:rFonts w:eastAsia="Times New Roman" w:cs="Times New Roman"/>
          <w:i/>
          <w:iCs/>
        </w:rPr>
        <w:t xml:space="preserve">FP</w:t>
      </w:r>
      <w:r>
        <w:rPr>
          <w:rFonts w:eastAsia="Times New Roman" w:cs="Times New Roman"/>
          <w:i/>
          <w:iCs/>
          <w:vertAlign w:val="subscript"/>
        </w:rPr>
        <w:t xml:space="preserve">it</w:t>
      </w:r>
      <w:r>
        <w:rPr>
          <w:rFonts w:eastAsia="Times New Roman" w:cs="Times New Roman"/>
          <w:i/>
          <w:iCs/>
        </w:rPr>
        <w:t xml:space="preserve"> = … + β</w:t>
      </w:r>
      <w:r>
        <w:rPr>
          <w:rFonts w:eastAsia="Times New Roman" w:cs="Times New Roman"/>
          <w:i/>
          <w:iCs/>
          <w:vertAlign w:val="subscript"/>
        </w:rPr>
        <w:t xml:space="preserve">5,0</w:t>
      </w:r>
      <w:r>
        <w:rPr>
          <w:rFonts w:eastAsia="Times New Roman" w:cs="Times New Roman"/>
          <w:i/>
          <w:iCs/>
        </w:rPr>
        <w:t xml:space="preserve">EXRV</w:t>
      </w:r>
      <w:r>
        <w:rPr>
          <w:rFonts w:eastAsia="Times New Roman" w:cs="Times New Roman"/>
          <w:i/>
          <w:iCs/>
          <w:vertAlign w:val="subscript"/>
        </w:rPr>
        <w:t xml:space="preserve">t</w:t>
      </w:r>
      <w:r>
        <w:rPr>
          <w:rFonts w:eastAsia="Times New Roman" w:cs="Times New Roman"/>
          <w:i/>
          <w:iCs/>
        </w:rPr>
        <w:t xml:space="preserve">×FXE</w:t>
      </w:r>
      <w:r>
        <w:rPr>
          <w:rFonts w:eastAsia="Times New Roman" w:cs="Times New Roman"/>
          <w:i/>
          <w:iCs/>
          <w:vertAlign w:val="subscript"/>
        </w:rPr>
        <w:t xml:space="preserve">i</w:t>
      </w:r>
      <w:r>
        <w:rPr>
          <w:rFonts w:eastAsia="Times New Roman" w:cs="Times New Roman"/>
          <w:i/>
          <w:iCs/>
        </w:rPr>
        <w:t xml:space="preserve"> + β</w:t>
      </w:r>
      <w:r>
        <w:rPr>
          <w:rFonts w:eastAsia="Times New Roman" w:cs="Times New Roman"/>
          <w:i/>
          <w:iCs/>
          <w:vertAlign w:val="subscript"/>
        </w:rPr>
        <w:t xml:space="preserve">5,1</w:t>
      </w:r>
      <w:r>
        <w:rPr>
          <w:rFonts w:eastAsia="Times New Roman" w:cs="Times New Roman"/>
          <w:i/>
          <w:iCs/>
        </w:rPr>
        <w:t xml:space="preserve">EXRV</w:t>
      </w:r>
      <w:r>
        <w:rPr>
          <w:rFonts w:eastAsia="Times New Roman" w:cs="Times New Roman"/>
          <w:i/>
          <w:iCs/>
          <w:vertAlign w:val="subscript"/>
        </w:rPr>
        <w:t xml:space="preserve">t−1</w:t>
      </w:r>
      <w:r>
        <w:rPr>
          <w:rFonts w:eastAsia="Times New Roman" w:cs="Times New Roman"/>
          <w:i/>
          <w:iCs/>
        </w:rPr>
        <w:t xml:space="preserve">×FXE</w:t>
      </w:r>
      <w:r>
        <w:rPr>
          <w:rFonts w:eastAsia="Times New Roman" w:cs="Times New Roman"/>
          <w:i/>
          <w:iCs/>
          <w:vertAlign w:val="subscript"/>
        </w:rPr>
        <w:t xml:space="preserve">i</w:t>
      </w:r>
      <w:r>
        <w:rPr>
          <w:rFonts w:eastAsia="Times New Roman" w:cs="Times New Roman"/>
          <w:i/>
          <w:iCs/>
        </w:rPr>
        <w:t xml:space="preserve"> + β</w:t>
      </w:r>
      <w:r>
        <w:rPr>
          <w:rFonts w:eastAsia="Times New Roman" w:cs="Times New Roman"/>
          <w:i/>
          <w:iCs/>
          <w:vertAlign w:val="subscript"/>
        </w:rPr>
        <w:t xml:space="preserve">5,2</w:t>
      </w:r>
      <w:r>
        <w:rPr>
          <w:rFonts w:eastAsia="Times New Roman" w:cs="Times New Roman"/>
          <w:i/>
          <w:iCs/>
        </w:rPr>
        <w:t xml:space="preserve">EXRV</w:t>
      </w:r>
      <w:r>
        <w:rPr>
          <w:rFonts w:eastAsia="Times New Roman" w:cs="Times New Roman"/>
          <w:i/>
          <w:iCs/>
          <w:vertAlign w:val="subscript"/>
        </w:rPr>
        <w:t xml:space="preserve">t−2</w:t>
      </w:r>
      <w:r>
        <w:rPr>
          <w:rFonts w:eastAsia="Times New Roman" w:cs="Times New Roman"/>
          <w:i/>
          <w:iCs/>
        </w:rPr>
        <w:t xml:space="preserve">×FXE</w:t>
      </w:r>
      <w:r>
        <w:rPr>
          <w:rFonts w:eastAsia="Times New Roman" w:cs="Times New Roman"/>
          <w:i/>
          <w:iCs/>
          <w:vertAlign w:val="subscript"/>
        </w:rPr>
        <w:t xml:space="preserve">i</w:t>
      </w:r>
      <w:r>
        <w:rPr>
          <w:rFonts w:eastAsia="Times New Roman" w:cs="Times New Roman"/>
          <w:i/>
          <w:iCs/>
        </w:rPr>
        <w:t xml:space="preserve"> + …,     H</w:t>
      </w:r>
      <w:r>
        <w:rPr>
          <w:rFonts w:eastAsia="Times New Roman" w:cs="Times New Roman"/>
          <w:i/>
          <w:iCs/>
          <w:vertAlign w:val="subscript"/>
        </w:rPr>
        <w:t xml:space="preserve">0</w:t>
      </w:r>
      <w:r>
        <w:rPr>
          <w:rFonts w:eastAsia="Times New Roman" w:cs="Times New Roman"/>
          <w:i/>
          <w:iCs/>
        </w:rPr>
        <w:t xml:space="preserve">: β</w:t>
      </w:r>
      <w:r>
        <w:rPr>
          <w:rFonts w:eastAsia="Times New Roman" w:cs="Times New Roman"/>
          <w:i/>
          <w:iCs/>
          <w:vertAlign w:val="subscript"/>
        </w:rPr>
        <w:t xml:space="preserve">5,0</w:t>
      </w:r>
      <w:r>
        <w:rPr>
          <w:rFonts w:eastAsia="Times New Roman" w:cs="Times New Roman"/>
          <w:i/>
          <w:iCs/>
        </w:rPr>
        <w:t xml:space="preserve"> + β</w:t>
      </w:r>
      <w:r>
        <w:rPr>
          <w:rFonts w:eastAsia="Times New Roman" w:cs="Times New Roman"/>
          <w:i/>
          <w:iCs/>
          <w:vertAlign w:val="subscript"/>
        </w:rPr>
        <w:t xml:space="preserve">5,1</w:t>
      </w:r>
      <w:r>
        <w:rPr>
          <w:rFonts w:eastAsia="Times New Roman" w:cs="Times New Roman"/>
          <w:i/>
          <w:iCs/>
        </w:rPr>
        <w:t xml:space="preserve"> + β</w:t>
      </w:r>
      <w:r>
        <w:rPr>
          <w:rFonts w:eastAsia="Times New Roman" w:cs="Times New Roman"/>
          <w:i/>
          <w:iCs/>
          <w:vertAlign w:val="subscript"/>
        </w:rPr>
        <w:t xml:space="preserve">5,2</w:t>
      </w:r>
      <w:r>
        <w:rPr>
          <w:rFonts w:eastAsia="Times New Roman" w:cs="Times New Roman"/>
          <w:i/>
          <w:iCs/>
        </w:rPr>
        <w:t xml:space="preserve"> = 0          (6)</w:t>
      </w:r>
    </w:p>
    <w:p w14:paraId="315AB362" w14:textId="77777777" w:rsidR="002363FE" w:rsidRDefault="00CC0653">
      <w:pPr>
        <w:spacing w:after="240" w:line="480" w:lineRule="auto"/>
      </w:pPr>
      <w:r>
        <w:rPr>
          <w:rFonts w:eastAsia="Times New Roman" w:cs="Times New Roman"/>
        </w:rPr>
        <w:t xml:space="preserve">Second, to examine whether depreciation has a larger effect on performance than appreciation (Question B), the interactions DEP</w:t>
      </w:r>
      <w:r>
        <w:rPr>
          <w:rFonts w:eastAsia="Times New Roman" w:cs="Times New Roman"/>
          <w:vertAlign w:val="subscript"/>
        </w:rPr>
        <w:t xml:space="preserve">t</w:t>
      </w:r>
      <w:r>
        <w:rPr>
          <w:rFonts w:eastAsia="Times New Roman" w:cs="Times New Roman"/>
        </w:rPr>
        <w:t xml:space="preserve"> × FXE</w:t>
      </w:r>
      <w:r>
        <w:rPr>
          <w:rFonts w:eastAsia="Times New Roman" w:cs="Times New Roman"/>
          <w:vertAlign w:val="subscript"/>
        </w:rPr>
        <w:t xml:space="preserve">i</w:t>
      </w:r>
      <w:r>
        <w:rPr>
          <w:rFonts w:eastAsia="Times New Roman" w:cs="Times New Roman"/>
        </w:rPr>
        <w:t xml:space="preserve"> and APP</w:t>
      </w:r>
      <w:r>
        <w:rPr>
          <w:rFonts w:eastAsia="Times New Roman" w:cs="Times New Roman"/>
          <w:vertAlign w:val="subscript"/>
        </w:rPr>
        <w:t xml:space="preserve">t</w:t>
      </w:r>
      <w:r>
        <w:rPr>
          <w:rFonts w:eastAsia="Times New Roman" w:cs="Times New Roman"/>
        </w:rPr>
        <w:t xml:space="preserve"> × FXE</w:t>
      </w:r>
      <w:r>
        <w:rPr>
          <w:rFonts w:eastAsia="Times New Roman" w:cs="Times New Roman"/>
          <w:vertAlign w:val="subscript"/>
        </w:rPr>
        <w:t xml:space="preserve">i</w:t>
      </w:r>
      <w:r>
        <w:rPr>
          <w:rFonts w:eastAsia="Times New Roman" w:cs="Times New Roman"/>
        </w:rPr>
        <w:t xml:space="preserve"> are included and the equality of their coefficients is tested.</w:t>
      </w:r>
    </w:p>
    <w:p w14:paraId="7FA07756" w14:textId="77777777" w:rsidR="002363FE" w:rsidRDefault="00CC0653">
      <w:pPr>
        <w:pStyle w:val="Heading3"/>
      </w:pPr>
      <w:bookmarkStart w:id="78" w:name="_TocRev078"/>
      <w:r>
        <w:t>3.10.4 Model 3: Heterogeneity across Firm Categories</w:t>
      </w:r>
      <w:bookmarkEnd w:id="78"/>
    </w:p>
    <w:p w14:paraId="4A0F1C0C" w14:textId="77777777" w:rsidR="002363FE" w:rsidRDefault="00CC0653">
      <w:pPr>
        <w:spacing w:after="240" w:line="480" w:lineRule="auto"/>
      </w:pPr>
      <w:r>
        <w:rPr>
          <w:rFonts w:eastAsia="Times New Roman" w:cs="Times New Roman"/>
        </w:rPr>
        <w:t xml:space="preserve">To test H1a, H2a and H3a, Model 2 is extended with interactions between the main variables and firm-category indicators, with OMCs as the reference category:</w:t>
      </w:r>
    </w:p>
    <w:p w14:paraId="40B3D14D" w14:textId="77777777" w:rsidR="002363FE" w:rsidRDefault="00CC0653">
      <w:pPr>
        <w:spacing w:before="120" w:after="240" w:line="360" w:lineRule="auto"/>
        <w:jc w:val="center"/>
      </w:pPr>
      <w:r>
        <w:rPr>
          <w:rFonts w:eastAsia="Times New Roman" w:cs="Times New Roman"/>
          <w:i/>
          <w:iCs/>
        </w:rPr>
        <w:t>FP</w:t>
      </w:r>
      <w:r>
        <w:rPr>
          <w:rFonts w:eastAsia="Times New Roman" w:cs="Times New Roman"/>
          <w:i/>
          <w:iCs/>
          <w:vertAlign w:val="subscript"/>
        </w:rPr>
        <w:t>it</w:t>
      </w:r>
      <w:r>
        <w:rPr>
          <w:rFonts w:eastAsia="Times New Roman" w:cs="Times New Roman"/>
          <w:i/>
          <w:iCs/>
        </w:rPr>
        <w:t xml:space="preserve"> = Model (4) + Σ</w:t>
      </w:r>
      <w:r>
        <w:rPr>
          <w:rFonts w:eastAsia="Times New Roman" w:cs="Times New Roman"/>
          <w:i/>
          <w:iCs/>
          <w:vertAlign w:val="subscript"/>
        </w:rPr>
        <w:t>k</w:t>
      </w:r>
      <w:r>
        <w:rPr>
          <w:rFonts w:eastAsia="Times New Roman" w:cs="Times New Roman"/>
          <w:i/>
          <w:iCs/>
        </w:rPr>
        <w:t xml:space="preserve"> δ</w:t>
      </w:r>
      <w:r>
        <w:rPr>
          <w:rFonts w:eastAsia="Times New Roman" w:cs="Times New Roman"/>
          <w:i/>
          <w:iCs/>
          <w:vertAlign w:val="subscript"/>
        </w:rPr>
        <w:t>k</w:t>
      </w:r>
      <w:r>
        <w:rPr>
          <w:rFonts w:eastAsia="Times New Roman" w:cs="Times New Roman"/>
          <w:i/>
          <w:iCs/>
        </w:rPr>
        <w:t>(X</w:t>
      </w:r>
      <w:r>
        <w:rPr>
          <w:rFonts w:eastAsia="Times New Roman" w:cs="Times New Roman"/>
          <w:i/>
          <w:iCs/>
          <w:vertAlign w:val="subscript"/>
        </w:rPr>
        <w:t>k,it</w:t>
      </w:r>
      <w:r>
        <w:rPr>
          <w:rFonts w:eastAsia="Times New Roman" w:cs="Times New Roman"/>
          <w:i/>
          <w:iCs/>
        </w:rPr>
        <w:t xml:space="preserve"> × BIDEC</w:t>
      </w:r>
      <w:r>
        <w:rPr>
          <w:rFonts w:eastAsia="Times New Roman" w:cs="Times New Roman"/>
          <w:i/>
          <w:iCs/>
          <w:vertAlign w:val="subscript"/>
        </w:rPr>
        <w:t>i</w:t>
      </w:r>
      <w:r>
        <w:rPr>
          <w:rFonts w:eastAsia="Times New Roman" w:cs="Times New Roman"/>
          <w:i/>
          <w:iCs/>
        </w:rPr>
        <w:t>) + Σ</w:t>
      </w:r>
      <w:r>
        <w:rPr>
          <w:rFonts w:eastAsia="Times New Roman" w:cs="Times New Roman"/>
          <w:i/>
          <w:iCs/>
          <w:vertAlign w:val="subscript"/>
        </w:rPr>
        <w:t>k</w:t>
      </w:r>
      <w:r>
        <w:rPr>
          <w:rFonts w:eastAsia="Times New Roman" w:cs="Times New Roman"/>
          <w:i/>
          <w:iCs/>
        </w:rPr>
        <w:t xml:space="preserve"> θ</w:t>
      </w:r>
      <w:r>
        <w:rPr>
          <w:rFonts w:eastAsia="Times New Roman" w:cs="Times New Roman"/>
          <w:i/>
          <w:iCs/>
          <w:vertAlign w:val="subscript"/>
        </w:rPr>
        <w:t>k</w:t>
      </w:r>
      <w:r>
        <w:rPr>
          <w:rFonts w:eastAsia="Times New Roman" w:cs="Times New Roman"/>
          <w:i/>
          <w:iCs/>
        </w:rPr>
        <w:t>(X</w:t>
      </w:r>
      <w:r>
        <w:rPr>
          <w:rFonts w:eastAsia="Times New Roman" w:cs="Times New Roman"/>
          <w:i/>
          <w:iCs/>
          <w:vertAlign w:val="subscript"/>
        </w:rPr>
        <w:t>k,it</w:t>
      </w:r>
      <w:r>
        <w:rPr>
          <w:rFonts w:eastAsia="Times New Roman" w:cs="Times New Roman"/>
          <w:i/>
          <w:iCs/>
        </w:rPr>
        <w:t xml:space="preserve"> × LPGMC</w:t>
      </w:r>
      <w:r>
        <w:rPr>
          <w:rFonts w:eastAsia="Times New Roman" w:cs="Times New Roman"/>
          <w:i/>
          <w:iCs/>
          <w:vertAlign w:val="subscript"/>
        </w:rPr>
        <w:t>i</w:t>
      </w:r>
      <w:r>
        <w:rPr>
          <w:rFonts w:eastAsia="Times New Roman" w:cs="Times New Roman"/>
          <w:i/>
          <w:iCs/>
        </w:rPr>
        <w:t>)          (7)</w:t>
      </w:r>
    </w:p>
    <w:p w14:paraId="4D7141C0" w14:textId="77777777" w:rsidR="002363FE" w:rsidRDefault="00CC0653">
      <w:pPr>
        <w:spacing w:after="240" w:line="480" w:lineRule="auto"/>
      </w:pPr>
      <w:r>
        <w:rPr>
          <w:rFonts w:eastAsia="Times New Roman" w:cs="Times New Roman"/>
        </w:rPr>
        <w:t xml:space="preserve">where X</w:t>
      </w:r>
      <w:r>
        <w:rPr>
          <w:rFonts w:eastAsia="Times New Roman" w:cs="Times New Roman"/>
          <w:vertAlign w:val="subscript"/>
        </w:rPr>
        <w:t xml:space="preserve">k</w:t>
      </w:r>
      <w:r>
        <w:rPr>
          <w:rFonts w:eastAsia="Times New Roman" w:cs="Times New Roman"/>
        </w:rPr>
        <w:t xml:space="preserve"> ∈ {FA, LV, LV², EXRV × FXE}. The three firm-category hypotheses are tested separately: H1a by the joint Wald test δ</w:t>
      </w:r>
      <w:r>
        <w:rPr>
          <w:rFonts w:eastAsia="Times New Roman" w:cs="Times New Roman"/>
          <w:vertAlign w:val="subscript"/>
        </w:rPr>
        <w:t xml:space="preserve">FA</w:t>
      </w:r>
      <w:r>
        <w:rPr>
          <w:rFonts w:eastAsia="Times New Roman" w:cs="Times New Roman"/>
        </w:rPr>
        <w:t xml:space="preserve"> = θ</w:t>
      </w:r>
      <w:r>
        <w:rPr>
          <w:rFonts w:eastAsia="Times New Roman" w:cs="Times New Roman"/>
          <w:vertAlign w:val="subscript"/>
        </w:rPr>
        <w:t xml:space="preserve">FA</w:t>
      </w:r>
      <w:r>
        <w:rPr>
          <w:rFonts w:eastAsia="Times New Roman" w:cs="Times New Roman"/>
        </w:rPr>
        <w:t xml:space="preserve"> = 0; H2a by the joint Wald test that the four liquidity interactions are zero (δ</w:t>
      </w:r>
      <w:r>
        <w:rPr>
          <w:rFonts w:eastAsia="Times New Roman" w:cs="Times New Roman"/>
          <w:vertAlign w:val="subscript"/>
        </w:rPr>
        <w:t xml:space="preserve">LV</w:t>
      </w:r>
      <w:r>
        <w:rPr>
          <w:rFonts w:eastAsia="Times New Roman" w:cs="Times New Roman"/>
        </w:rPr>
        <w:t xml:space="preserve"> = δ</w:t>
      </w:r>
      <w:r>
        <w:rPr>
          <w:rFonts w:eastAsia="Times New Roman" w:cs="Times New Roman"/>
          <w:vertAlign w:val="subscript"/>
        </w:rPr>
        <w:t xml:space="preserve">LV²</w:t>
      </w:r>
      <w:r>
        <w:rPr>
          <w:rFonts w:eastAsia="Times New Roman" w:cs="Times New Roman"/>
        </w:rPr>
        <w:t xml:space="preserve"> = θ</w:t>
      </w:r>
      <w:r>
        <w:rPr>
          <w:rFonts w:eastAsia="Times New Roman" w:cs="Times New Roman"/>
          <w:vertAlign w:val="subscript"/>
        </w:rPr>
        <w:t xml:space="preserve">LV</w:t>
      </w:r>
      <w:r>
        <w:rPr>
          <w:rFonts w:eastAsia="Times New Roman" w:cs="Times New Roman"/>
        </w:rPr>
        <w:t xml:space="preserve"> = θ</w:t>
      </w:r>
      <w:r>
        <w:rPr>
          <w:rFonts w:eastAsia="Times New Roman" w:cs="Times New Roman"/>
          <w:vertAlign w:val="subscript"/>
        </w:rPr>
        <w:t xml:space="preserve">LV²</w:t>
      </w:r>
      <w:r>
        <w:rPr>
          <w:rFonts w:eastAsia="Times New Roman" w:cs="Times New Roman"/>
        </w:rPr>
        <w:t xml:space="preserve"> = 0), because the shape of the relationship depends on the linear and squared terms together; and H3a by the joint Wald test δ</w:t>
      </w:r>
      <w:r>
        <w:rPr>
          <w:rFonts w:eastAsia="Times New Roman" w:cs="Times New Roman"/>
          <w:vertAlign w:val="subscript"/>
        </w:rPr>
        <w:t xml:space="preserve">EXRV×FXE</w:t>
      </w:r>
      <w:r>
        <w:rPr>
          <w:rFonts w:eastAsia="Times New Roman" w:cs="Times New Roman"/>
        </w:rPr>
        <w:t xml:space="preserve"> = θ</w:t>
      </w:r>
      <w:r>
        <w:rPr>
          <w:rFonts w:eastAsia="Times New Roman" w:cs="Times New Roman"/>
          <w:vertAlign w:val="subscript"/>
        </w:rPr>
        <w:t xml:space="preserve">EXRV×FXE</w:t>
      </w:r>
      <w:r>
        <w:rPr>
          <w:rFonts w:eastAsia="Times New Roman" w:cs="Times New Roman"/>
        </w:rPr>
        <w:t xml:space="preserve"> = 0. For H2a, the turning point LV* and the Lind–Mehlum test are also reported for each category. To avoid overloading the main model, only these variables are interacted. Because the BIDEC category is small, separate category-specific estimates are produced with fixed-effects estimators with Driscoll–Kraay standard errors rather than System GMM, and only for categories that satisfy Rule S3.</w:t>
      </w:r>
    </w:p>
    <w:p w14:paraId="0CF4473B" w14:textId="77777777" w:rsidR="002363FE" w:rsidRDefault="00CC0653">
      <w:pPr>
        <w:pStyle w:val="Heading3"/>
      </w:pPr>
      <w:bookmarkStart w:id="79" w:name="_TocRev079"/>
      <w:r>
        <w:rPr>
          <w:rFonts w:eastAsia="Times New Roman" w:cs="Times New Roman"/>
        </w:rPr>
        <w:t xml:space="preserve">3.10.5 Model 4: Lagged Investment Channel (Mediation)</w:t>
      </w:r>
      <w:bookmarkEnd w:id="79"/>
    </w:p>
    <w:p w14:paraId="125D6C2B" w14:textId="77777777" w:rsidR="002363FE" w:rsidRDefault="00CC0653">
      <w:pPr>
        <w:spacing w:after="240" w:line="480" w:lineRule="auto"/>
      </w:pPr>
      <w:r>
        <w:rPr>
          <w:rFonts w:eastAsia="Times New Roman" w:cs="Times New Roman"/>
        </w:rPr>
        <w:t xml:space="preserve">Because investment takes time to be completed and to affect profitability, the model of the investment channel, which tests H4, imposes explicit temporal ordering, with forex accessibility preceding investment and investment preceding performance. Both path equations include firm and quarter fixed effects and are estimated with the same estimator, instrument strategy and sample as Model 2 (Section 3.9.2); under the annual design, the subscripts t+1 and t+2 refer to years.</w:t>
      </w:r>
    </w:p>
    <w:p w14:paraId="250B56E9" w14:textId="77777777" w:rsidR="002363FE" w:rsidRDefault="00CC0653">
      <w:pPr>
        <w:spacing w:after="240" w:line="480" w:lineRule="auto"/>
      </w:pPr>
      <w:r>
        <w:rPr>
          <w:rFonts w:eastAsia="Times New Roman" w:cs="Times New Roman"/>
          <w:b/>
          <w:bCs/>
        </w:rPr>
        <w:t>Path a (mediator equation):</w:t>
      </w:r>
    </w:p>
    <w:p>
      <w:pPr>
        <w:spacing w:before="120" w:after="240" w:line="360" w:lineRule="auto"/>
        <w:jc w:val="center"/>
      </w:pPr>
      <w:r>
        <w:rPr>
          <w:rFonts w:eastAsia="Times New Roman" w:cs="Times New Roman"/>
          <w:i/>
          <w:iCs/>
        </w:rPr>
        <w:t xml:space="preserve">ID</w:t>
      </w:r>
      <w:r>
        <w:rPr>
          <w:rFonts w:eastAsia="Times New Roman" w:cs="Times New Roman"/>
          <w:i/>
          <w:iCs/>
          <w:vertAlign w:val="subscript"/>
        </w:rPr>
        <w:t xml:space="preserve">i,t+1</w:t>
      </w:r>
      <w:r>
        <w:rPr>
          <w:rFonts w:eastAsia="Times New Roman" w:cs="Times New Roman"/>
          <w:i/>
          <w:iCs/>
        </w:rPr>
        <w:t xml:space="preserve"> = a</w:t>
      </w:r>
      <w:r>
        <w:rPr>
          <w:rFonts w:eastAsia="Times New Roman" w:cs="Times New Roman"/>
          <w:i/>
          <w:iCs/>
          <w:vertAlign w:val="subscript"/>
        </w:rPr>
        <w:t xml:space="preserve">1</w:t>
      </w:r>
      <w:r>
        <w:rPr>
          <w:rFonts w:eastAsia="Times New Roman" w:cs="Times New Roman"/>
          <w:i/>
          <w:iCs/>
        </w:rPr>
        <w:t xml:space="preserve">FA</w:t>
      </w:r>
      <w:r>
        <w:rPr>
          <w:rFonts w:eastAsia="Times New Roman" w:cs="Times New Roman"/>
          <w:i/>
          <w:iCs/>
          <w:vertAlign w:val="subscript"/>
        </w:rPr>
        <w:t xml:space="preserve">it</w:t>
      </w:r>
      <w:r>
        <w:rPr>
          <w:rFonts w:eastAsia="Times New Roman" w:cs="Times New Roman"/>
          <w:i/>
          <w:iCs/>
        </w:rPr>
        <w:t xml:space="preserve"> + a</w:t>
      </w:r>
      <w:r>
        <w:rPr>
          <w:rFonts w:eastAsia="Times New Roman" w:cs="Times New Roman"/>
          <w:i/>
          <w:iCs/>
          <w:vertAlign w:val="subscript"/>
        </w:rPr>
        <w:t xml:space="preserve">2</w:t>
      </w:r>
      <w:r>
        <w:rPr>
          <w:rFonts w:eastAsia="Times New Roman" w:cs="Times New Roman"/>
          <w:i/>
          <w:iCs/>
        </w:rPr>
        <w:t xml:space="preserve">LV</w:t>
      </w:r>
      <w:r>
        <w:rPr>
          <w:rFonts w:eastAsia="Times New Roman" w:cs="Times New Roman"/>
          <w:i/>
          <w:iCs/>
          <w:vertAlign w:val="subscript"/>
        </w:rPr>
        <w:t xml:space="preserve">it</w:t>
      </w:r>
      <w:r>
        <w:rPr>
          <w:rFonts w:eastAsia="Times New Roman" w:cs="Times New Roman"/>
          <w:i/>
          <w:iCs/>
        </w:rPr>
        <w:t xml:space="preserve"> + a</w:t>
      </w:r>
      <w:r>
        <w:rPr>
          <w:rFonts w:eastAsia="Times New Roman" w:cs="Times New Roman"/>
          <w:i/>
          <w:iCs/>
          <w:vertAlign w:val="subscript"/>
        </w:rPr>
        <w:t xml:space="preserve">3</w:t>
      </w:r>
      <w:r>
        <w:rPr>
          <w:rFonts w:eastAsia="Times New Roman" w:cs="Times New Roman"/>
          <w:i/>
          <w:iCs/>
        </w:rPr>
        <w:t xml:space="preserve">(EXRV</w:t>
      </w:r>
      <w:r>
        <w:rPr>
          <w:rFonts w:eastAsia="Times New Roman" w:cs="Times New Roman"/>
          <w:i/>
          <w:iCs/>
          <w:vertAlign w:val="subscript"/>
        </w:rPr>
        <w:t xml:space="preserve">t</w:t>
      </w:r>
      <w:r>
        <w:rPr>
          <w:rFonts w:eastAsia="Times New Roman" w:cs="Times New Roman"/>
          <w:i/>
          <w:iCs/>
        </w:rPr>
        <w:t xml:space="preserve"> × FXE</w:t>
      </w:r>
      <w:r>
        <w:rPr>
          <w:rFonts w:eastAsia="Times New Roman" w:cs="Times New Roman"/>
          <w:i/>
          <w:iCs/>
          <w:vertAlign w:val="subscript"/>
        </w:rPr>
        <w:t xml:space="preserve">i</w:t>
      </w:r>
      <w:r>
        <w:rPr>
          <w:rFonts w:eastAsia="Times New Roman" w:cs="Times New Roman"/>
          <w:i/>
          <w:iCs/>
        </w:rPr>
        <w:t xml:space="preserve">) + a</w:t>
      </w:r>
      <w:r>
        <w:rPr>
          <w:rFonts w:eastAsia="Times New Roman" w:cs="Times New Roman"/>
          <w:i/>
          <w:iCs/>
          <w:vertAlign w:val="subscript"/>
        </w:rPr>
        <w:t xml:space="preserve">4</w:t>
      </w:r>
      <w:r>
        <w:rPr>
          <w:rFonts w:eastAsia="Times New Roman" w:cs="Times New Roman"/>
          <w:i/>
          <w:iCs/>
        </w:rPr>
        <w:t xml:space="preserve">FR</w:t>
      </w:r>
      <w:r>
        <w:rPr>
          <w:rFonts w:eastAsia="Times New Roman" w:cs="Times New Roman"/>
          <w:i/>
          <w:iCs/>
          <w:vertAlign w:val="subscript"/>
        </w:rPr>
        <w:t xml:space="preserve">it</w:t>
      </w:r>
      <w:r>
        <w:rPr>
          <w:rFonts w:eastAsia="Times New Roman" w:cs="Times New Roman"/>
          <w:i/>
          <w:iCs/>
        </w:rPr>
        <w:t xml:space="preserve"> + ϕID</w:t>
      </w:r>
      <w:r>
        <w:rPr>
          <w:rFonts w:eastAsia="Times New Roman" w:cs="Times New Roman"/>
          <w:i/>
          <w:iCs/>
          <w:vertAlign w:val="subscript"/>
        </w:rPr>
        <w:t xml:space="preserve">it</w:t>
      </w:r>
      <w:r>
        <w:rPr>
          <w:rFonts w:eastAsia="Times New Roman" w:cs="Times New Roman"/>
          <w:i/>
          <w:iCs/>
        </w:rPr>
        <w:t xml:space="preserve"> + ψFP</w:t>
      </w:r>
      <w:r>
        <w:rPr>
          <w:rFonts w:eastAsia="Times New Roman" w:cs="Times New Roman"/>
          <w:i/>
          <w:iCs/>
          <w:vertAlign w:val="subscript"/>
        </w:rPr>
        <w:t xml:space="preserve">it</w:t>
      </w:r>
      <w:r>
        <w:rPr>
          <w:rFonts w:eastAsia="Times New Roman" w:cs="Times New Roman"/>
          <w:i/>
          <w:iCs/>
        </w:rPr>
        <w:t xml:space="preserve"> + γSIZE</w:t>
      </w:r>
      <w:r>
        <w:rPr>
          <w:rFonts w:eastAsia="Times New Roman" w:cs="Times New Roman"/>
          <w:i/>
          <w:iCs/>
          <w:vertAlign w:val="subscript"/>
        </w:rPr>
        <w:t xml:space="preserve">it</w:t>
      </w:r>
      <w:r>
        <w:rPr>
          <w:rFonts w:eastAsia="Times New Roman" w:cs="Times New Roman"/>
          <w:i/>
          <w:iCs/>
        </w:rPr>
        <w:t xml:space="preserve"> + μ</w:t>
      </w:r>
      <w:r>
        <w:rPr>
          <w:rFonts w:eastAsia="Times New Roman" w:cs="Times New Roman"/>
          <w:i/>
          <w:iCs/>
          <w:vertAlign w:val="subscript"/>
        </w:rPr>
        <w:t xml:space="preserve">i</w:t>
      </w:r>
      <w:r>
        <w:rPr>
          <w:rFonts w:eastAsia="Times New Roman" w:cs="Times New Roman"/>
          <w:i/>
          <w:iCs/>
        </w:rPr>
        <w:t xml:space="preserve"> + λ</w:t>
      </w:r>
      <w:r>
        <w:rPr>
          <w:rFonts w:eastAsia="Times New Roman" w:cs="Times New Roman"/>
          <w:i/>
          <w:iCs/>
          <w:vertAlign w:val="subscript"/>
        </w:rPr>
        <w:t xml:space="preserve">t</w:t>
      </w:r>
      <w:r>
        <w:rPr>
          <w:rFonts w:eastAsia="Times New Roman" w:cs="Times New Roman"/>
          <w:i/>
          <w:iCs/>
        </w:rPr>
        <w:t xml:space="preserve"> + u</w:t>
      </w:r>
      <w:r>
        <w:rPr>
          <w:rFonts w:eastAsia="Times New Roman" w:cs="Times New Roman"/>
          <w:i/>
          <w:iCs/>
          <w:vertAlign w:val="subscript"/>
        </w:rPr>
        <w:t xml:space="preserve">i,t+1</w:t>
      </w:r>
      <w:r>
        <w:rPr>
          <w:rFonts w:eastAsia="Times New Roman" w:cs="Times New Roman"/>
          <w:i/>
          <w:iCs/>
        </w:rPr>
        <w:t xml:space="preserve">          (8)</w:t>
      </w:r>
    </w:p>
    <w:p w14:paraId="2BB1FD60" w14:textId="77777777" w:rsidR="002363FE" w:rsidRDefault="00CC0653">
      <w:pPr>
        <w:spacing w:after="240" w:line="480" w:lineRule="auto"/>
      </w:pPr>
      <w:r>
        <w:rPr>
          <w:rFonts w:eastAsia="Times New Roman" w:cs="Times New Roman"/>
          <w:b/>
          <w:bCs/>
        </w:rPr>
        <w:t>Paths b and c′ (outcome equation):</w:t>
      </w:r>
    </w:p>
    <w:p>
      <w:pPr>
        <w:spacing w:before="120" w:after="240" w:line="360" w:lineRule="auto"/>
        <w:jc w:val="center"/>
      </w:pPr>
      <w:r>
        <w:rPr>
          <w:rFonts w:eastAsia="Times New Roman" w:cs="Times New Roman"/>
          <w:i/>
          <w:iCs/>
        </w:rPr>
        <w:t xml:space="preserve">FP</w:t>
      </w:r>
      <w:r>
        <w:rPr>
          <w:rFonts w:eastAsia="Times New Roman" w:cs="Times New Roman"/>
          <w:i/>
          <w:iCs/>
          <w:vertAlign w:val="subscript"/>
        </w:rPr>
        <w:t xml:space="preserve">i,t+2</w:t>
      </w:r>
      <w:r>
        <w:rPr>
          <w:rFonts w:eastAsia="Times New Roman" w:cs="Times New Roman"/>
          <w:i/>
          <w:iCs/>
        </w:rPr>
        <w:t xml:space="preserve"> = b</w:t>
      </w:r>
      <w:r>
        <w:rPr>
          <w:rFonts w:eastAsia="Times New Roman" w:cs="Times New Roman"/>
          <w:i/>
          <w:iCs/>
          <w:vertAlign w:val="subscript"/>
        </w:rPr>
        <w:t xml:space="preserve">1</w:t>
      </w:r>
      <w:r>
        <w:rPr>
          <w:rFonts w:eastAsia="Times New Roman" w:cs="Times New Roman"/>
          <w:i/>
          <w:iCs/>
        </w:rPr>
        <w:t xml:space="preserve">ID</w:t>
      </w:r>
      <w:r>
        <w:rPr>
          <w:rFonts w:eastAsia="Times New Roman" w:cs="Times New Roman"/>
          <w:i/>
          <w:iCs/>
          <w:vertAlign w:val="subscript"/>
        </w:rPr>
        <w:t xml:space="preserve">i,t+1</w:t>
      </w:r>
      <w:r>
        <w:rPr>
          <w:rFonts w:eastAsia="Times New Roman" w:cs="Times New Roman"/>
          <w:i/>
          <w:iCs/>
        </w:rPr>
        <w:t xml:space="preserve"> + c′</w:t>
      </w:r>
      <w:r>
        <w:rPr>
          <w:rFonts w:eastAsia="Times New Roman" w:cs="Times New Roman"/>
          <w:i/>
          <w:iCs/>
          <w:vertAlign w:val="subscript"/>
        </w:rPr>
        <w:t xml:space="preserve">1</w:t>
      </w:r>
      <w:r>
        <w:rPr>
          <w:rFonts w:eastAsia="Times New Roman" w:cs="Times New Roman"/>
          <w:i/>
          <w:iCs/>
        </w:rPr>
        <w:t xml:space="preserve">FA</w:t>
      </w:r>
      <w:r>
        <w:rPr>
          <w:rFonts w:eastAsia="Times New Roman" w:cs="Times New Roman"/>
          <w:i/>
          <w:iCs/>
          <w:vertAlign w:val="subscript"/>
        </w:rPr>
        <w:t xml:space="preserve">it</w:t>
      </w:r>
      <w:r>
        <w:rPr>
          <w:rFonts w:eastAsia="Times New Roman" w:cs="Times New Roman"/>
          <w:i/>
          <w:iCs/>
        </w:rPr>
        <w:t xml:space="preserve"> + b</w:t>
      </w:r>
      <w:r>
        <w:rPr>
          <w:rFonts w:eastAsia="Times New Roman" w:cs="Times New Roman"/>
          <w:i/>
          <w:iCs/>
          <w:vertAlign w:val="subscript"/>
        </w:rPr>
        <w:t xml:space="preserve">2</w:t>
      </w:r>
      <w:r>
        <w:rPr>
          <w:rFonts w:eastAsia="Times New Roman" w:cs="Times New Roman"/>
          <w:i/>
          <w:iCs/>
        </w:rPr>
        <w:t xml:space="preserve">LV</w:t>
      </w:r>
      <w:r>
        <w:rPr>
          <w:rFonts w:eastAsia="Times New Roman" w:cs="Times New Roman"/>
          <w:i/>
          <w:iCs/>
          <w:vertAlign w:val="subscript"/>
        </w:rPr>
        <w:t xml:space="preserve">it</w:t>
      </w:r>
      <w:r>
        <w:rPr>
          <w:rFonts w:eastAsia="Times New Roman" w:cs="Times New Roman"/>
          <w:i/>
          <w:iCs/>
        </w:rPr>
        <w:t xml:space="preserve"> + b</w:t>
      </w:r>
      <w:r>
        <w:rPr>
          <w:rFonts w:eastAsia="Times New Roman" w:cs="Times New Roman"/>
          <w:i/>
          <w:iCs/>
          <w:vertAlign w:val="subscript"/>
        </w:rPr>
        <w:t xml:space="preserve">3</w:t>
      </w:r>
      <w:r>
        <w:rPr>
          <w:rFonts w:eastAsia="Times New Roman" w:cs="Times New Roman"/>
          <w:i/>
          <w:iCs/>
        </w:rPr>
        <w:t xml:space="preserve">(EXRV</w:t>
      </w:r>
      <w:r>
        <w:rPr>
          <w:rFonts w:eastAsia="Times New Roman" w:cs="Times New Roman"/>
          <w:i/>
          <w:iCs/>
          <w:vertAlign w:val="subscript"/>
        </w:rPr>
        <w:t xml:space="preserve">t</w:t>
      </w:r>
      <w:r>
        <w:rPr>
          <w:rFonts w:eastAsia="Times New Roman" w:cs="Times New Roman"/>
          <w:i/>
          <w:iCs/>
        </w:rPr>
        <w:t xml:space="preserve"> × FXE</w:t>
      </w:r>
      <w:r>
        <w:rPr>
          <w:rFonts w:eastAsia="Times New Roman" w:cs="Times New Roman"/>
          <w:i/>
          <w:iCs/>
          <w:vertAlign w:val="subscript"/>
        </w:rPr>
        <w:t xml:space="preserve">i</w:t>
      </w:r>
      <w:r>
        <w:rPr>
          <w:rFonts w:eastAsia="Times New Roman" w:cs="Times New Roman"/>
          <w:i/>
          <w:iCs/>
        </w:rPr>
        <w:t xml:space="preserve">) + b</w:t>
      </w:r>
      <w:r>
        <w:rPr>
          <w:rFonts w:eastAsia="Times New Roman" w:cs="Times New Roman"/>
          <w:i/>
          <w:iCs/>
          <w:vertAlign w:val="subscript"/>
        </w:rPr>
        <w:t xml:space="preserve">4</w:t>
      </w:r>
      <w:r>
        <w:rPr>
          <w:rFonts w:eastAsia="Times New Roman" w:cs="Times New Roman"/>
          <w:i/>
          <w:iCs/>
        </w:rPr>
        <w:t xml:space="preserve">FR</w:t>
      </w:r>
      <w:r>
        <w:rPr>
          <w:rFonts w:eastAsia="Times New Roman" w:cs="Times New Roman"/>
          <w:i/>
          <w:iCs/>
          <w:vertAlign w:val="subscript"/>
        </w:rPr>
        <w:t xml:space="preserve">it</w:t>
      </w:r>
      <w:r>
        <w:rPr>
          <w:rFonts w:eastAsia="Times New Roman" w:cs="Times New Roman"/>
          <w:i/>
          <w:iCs/>
        </w:rPr>
        <w:t xml:space="preserve"> + ρFP</w:t>
      </w:r>
      <w:r>
        <w:rPr>
          <w:rFonts w:eastAsia="Times New Roman" w:cs="Times New Roman"/>
          <w:i/>
          <w:iCs/>
          <w:vertAlign w:val="subscript"/>
        </w:rPr>
        <w:t xml:space="preserve">it</w:t>
      </w:r>
      <w:r>
        <w:rPr>
          <w:rFonts w:eastAsia="Times New Roman" w:cs="Times New Roman"/>
          <w:i/>
          <w:iCs/>
        </w:rPr>
        <w:t xml:space="preserve"> + ϕ</w:t>
      </w:r>
      <w:r>
        <w:rPr>
          <w:rFonts w:eastAsia="Times New Roman" w:cs="Times New Roman"/>
          <w:i/>
          <w:iCs/>
          <w:vertAlign w:val="subscript"/>
        </w:rPr>
        <w:t xml:space="preserve">2</w:t>
      </w:r>
      <w:r>
        <w:rPr>
          <w:rFonts w:eastAsia="Times New Roman" w:cs="Times New Roman"/>
          <w:i/>
          <w:iCs/>
        </w:rPr>
        <w:t xml:space="preserve">ID</w:t>
      </w:r>
      <w:r>
        <w:rPr>
          <w:rFonts w:eastAsia="Times New Roman" w:cs="Times New Roman"/>
          <w:i/>
          <w:iCs/>
          <w:vertAlign w:val="subscript"/>
        </w:rPr>
        <w:t xml:space="preserve">it</w:t>
      </w:r>
      <w:r>
        <w:rPr>
          <w:rFonts w:eastAsia="Times New Roman" w:cs="Times New Roman"/>
          <w:i/>
          <w:iCs/>
        </w:rPr>
        <w:t xml:space="preserve"> + γSIZE</w:t>
      </w:r>
      <w:r>
        <w:rPr>
          <w:rFonts w:eastAsia="Times New Roman" w:cs="Times New Roman"/>
          <w:i/>
          <w:iCs/>
          <w:vertAlign w:val="subscript"/>
        </w:rPr>
        <w:t xml:space="preserve">it</w:t>
      </w:r>
      <w:r>
        <w:rPr>
          <w:rFonts w:eastAsia="Times New Roman" w:cs="Times New Roman"/>
          <w:i/>
          <w:iCs/>
        </w:rPr>
        <w:t xml:space="preserve"> + μ</w:t>
      </w:r>
      <w:r>
        <w:rPr>
          <w:rFonts w:eastAsia="Times New Roman" w:cs="Times New Roman"/>
          <w:i/>
          <w:iCs/>
          <w:vertAlign w:val="subscript"/>
        </w:rPr>
        <w:t xml:space="preserve">i</w:t>
      </w:r>
      <w:r>
        <w:rPr>
          <w:rFonts w:eastAsia="Times New Roman" w:cs="Times New Roman"/>
          <w:i/>
          <w:iCs/>
        </w:rPr>
        <w:t xml:space="preserve"> + λ</w:t>
      </w:r>
      <w:r>
        <w:rPr>
          <w:rFonts w:eastAsia="Times New Roman" w:cs="Times New Roman"/>
          <w:i/>
          <w:iCs/>
          <w:vertAlign w:val="subscript"/>
        </w:rPr>
        <w:t xml:space="preserve">t</w:t>
      </w:r>
      <w:r>
        <w:rPr>
          <w:rFonts w:eastAsia="Times New Roman" w:cs="Times New Roman"/>
          <w:i/>
          <w:iCs/>
        </w:rPr>
        <w:t xml:space="preserve"> + v</w:t>
      </w:r>
      <w:r>
        <w:rPr>
          <w:rFonts w:eastAsia="Times New Roman" w:cs="Times New Roman"/>
          <w:i/>
          <w:iCs/>
          <w:vertAlign w:val="subscript"/>
        </w:rPr>
        <w:t xml:space="preserve">i,t+2</w:t>
      </w:r>
      <w:r>
        <w:rPr>
          <w:rFonts w:eastAsia="Times New Roman" w:cs="Times New Roman"/>
          <w:i/>
          <w:iCs/>
        </w:rPr>
        <w:t xml:space="preserve">          (9)</w:t>
      </w:r>
    </w:p>
    <w:p w14:paraId="74DD38EC" w14:textId="77777777" w:rsidR="002363FE" w:rsidRDefault="00CC0653">
      <w:pPr>
        <w:spacing w:after="240" w:line="480" w:lineRule="auto"/>
      </w:pPr>
      <w:r>
        <w:rPr>
          <w:rFonts w:eastAsia="Times New Roman" w:cs="Times New Roman"/>
          <w:b/>
          <w:bCs/>
        </w:rPr>
        <w:t>Total effect:</w:t>
      </w:r>
    </w:p>
    <w:p>
      <w:pPr>
        <w:spacing w:before="120" w:after="240" w:line="360" w:lineRule="auto"/>
        <w:jc w:val="center"/>
      </w:pPr>
      <w:r>
        <w:rPr>
          <w:rFonts w:eastAsia="Times New Roman" w:cs="Times New Roman"/>
          <w:i/>
          <w:iCs/>
        </w:rPr>
        <w:t xml:space="preserve">FP</w:t>
      </w:r>
      <w:r>
        <w:rPr>
          <w:rFonts w:eastAsia="Times New Roman" w:cs="Times New Roman"/>
          <w:i/>
          <w:iCs/>
          <w:vertAlign w:val="subscript"/>
        </w:rPr>
        <w:t xml:space="preserve">i,t+2</w:t>
      </w:r>
      <w:r>
        <w:rPr>
          <w:rFonts w:eastAsia="Times New Roman" w:cs="Times New Roman"/>
          <w:i/>
          <w:iCs/>
        </w:rPr>
        <w:t xml:space="preserve"> = c</w:t>
      </w:r>
      <w:r>
        <w:rPr>
          <w:rFonts w:eastAsia="Times New Roman" w:cs="Times New Roman"/>
          <w:i/>
          <w:iCs/>
          <w:vertAlign w:val="subscript"/>
        </w:rPr>
        <w:t xml:space="preserve">1</w:t>
      </w:r>
      <w:r>
        <w:rPr>
          <w:rFonts w:eastAsia="Times New Roman" w:cs="Times New Roman"/>
          <w:i/>
          <w:iCs/>
        </w:rPr>
        <w:t xml:space="preserve">FA</w:t>
      </w:r>
      <w:r>
        <w:rPr>
          <w:rFonts w:eastAsia="Times New Roman" w:cs="Times New Roman"/>
          <w:i/>
          <w:iCs/>
          <w:vertAlign w:val="subscript"/>
        </w:rPr>
        <w:t xml:space="preserve">it</w:t>
      </w:r>
      <w:r>
        <w:rPr>
          <w:rFonts w:eastAsia="Times New Roman" w:cs="Times New Roman"/>
          <w:i/>
          <w:iCs/>
        </w:rPr>
        <w:t xml:space="preserve"> + c</w:t>
      </w:r>
      <w:r>
        <w:rPr>
          <w:rFonts w:eastAsia="Times New Roman" w:cs="Times New Roman"/>
          <w:i/>
          <w:iCs/>
          <w:vertAlign w:val="subscript"/>
        </w:rPr>
        <w:t xml:space="preserve">2</w:t>
      </w:r>
      <w:r>
        <w:rPr>
          <w:rFonts w:eastAsia="Times New Roman" w:cs="Times New Roman"/>
          <w:i/>
          <w:iCs/>
        </w:rPr>
        <w:t xml:space="preserve">LV</w:t>
      </w:r>
      <w:r>
        <w:rPr>
          <w:rFonts w:eastAsia="Times New Roman" w:cs="Times New Roman"/>
          <w:i/>
          <w:iCs/>
          <w:vertAlign w:val="subscript"/>
        </w:rPr>
        <w:t xml:space="preserve">it</w:t>
      </w:r>
      <w:r>
        <w:rPr>
          <w:rFonts w:eastAsia="Times New Roman" w:cs="Times New Roman"/>
          <w:i/>
          <w:iCs/>
        </w:rPr>
        <w:t xml:space="preserve"> + c</w:t>
      </w:r>
      <w:r>
        <w:rPr>
          <w:rFonts w:eastAsia="Times New Roman" w:cs="Times New Roman"/>
          <w:i/>
          <w:iCs/>
          <w:vertAlign w:val="subscript"/>
        </w:rPr>
        <w:t xml:space="preserve">3</w:t>
      </w:r>
      <w:r>
        <w:rPr>
          <w:rFonts w:eastAsia="Times New Roman" w:cs="Times New Roman"/>
          <w:i/>
          <w:iCs/>
        </w:rPr>
        <w:t xml:space="preserve">(EXRV</w:t>
      </w:r>
      <w:r>
        <w:rPr>
          <w:rFonts w:eastAsia="Times New Roman" w:cs="Times New Roman"/>
          <w:i/>
          <w:iCs/>
          <w:vertAlign w:val="subscript"/>
        </w:rPr>
        <w:t xml:space="preserve">t</w:t>
      </w:r>
      <w:r>
        <w:rPr>
          <w:rFonts w:eastAsia="Times New Roman" w:cs="Times New Roman"/>
          <w:i/>
          <w:iCs/>
        </w:rPr>
        <w:t xml:space="preserve"> × FXE</w:t>
      </w:r>
      <w:r>
        <w:rPr>
          <w:rFonts w:eastAsia="Times New Roman" w:cs="Times New Roman"/>
          <w:i/>
          <w:iCs/>
          <w:vertAlign w:val="subscript"/>
        </w:rPr>
        <w:t xml:space="preserve">i</w:t>
      </w:r>
      <w:r>
        <w:rPr>
          <w:rFonts w:eastAsia="Times New Roman" w:cs="Times New Roman"/>
          <w:i/>
          <w:iCs/>
        </w:rPr>
        <w:t xml:space="preserve">) + c</w:t>
      </w:r>
      <w:r>
        <w:rPr>
          <w:rFonts w:eastAsia="Times New Roman" w:cs="Times New Roman"/>
          <w:i/>
          <w:iCs/>
          <w:vertAlign w:val="subscript"/>
        </w:rPr>
        <w:t xml:space="preserve">4</w:t>
      </w:r>
      <w:r>
        <w:rPr>
          <w:rFonts w:eastAsia="Times New Roman" w:cs="Times New Roman"/>
          <w:i/>
          <w:iCs/>
        </w:rPr>
        <w:t xml:space="preserve">FR</w:t>
      </w:r>
      <w:r>
        <w:rPr>
          <w:rFonts w:eastAsia="Times New Roman" w:cs="Times New Roman"/>
          <w:i/>
          <w:iCs/>
          <w:vertAlign w:val="subscript"/>
        </w:rPr>
        <w:t xml:space="preserve">it</w:t>
      </w:r>
      <w:r>
        <w:rPr>
          <w:rFonts w:eastAsia="Times New Roman" w:cs="Times New Roman"/>
          <w:i/>
          <w:iCs/>
        </w:rPr>
        <w:t xml:space="preserve"> + ρFP</w:t>
      </w:r>
      <w:r>
        <w:rPr>
          <w:rFonts w:eastAsia="Times New Roman" w:cs="Times New Roman"/>
          <w:i/>
          <w:iCs/>
          <w:vertAlign w:val="subscript"/>
        </w:rPr>
        <w:t xml:space="preserve">it</w:t>
      </w:r>
      <w:r>
        <w:rPr>
          <w:rFonts w:eastAsia="Times New Roman" w:cs="Times New Roman"/>
          <w:i/>
          <w:iCs/>
        </w:rPr>
        <w:t xml:space="preserve"> + ϕ</w:t>
      </w:r>
      <w:r>
        <w:rPr>
          <w:rFonts w:eastAsia="Times New Roman" w:cs="Times New Roman"/>
          <w:i/>
          <w:iCs/>
          <w:vertAlign w:val="subscript"/>
        </w:rPr>
        <w:t xml:space="preserve">2</w:t>
      </w:r>
      <w:r>
        <w:rPr>
          <w:rFonts w:eastAsia="Times New Roman" w:cs="Times New Roman"/>
          <w:i/>
          <w:iCs/>
        </w:rPr>
        <w:t xml:space="preserve">ID</w:t>
      </w:r>
      <w:r>
        <w:rPr>
          <w:rFonts w:eastAsia="Times New Roman" w:cs="Times New Roman"/>
          <w:i/>
          <w:iCs/>
          <w:vertAlign w:val="subscript"/>
        </w:rPr>
        <w:t xml:space="preserve">it</w:t>
      </w:r>
      <w:r>
        <w:rPr>
          <w:rFonts w:eastAsia="Times New Roman" w:cs="Times New Roman"/>
          <w:i/>
          <w:iCs/>
        </w:rPr>
        <w:t xml:space="preserve"> + γSIZE</w:t>
      </w:r>
      <w:r>
        <w:rPr>
          <w:rFonts w:eastAsia="Times New Roman" w:cs="Times New Roman"/>
          <w:i/>
          <w:iCs/>
          <w:vertAlign w:val="subscript"/>
        </w:rPr>
        <w:t xml:space="preserve">it</w:t>
      </w:r>
      <w:r>
        <w:rPr>
          <w:rFonts w:eastAsia="Times New Roman" w:cs="Times New Roman"/>
          <w:i/>
          <w:iCs/>
        </w:rPr>
        <w:t xml:space="preserve"> + μ</w:t>
      </w:r>
      <w:r>
        <w:rPr>
          <w:rFonts w:eastAsia="Times New Roman" w:cs="Times New Roman"/>
          <w:i/>
          <w:iCs/>
          <w:vertAlign w:val="subscript"/>
        </w:rPr>
        <w:t xml:space="preserve">i</w:t>
      </w:r>
      <w:r>
        <w:rPr>
          <w:rFonts w:eastAsia="Times New Roman" w:cs="Times New Roman"/>
          <w:i/>
          <w:iCs/>
        </w:rPr>
        <w:t xml:space="preserve"> + λ</w:t>
      </w:r>
      <w:r>
        <w:rPr>
          <w:rFonts w:eastAsia="Times New Roman" w:cs="Times New Roman"/>
          <w:i/>
          <w:iCs/>
          <w:vertAlign w:val="subscript"/>
        </w:rPr>
        <w:t xml:space="preserve">t</w:t>
      </w:r>
      <w:r>
        <w:rPr>
          <w:rFonts w:eastAsia="Times New Roman" w:cs="Times New Roman"/>
          <w:i/>
          <w:iCs/>
        </w:rPr>
        <w:t xml:space="preserve"> + w</w:t>
      </w:r>
      <w:r>
        <w:rPr>
          <w:rFonts w:eastAsia="Times New Roman" w:cs="Times New Roman"/>
          <w:i/>
          <w:iCs/>
          <w:vertAlign w:val="subscript"/>
        </w:rPr>
        <w:t xml:space="preserve">i,t+2</w:t>
      </w:r>
      <w:r>
        <w:rPr>
          <w:rFonts w:eastAsia="Times New Roman" w:cs="Times New Roman"/>
          <w:i/>
          <w:iCs/>
        </w:rPr>
        <w:t xml:space="preserve">          (10)</w:t>
      </w:r>
    </w:p>
    <w:p w14:paraId="03CABED6" w14:textId="77777777" w:rsidR="002363FE" w:rsidRDefault="00CC0653">
      <w:pPr>
        <w:spacing w:after="240" w:line="480" w:lineRule="auto"/>
      </w:pPr>
      <w:r>
        <w:rPr>
          <w:rFonts w:eastAsia="Times New Roman" w:cs="Times New Roman"/>
          <w:b/>
          <w:bCs/>
        </w:rPr>
        <w:t xml:space="preserve">Estimator and confidence interval.</w:t>
      </w:r>
      <w:r>
        <w:rPr>
          <w:rFonts w:eastAsia="Times New Roman" w:cs="Times New Roman"/>
        </w:rPr>
        <w:t xml:space="preserve"> The indirect effect is estimated as the product of coefficients a</w:t>
      </w:r>
      <w:r>
        <w:rPr>
          <w:rFonts w:eastAsia="Times New Roman" w:cs="Times New Roman"/>
          <w:vertAlign w:val="subscript"/>
        </w:rPr>
        <w:t xml:space="preserve">1</w:t>
      </w:r>
      <w:r>
        <w:rPr>
          <w:rFonts w:eastAsia="Times New Roman" w:cs="Times New Roman"/>
        </w:rPr>
        <w:t xml:space="preserve"> × b</w:t>
      </w:r>
      <w:r>
        <w:rPr>
          <w:rFonts w:eastAsia="Times New Roman" w:cs="Times New Roman"/>
          <w:vertAlign w:val="subscript"/>
        </w:rPr>
        <w:t xml:space="preserve">1</w:t>
      </w:r>
      <w:r>
        <w:rPr>
          <w:rFonts w:eastAsia="Times New Roman" w:cs="Times New Roman"/>
        </w:rPr>
        <w:t xml:space="preserve">, and the direct effect is c′</w:t>
      </w:r>
      <w:r>
        <w:rPr>
          <w:rFonts w:eastAsia="Times New Roman" w:cs="Times New Roman"/>
          <w:vertAlign w:val="subscript"/>
        </w:rPr>
        <w:t xml:space="preserve">1</w:t>
      </w:r>
      <w:r>
        <w:rPr>
          <w:rFonts w:eastAsia="Times New Roman" w:cs="Times New Roman"/>
        </w:rPr>
        <w:t xml:space="preserve">; the difference c</w:t>
      </w:r>
      <w:r>
        <w:rPr>
          <w:rFonts w:eastAsia="Times New Roman" w:cs="Times New Roman"/>
          <w:vertAlign w:val="subscript"/>
        </w:rPr>
        <w:t xml:space="preserve">1</w:t>
      </w:r>
      <w:r>
        <w:rPr>
          <w:rFonts w:eastAsia="Times New Roman" w:cs="Times New Roman"/>
        </w:rPr>
        <w:t xml:space="preserve"> − c′</w:t>
      </w:r>
      <w:r>
        <w:rPr>
          <w:rFonts w:eastAsia="Times New Roman" w:cs="Times New Roman"/>
          <w:vertAlign w:val="subscript"/>
        </w:rPr>
        <w:t xml:space="preserve">1</w:t>
      </w:r>
      <w:r>
        <w:rPr>
          <w:rFonts w:eastAsia="Times New Roman" w:cs="Times New Roman"/>
        </w:rPr>
        <w:t xml:space="preserve"> is reported as a check. Current performance FP</w:t>
      </w:r>
      <w:r>
        <w:rPr>
          <w:rFonts w:eastAsia="Times New Roman" w:cs="Times New Roman"/>
          <w:vertAlign w:val="subscript"/>
        </w:rPr>
        <w:t xml:space="preserve">it</w:t>
      </w:r>
      <w:r>
        <w:rPr>
          <w:rFonts w:eastAsia="Times New Roman" w:cs="Times New Roman"/>
        </w:rPr>
        <w:t xml:space="preserve"> and current investment ID</w:t>
      </w:r>
      <w:r>
        <w:rPr>
          <w:rFonts w:eastAsia="Times New Roman" w:cs="Times New Roman"/>
          <w:vertAlign w:val="subscript"/>
        </w:rPr>
        <w:t xml:space="preserve">it</w:t>
      </w:r>
      <w:r>
        <w:rPr>
          <w:rFonts w:eastAsia="Times New Roman" w:cs="Times New Roman"/>
        </w:rPr>
        <w:t xml:space="preserve"> enter both path equations because they are the most important observed pre-treatment confounders: profitable firms both invest more and remain profitable. In Equation (9), ID</w:t>
      </w:r>
      <w:r>
        <w:rPr>
          <w:rFonts w:eastAsia="Times New Roman" w:cs="Times New Roman"/>
          <w:vertAlign w:val="subscript"/>
        </w:rPr>
        <w:t xml:space="preserve">i,t+1</w:t>
      </w:r>
      <w:r>
        <w:rPr>
          <w:rFonts w:eastAsia="Times New Roman" w:cs="Times New Roman"/>
        </w:rPr>
        <w:t xml:space="preserve"> is treated as endogenous and instrumented in the same way as the other endogenous regressors. The confidence interval for a</w:t>
      </w:r>
      <w:r>
        <w:rPr>
          <w:rFonts w:eastAsia="Times New Roman" w:cs="Times New Roman"/>
          <w:vertAlign w:val="subscript"/>
        </w:rPr>
        <w:t xml:space="preserve">1</w:t>
      </w:r>
      <w:r>
        <w:rPr>
          <w:rFonts w:eastAsia="Times New Roman" w:cs="Times New Roman"/>
        </w:rPr>
        <w:t xml:space="preserve"> × b</w:t>
      </w:r>
      <w:r>
        <w:rPr>
          <w:rFonts w:eastAsia="Times New Roman" w:cs="Times New Roman"/>
          <w:vertAlign w:val="subscript"/>
        </w:rPr>
        <w:t xml:space="preserve">1</w:t>
      </w:r>
      <w:r>
        <w:rPr>
          <w:rFonts w:eastAsia="Times New Roman" w:cs="Times New Roman"/>
        </w:rPr>
        <w:t xml:space="preserve"> is a percentile bootstrap with 5,000 replications in which whole firms are resampled (a cluster bootstrap) and both equations are re-estimated in each replication, which preserves the time-series structure within firms; the bias-corrected interval is reported as a sensitivity check (Preacher &amp; Hayes, 2008; Fritz et al., 2012). The two links are also reported separately (FA</w:t>
      </w:r>
      <w:r>
        <w:rPr>
          <w:rFonts w:eastAsia="Times New Roman" w:cs="Times New Roman"/>
          <w:vertAlign w:val="subscript"/>
        </w:rPr>
        <w:t xml:space="preserve">t</w:t>
      </w:r>
      <w:r>
        <w:rPr>
          <w:rFonts w:eastAsia="Times New Roman" w:cs="Times New Roman"/>
        </w:rPr>
        <w:t xml:space="preserve"> → CAPEX</w:t>
      </w:r>
      <w:r>
        <w:rPr>
          <w:rFonts w:eastAsia="Times New Roman" w:cs="Times New Roman"/>
          <w:vertAlign w:val="subscript"/>
        </w:rPr>
        <w:t xml:space="preserve">t+1</w:t>
      </w:r>
      <w:r>
        <w:rPr>
          <w:rFonts w:eastAsia="Times New Roman" w:cs="Times New Roman"/>
        </w:rPr>
        <w:t xml:space="preserve"> and CAPEX</w:t>
      </w:r>
      <w:r>
        <w:rPr>
          <w:rFonts w:eastAsia="Times New Roman" w:cs="Times New Roman"/>
          <w:vertAlign w:val="subscript"/>
        </w:rPr>
        <w:t xml:space="preserve">t+1</w:t>
      </w:r>
      <w:r>
        <w:rPr>
          <w:rFonts w:eastAsia="Times New Roman" w:cs="Times New Roman"/>
        </w:rPr>
        <w:t xml:space="preserve"> → FP</w:t>
      </w:r>
      <w:r>
        <w:rPr>
          <w:rFonts w:eastAsia="Times New Roman" w:cs="Times New Roman"/>
          <w:vertAlign w:val="subscript"/>
        </w:rPr>
        <w:t xml:space="preserve">t+2</w:t>
      </w:r>
      <w:r>
        <w:rPr>
          <w:rFonts w:eastAsia="Times New Roman" w:cs="Times New Roman"/>
        </w:rPr>
        <w:t xml:space="preserve">), and the lag structure is varied (t+1/t+3 and t+2/t+3) as a robustness check (Kydland &amp; Prescott, 1982).</w:t>
      </w:r>
    </w:p>
    <w:p>
      <w:pPr>
        <w:spacing w:after="240" w:line="480" w:lineRule="auto"/>
        <w:jc w:val="both"/>
      </w:pPr>
      <w:r>
        <w:rPr>
          <w:rFonts w:eastAsia="Times New Roman" w:cs="Times New Roman"/>
          <w:b/>
          <w:bCs/>
        </w:rPr>
        <w:t xml:space="preserve">Confounding of the mediator–outcome path.</w:t>
      </w:r>
      <w:r>
        <w:rPr>
          <w:rFonts w:eastAsia="Times New Roman" w:cs="Times New Roman"/>
        </w:rPr>
        <w:t xml:space="preserve"> Even if forex accessibility were as good as randomly assigned, the link from investment to later performance can be confounded: a firm that wins a large supply contract may both invest and become more profitable, whatever its forex access. The causal interpretation of a</w:t>
      </w:r>
      <w:r>
        <w:rPr>
          <w:rFonts w:eastAsia="Times New Roman" w:cs="Times New Roman"/>
          <w:vertAlign w:val="subscript"/>
        </w:rPr>
        <w:t xml:space="preserve">1</w:t>
      </w:r>
      <w:r>
        <w:rPr>
          <w:rFonts w:eastAsia="Times New Roman" w:cs="Times New Roman"/>
        </w:rPr>
        <w:t xml:space="preserve"> × b</w:t>
      </w:r>
      <w:r>
        <w:rPr>
          <w:rFonts w:eastAsia="Times New Roman" w:cs="Times New Roman"/>
          <w:vertAlign w:val="subscript"/>
        </w:rPr>
        <w:t xml:space="preserve">1</w:t>
      </w:r>
      <w:r>
        <w:rPr>
          <w:rFonts w:eastAsia="Times New Roman" w:cs="Times New Roman"/>
        </w:rPr>
        <w:t xml:space="preserve"> requires sequential ignorability (Imai et al., 2010): (i) given firm and quarter effects and the pre-treatment covariates, forex accessibility is unrelated to the unobserved determinants of investment and performance; and (ii) given forex accessibility and the same covariates, investment is unrelated to the unobserved determinants of later performance. A specific threat to (ii) is a confounder that is itself affected by forex accessibility, such as liquidity at t+1. Conditioning on it would block part of the effect of forex access, while omitting it would bias b</w:t>
      </w:r>
      <w:r>
        <w:rPr>
          <w:rFonts w:eastAsia="Times New Roman" w:cs="Times New Roman"/>
          <w:vertAlign w:val="subscript"/>
        </w:rPr>
        <w:t xml:space="preserve">1</w:t>
      </w:r>
      <w:r>
        <w:rPr>
          <w:rFonts w:eastAsia="Times New Roman" w:cs="Times New Roman"/>
        </w:rPr>
        <w:t xml:space="preserve">; the study therefore estimates Equation (9) with and without LV</w:t>
      </w:r>
      <w:r>
        <w:rPr>
          <w:rFonts w:eastAsia="Times New Roman" w:cs="Times New Roman"/>
          <w:vertAlign w:val="subscript"/>
        </w:rPr>
        <w:t xml:space="preserve">i,t+1</w:t>
      </w:r>
      <w:r>
        <w:rPr>
          <w:rFonts w:eastAsia="Times New Roman" w:cs="Times New Roman"/>
        </w:rPr>
        <w:t xml:space="preserve"> and FR</w:t>
      </w:r>
      <w:r>
        <w:rPr>
          <w:rFonts w:eastAsia="Times New Roman" w:cs="Times New Roman"/>
          <w:vertAlign w:val="subscript"/>
        </w:rPr>
        <w:t xml:space="preserve">i,t+1</w:t>
      </w:r>
      <w:r>
        <w:rPr>
          <w:rFonts w:eastAsia="Times New Roman" w:cs="Times New Roman"/>
        </w:rPr>
        <w:t xml:space="preserve"> and reports both. Table 3.6 summarises the assumptions and how each is addressed.</w:t>
      </w:r>
    </w:p>
    <w:p>
      <w:pPr>
        <w:keepNext/>
        <w:spacing w:before="240" w:after="120"/>
        <w:jc w:val="left"/>
      </w:pPr>
      <w:r>
        <w:rPr>
          <w:rFonts w:eastAsia="Times New Roman" w:cs="Times New Roman"/>
          <w:b/>
          <w:bCs/>
        </w:rPr>
        <w:t xml:space="preserve">Table 3.6: Assumptions Behind the Investment-Channel Estimate and How Each Is Addressed</w:t>
      </w:r>
    </w:p>
    <w:tbl>
      <w:tblPr>
        <w:tblStyle w:val="TableGrid"/>
        <w:tblW w:w="9360" w:type="dxa"/>
        <w:tblLayout w:type="fixed"/>
        <w:tblLook w:val="04A0" w:firstRow="1" w:lastRow="0" w:firstColumn="1" w:lastColumn="0" w:noHBand="0" w:noVBand="1"/>
      </w:tblPr>
      <w:tblGrid>
        <w:gridCol w:w="2600"/>
        <w:gridCol w:w="3600"/>
        <w:gridCol w:w="3160"/>
      </w:tblGrid>
      <w:tr>
        <w:trPr>
          <w:cantSplit/>
          <w:tblHeader/>
        </w:trPr>
        <w:tc>
          <w:tcPr>
            <w:tcW w:w="26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Assumption</w:t>
            </w:r>
          </w:p>
        </w:tc>
        <w:tc>
          <w:tcPr>
            <w:tcW w:w="36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Why it may fail</w:t>
            </w:r>
          </w:p>
        </w:tc>
        <w:tc>
          <w:tcPr>
            <w:tcW w:w="316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How it is addressed</w:t>
            </w:r>
          </w:p>
        </w:tc>
      </w:tr>
      <w:tr>
        <w:trPr>
          <w:cantSplit/>
        </w:trPr>
        <w:tc>
          <w:tcPr>
            <w:tcW w:w="2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Temporal ordering: FA</w:t>
            </w:r>
            <w:r>
              <w:rPr>
                <w:rFonts w:eastAsia="Times New Roman" w:cs="Times New Roman"/>
                <w:sz w:val="16"/>
                <w:szCs w:val="16"/>
                <w:vertAlign w:val="subscript"/>
              </w:rPr>
              <w:t xml:space="preserve">t</w:t>
            </w:r>
            <w:r>
              <w:rPr>
                <w:rFonts w:eastAsia="Times New Roman" w:cs="Times New Roman"/>
                <w:sz w:val="16"/>
                <w:szCs w:val="16"/>
              </w:rPr>
              <w:t xml:space="preserve"> precedes ID</w:t>
            </w:r>
            <w:r>
              <w:rPr>
                <w:rFonts w:eastAsia="Times New Roman" w:cs="Times New Roman"/>
                <w:sz w:val="16"/>
                <w:szCs w:val="16"/>
                <w:vertAlign w:val="subscript"/>
              </w:rPr>
              <w:t xml:space="preserve">t+1</w:t>
            </w:r>
            <w:r>
              <w:rPr>
                <w:rFonts w:eastAsia="Times New Roman" w:cs="Times New Roman"/>
                <w:sz w:val="16"/>
                <w:szCs w:val="16"/>
              </w:rPr>
              <w:t xml:space="preserve">, which precedes FP</w:t>
            </w:r>
            <w:r>
              <w:rPr>
                <w:rFonts w:eastAsia="Times New Roman" w:cs="Times New Roman"/>
                <w:sz w:val="16"/>
                <w:szCs w:val="16"/>
                <w:vertAlign w:val="subscript"/>
              </w:rPr>
              <w:t xml:space="preserve">t+2</w:t>
            </w:r>
          </w:p>
        </w:tc>
        <w:tc>
          <w:tcPr>
            <w:tcW w:w="3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Investment may be planned before forex is obtained</w:t>
            </w:r>
          </w:p>
        </w:tc>
        <w:tc>
          <w:tcPr>
            <w:tcW w:w="3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Lead–lag structure imposed; alternative lags tested; FA</w:t>
            </w:r>
            <w:r>
              <w:rPr>
                <w:rFonts w:eastAsia="Times New Roman" w:cs="Times New Roman"/>
                <w:sz w:val="16"/>
                <w:szCs w:val="16"/>
                <w:vertAlign w:val="subscript"/>
              </w:rPr>
              <w:t xml:space="preserve">t</w:t>
            </w:r>
            <w:r>
              <w:rPr>
                <w:rFonts w:eastAsia="Times New Roman" w:cs="Times New Roman"/>
                <w:sz w:val="16"/>
                <w:szCs w:val="16"/>
              </w:rPr>
              <w:t xml:space="preserve"> → ID</w:t>
            </w:r>
            <w:r>
              <w:rPr>
                <w:rFonts w:eastAsia="Times New Roman" w:cs="Times New Roman"/>
                <w:sz w:val="16"/>
                <w:szCs w:val="16"/>
                <w:vertAlign w:val="subscript"/>
              </w:rPr>
              <w:t xml:space="preserve">t</w:t>
            </w:r>
            <w:r>
              <w:rPr>
                <w:rFonts w:eastAsia="Times New Roman" w:cs="Times New Roman"/>
                <w:sz w:val="16"/>
                <w:szCs w:val="16"/>
              </w:rPr>
              <w:t xml:space="preserve"> reported as a check for anticipation</w:t>
            </w:r>
          </w:p>
        </w:tc>
      </w:tr>
      <w:tr>
        <w:trPr>
          <w:cantSplit/>
        </w:trPr>
        <w:tc>
          <w:tcPr>
            <w:tcW w:w="2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No unobserved confounding of FA and the outcomes</w:t>
            </w:r>
          </w:p>
        </w:tc>
        <w:tc>
          <w:tcPr>
            <w:tcW w:w="3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Profitable firms with strong bank relationships obtain better access</w:t>
            </w:r>
          </w:p>
        </w:tc>
        <w:tc>
          <w:tcPr>
            <w:tcW w:w="3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Firm and quarter effects; FP</w:t>
            </w:r>
            <w:r>
              <w:rPr>
                <w:rFonts w:eastAsia="Times New Roman" w:cs="Times New Roman"/>
                <w:sz w:val="16"/>
                <w:szCs w:val="16"/>
                <w:vertAlign w:val="subscript"/>
              </w:rPr>
              <w:t xml:space="preserve">it</w:t>
            </w:r>
            <w:r>
              <w:rPr>
                <w:rFonts w:eastAsia="Times New Roman" w:cs="Times New Roman"/>
                <w:sz w:val="16"/>
                <w:szCs w:val="16"/>
              </w:rPr>
              <w:t xml:space="preserve"> and ID</w:t>
            </w:r>
            <w:r>
              <w:rPr>
                <w:rFonts w:eastAsia="Times New Roman" w:cs="Times New Roman"/>
                <w:sz w:val="16"/>
                <w:szCs w:val="16"/>
                <w:vertAlign w:val="subscript"/>
              </w:rPr>
              <w:t xml:space="preserve">it</w:t>
            </w:r>
            <w:r>
              <w:rPr>
                <w:rFonts w:eastAsia="Times New Roman" w:cs="Times New Roman"/>
                <w:sz w:val="16"/>
                <w:szCs w:val="16"/>
              </w:rPr>
              <w:t xml:space="preserve"> as controls; GMM instruments for FA</w:t>
            </w:r>
          </w:p>
        </w:tc>
      </w:tr>
      <w:tr>
        <w:trPr>
          <w:cantSplit/>
        </w:trPr>
        <w:tc>
          <w:tcPr>
            <w:tcW w:w="2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No unobserved confounding of ID and later FP</w:t>
            </w:r>
          </w:p>
        </w:tc>
        <w:tc>
          <w:tcPr>
            <w:tcW w:w="3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Contracts, management changes or demand shocks drive both investment and profit</w:t>
            </w:r>
          </w:p>
        </w:tc>
        <w:tc>
          <w:tcPr>
            <w:tcW w:w="3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Controls for FP</w:t>
            </w:r>
            <w:r>
              <w:rPr>
                <w:rFonts w:eastAsia="Times New Roman" w:cs="Times New Roman"/>
                <w:sz w:val="16"/>
                <w:szCs w:val="16"/>
                <w:vertAlign w:val="subscript"/>
              </w:rPr>
              <w:t xml:space="preserve">it</w:t>
            </w:r>
            <w:r>
              <w:rPr>
                <w:rFonts w:eastAsia="Times New Roman" w:cs="Times New Roman"/>
                <w:sz w:val="16"/>
                <w:szCs w:val="16"/>
              </w:rPr>
              <w:t xml:space="preserve">, ID</w:t>
            </w:r>
            <w:r>
              <w:rPr>
                <w:rFonts w:eastAsia="Times New Roman" w:cs="Times New Roman"/>
                <w:sz w:val="16"/>
                <w:szCs w:val="16"/>
                <w:vertAlign w:val="subscript"/>
              </w:rPr>
              <w:t xml:space="preserve">it</w:t>
            </w:r>
            <w:r>
              <w:rPr>
                <w:rFonts w:eastAsia="Times New Roman" w:cs="Times New Roman"/>
                <w:sz w:val="16"/>
                <w:szCs w:val="16"/>
              </w:rPr>
              <w:t xml:space="preserve">, LV and FR; sensitivity analysis on ρ (below)</w:t>
            </w:r>
          </w:p>
        </w:tc>
      </w:tr>
      <w:tr>
        <w:trPr>
          <w:cantSplit/>
        </w:trPr>
        <w:tc>
          <w:tcPr>
            <w:tcW w:w="2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No confounder of ID and FP that is itself caused by FA</w:t>
            </w:r>
          </w:p>
        </w:tc>
        <w:tc>
          <w:tcPr>
            <w:tcW w:w="3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Forex access changes liquidity at t+1, which affects both investment and profit</w:t>
            </w:r>
          </w:p>
        </w:tc>
        <w:tc>
          <w:tcPr>
            <w:tcW w:w="3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Equation (9) estimated with and without LV</w:t>
            </w:r>
            <w:r>
              <w:rPr>
                <w:rFonts w:eastAsia="Times New Roman" w:cs="Times New Roman"/>
                <w:sz w:val="16"/>
                <w:szCs w:val="16"/>
                <w:vertAlign w:val="subscript"/>
              </w:rPr>
              <w:t xml:space="preserve">i,t+1</w:t>
            </w:r>
            <w:r>
              <w:rPr>
                <w:rFonts w:eastAsia="Times New Roman" w:cs="Times New Roman"/>
                <w:sz w:val="16"/>
                <w:szCs w:val="16"/>
              </w:rPr>
              <w:t xml:space="preserve"> and FR</w:t>
            </w:r>
            <w:r>
              <w:rPr>
                <w:rFonts w:eastAsia="Times New Roman" w:cs="Times New Roman"/>
                <w:sz w:val="16"/>
                <w:szCs w:val="16"/>
                <w:vertAlign w:val="subscript"/>
              </w:rPr>
              <w:t xml:space="preserve">i,t+1</w:t>
            </w:r>
            <w:r>
              <w:rPr>
                <w:rFonts w:eastAsia="Times New Roman" w:cs="Times New Roman"/>
                <w:sz w:val="16"/>
                <w:szCs w:val="16"/>
              </w:rPr>
              <w:t xml:space="preserve">; both reported</w:t>
            </w:r>
          </w:p>
        </w:tc>
      </w:tr>
      <w:tr>
        <w:trPr>
          <w:cantSplit/>
        </w:trPr>
        <w:tc>
          <w:tcPr>
            <w:tcW w:w="2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Correct functional form (no FA × ID interaction)</w:t>
            </w:r>
          </w:p>
        </w:tc>
        <w:tc>
          <w:tcPr>
            <w:tcW w:w="36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The return to investment may depend on forex access</w:t>
            </w:r>
          </w:p>
        </w:tc>
        <w:tc>
          <w:tcPr>
            <w:tcW w:w="31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FA</w:t>
            </w:r>
            <w:r>
              <w:rPr>
                <w:rFonts w:eastAsia="Times New Roman" w:cs="Times New Roman"/>
                <w:sz w:val="16"/>
                <w:szCs w:val="16"/>
                <w:vertAlign w:val="subscript"/>
              </w:rPr>
              <w:t xml:space="preserve">it</w:t>
            </w:r>
            <w:r>
              <w:rPr>
                <w:rFonts w:eastAsia="Times New Roman" w:cs="Times New Roman"/>
                <w:sz w:val="16"/>
                <w:szCs w:val="16"/>
              </w:rPr>
              <w:t xml:space="preserve"> × ID</w:t>
            </w:r>
            <w:r>
              <w:rPr>
                <w:rFonts w:eastAsia="Times New Roman" w:cs="Times New Roman"/>
                <w:sz w:val="16"/>
                <w:szCs w:val="16"/>
                <w:vertAlign w:val="subscript"/>
              </w:rPr>
              <w:t xml:space="preserve">i,t+1</w:t>
            </w:r>
            <w:r>
              <w:rPr>
                <w:rFonts w:eastAsia="Times New Roman" w:cs="Times New Roman"/>
                <w:sz w:val="16"/>
                <w:szCs w:val="16"/>
              </w:rPr>
              <w:t xml:space="preserve"> added to Equation (9) as a check</w:t>
            </w:r>
          </w:p>
        </w:tc>
      </w:tr>
    </w:tbl>
    <w:p>
      <w:pPr>
        <w:spacing w:before="60" w:after="240"/>
        <w:jc w:val="left"/>
      </w:pPr>
      <w:r>
        <w:rPr>
          <w:rFonts w:eastAsia="Times New Roman" w:cs="Times New Roman"/>
          <w:i/>
          <w:iCs/>
          <w:sz w:val="20"/>
          <w:szCs w:val="20"/>
        </w:rPr>
        <w:t xml:space="preserve">Source: Author's construct (2026), based on Imai et al. (2010).</w:t>
      </w:r>
    </w:p>
    <w:p>
      <w:pPr>
        <w:spacing w:after="240" w:line="480" w:lineRule="auto"/>
        <w:jc w:val="both"/>
      </w:pPr>
      <w:r>
        <w:rPr>
          <w:rFonts w:eastAsia="Times New Roman" w:cs="Times New Roman"/>
          <w:b/>
          <w:bCs/>
        </w:rPr>
        <w:t xml:space="preserve">Sensitivity analysis and language.</w:t>
      </w:r>
      <w:r>
        <w:rPr>
          <w:rFonts w:eastAsia="Times New Roman" w:cs="Times New Roman"/>
        </w:rPr>
        <w:t xml:space="preserve"> Because assumption (ii) cannot be tested, the study reports the sensitivity analysis of Imai et al. (2010), implemented in the mediation package (Tingley et al., 2014) on the fixed-effects version of Equations (8) and (9): it gives the correlation ρ between the residuals of the two equations at which the indirect effect would fall to zero. This value is compared with the residual correlation that would be induced by omitting the strongest observed confounder, current performance FP</w:t>
      </w:r>
      <w:r>
        <w:rPr>
          <w:rFonts w:eastAsia="Times New Roman" w:cs="Times New Roman"/>
          <w:vertAlign w:val="subscript"/>
        </w:rPr>
        <w:t xml:space="preserve">it</w:t>
      </w:r>
      <w:r>
        <w:rPr>
          <w:rFonts w:eastAsia="Times New Roman" w:cs="Times New Roman"/>
        </w:rPr>
        <w:t xml:space="preserve">. The estimate is described as an indirect association through investment throughout. It is described as mediation in the causal sense only if (i) a</w:t>
      </w:r>
      <w:r>
        <w:rPr>
          <w:rFonts w:eastAsia="Times New Roman" w:cs="Times New Roman"/>
          <w:vertAlign w:val="subscript"/>
        </w:rPr>
        <w:t xml:space="preserve">1</w:t>
      </w:r>
      <w:r>
        <w:rPr>
          <w:rFonts w:eastAsia="Times New Roman" w:cs="Times New Roman"/>
        </w:rPr>
        <w:t xml:space="preserve"> and b</w:t>
      </w:r>
      <w:r>
        <w:rPr>
          <w:rFonts w:eastAsia="Times New Roman" w:cs="Times New Roman"/>
          <w:vertAlign w:val="subscript"/>
        </w:rPr>
        <w:t xml:space="preserve">1</w:t>
      </w:r>
      <w:r>
        <w:rPr>
          <w:rFonts w:eastAsia="Times New Roman" w:cs="Times New Roman"/>
        </w:rPr>
        <w:t xml:space="preserve"> are each significant and robust to the alternative lag structures, (ii) the confidence interval of a</w:t>
      </w:r>
      <w:r>
        <w:rPr>
          <w:rFonts w:eastAsia="Times New Roman" w:cs="Times New Roman"/>
          <w:vertAlign w:val="subscript"/>
        </w:rPr>
        <w:t xml:space="preserve">1</w:t>
      </w:r>
      <w:r>
        <w:rPr>
          <w:rFonts w:eastAsia="Times New Roman" w:cs="Times New Roman"/>
        </w:rPr>
        <w:t xml:space="preserve"> × b</w:t>
      </w:r>
      <w:r>
        <w:rPr>
          <w:rFonts w:eastAsia="Times New Roman" w:cs="Times New Roman"/>
          <w:vertAlign w:val="subscript"/>
        </w:rPr>
        <w:t xml:space="preserve">1</w:t>
      </w:r>
      <w:r>
        <w:rPr>
          <w:rFonts w:eastAsia="Times New Roman" w:cs="Times New Roman"/>
        </w:rPr>
        <w:t xml:space="preserve"> excludes zero, and (iii) the value of ρ needed to remove the indirect effect is larger than the correlation induced by omitting FP</w:t>
      </w:r>
      <w:r>
        <w:rPr>
          <w:rFonts w:eastAsia="Times New Roman" w:cs="Times New Roman"/>
          <w:vertAlign w:val="subscript"/>
        </w:rPr>
        <w:t xml:space="preserve">it</w:t>
      </w:r>
      <w:r>
        <w:rPr>
          <w:rFonts w:eastAsia="Times New Roman" w:cs="Times New Roman"/>
        </w:rPr>
        <w:t xml:space="preserve">. The terms full and partial mediation are not used, because they depend on statistical power rather than on the size of the effects (Hayes, 2018).</w:t>
      </w:r>
    </w:p>
    <w:p w14:paraId="1407BDA9" w14:textId="77777777" w:rsidR="002363FE" w:rsidRDefault="00CC0653">
      <w:pPr>
        <w:pStyle w:val="Heading3"/>
      </w:pPr>
      <w:bookmarkStart w:id="80" w:name="_TocRev080"/>
      <w:r>
        <w:t>3.10.6 Model 5: Moderation by Financial Risk</w:t>
      </w:r>
      <w:bookmarkEnd w:id="80"/>
    </w:p>
    <w:p w14:paraId="0803AC6D" w14:textId="77777777" w:rsidR="002363FE" w:rsidRDefault="00CC0653">
      <w:pPr>
        <w:spacing w:after="240" w:line="480" w:lineRule="auto"/>
      </w:pPr>
      <w:r>
        <w:rPr>
          <w:rFonts w:eastAsia="Times New Roman" w:cs="Times New Roman"/>
        </w:rPr>
        <w:t xml:space="preserve">To test H5a, H5b and H5c separately, the main model is extended with three interaction terms. Financial risk is entered at t−1 in the interactions to limit reverse causality from current performance to measured risk, and all continuous variables are mean-centred before the interactions are formed (Aiken &amp; West, 1991):</w:t>
      </w:r>
    </w:p>
    <w:p>
      <w:pPr>
        <w:spacing w:before="120" w:after="240" w:line="360" w:lineRule="auto"/>
        <w:jc w:val="center"/>
      </w:pPr>
      <w:r>
        <w:rPr>
          <w:rFonts w:eastAsia="Times New Roman" w:cs="Times New Roman"/>
          <w:i/>
          <w:iCs/>
        </w:rPr>
        <w:t xml:space="preserve">FP</w:t>
      </w:r>
      <w:r>
        <w:rPr>
          <w:rFonts w:eastAsia="Times New Roman" w:cs="Times New Roman"/>
          <w:i/>
          <w:iCs/>
          <w:vertAlign w:val="subscript"/>
        </w:rPr>
        <w:t xml:space="preserve">it</w:t>
      </w:r>
      <w:r>
        <w:rPr>
          <w:rFonts w:eastAsia="Times New Roman" w:cs="Times New Roman"/>
          <w:i/>
          <w:iCs/>
        </w:rPr>
        <w:t xml:space="preserve"> = Model (4) + θ</w:t>
      </w:r>
      <w:r>
        <w:rPr>
          <w:rFonts w:eastAsia="Times New Roman" w:cs="Times New Roman"/>
          <w:i/>
          <w:iCs/>
          <w:vertAlign w:val="subscript"/>
        </w:rPr>
        <w:t xml:space="preserve">1</w:t>
      </w:r>
      <w:r>
        <w:rPr>
          <w:rFonts w:eastAsia="Times New Roman" w:cs="Times New Roman"/>
          <w:i/>
          <w:iCs/>
        </w:rPr>
        <w:t xml:space="preserve">(FA</w:t>
      </w:r>
      <w:r>
        <w:rPr>
          <w:rFonts w:eastAsia="Times New Roman" w:cs="Times New Roman"/>
          <w:i/>
          <w:iCs/>
          <w:vertAlign w:val="subscript"/>
        </w:rPr>
        <w:t xml:space="preserve">it</w:t>
      </w:r>
      <w:r>
        <w:rPr>
          <w:rFonts w:eastAsia="Times New Roman" w:cs="Times New Roman"/>
          <w:i/>
          <w:iCs/>
        </w:rPr>
        <w:t xml:space="preserve"> × FR</w:t>
      </w:r>
      <w:r>
        <w:rPr>
          <w:rFonts w:eastAsia="Times New Roman" w:cs="Times New Roman"/>
          <w:i/>
          <w:iCs/>
          <w:vertAlign w:val="subscript"/>
        </w:rPr>
        <w:t xml:space="preserve">i,t−1</w:t>
      </w:r>
      <w:r>
        <w:rPr>
          <w:rFonts w:eastAsia="Times New Roman" w:cs="Times New Roman"/>
          <w:i/>
          <w:iCs/>
        </w:rPr>
        <w:t xml:space="preserve">) + θ</w:t>
      </w:r>
      <w:r>
        <w:rPr>
          <w:rFonts w:eastAsia="Times New Roman" w:cs="Times New Roman"/>
          <w:i/>
          <w:iCs/>
          <w:vertAlign w:val="subscript"/>
        </w:rPr>
        <w:t xml:space="preserve">2</w:t>
      </w:r>
      <w:r>
        <w:rPr>
          <w:rFonts w:eastAsia="Times New Roman" w:cs="Times New Roman"/>
          <w:i/>
          <w:iCs/>
        </w:rPr>
        <w:t xml:space="preserve">(LV</w:t>
      </w:r>
      <w:r>
        <w:rPr>
          <w:rFonts w:eastAsia="Times New Roman" w:cs="Times New Roman"/>
          <w:i/>
          <w:iCs/>
          <w:vertAlign w:val="subscript"/>
        </w:rPr>
        <w:t xml:space="preserve">it</w:t>
      </w:r>
      <w:r>
        <w:rPr>
          <w:rFonts w:eastAsia="Times New Roman" w:cs="Times New Roman"/>
          <w:i/>
          <w:iCs/>
        </w:rPr>
        <w:t xml:space="preserve"> × FR</w:t>
      </w:r>
      <w:r>
        <w:rPr>
          <w:rFonts w:eastAsia="Times New Roman" w:cs="Times New Roman"/>
          <w:i/>
          <w:iCs/>
          <w:vertAlign w:val="subscript"/>
        </w:rPr>
        <w:t xml:space="preserve">i,t−1</w:t>
      </w:r>
      <w:r>
        <w:rPr>
          <w:rFonts w:eastAsia="Times New Roman" w:cs="Times New Roman"/>
          <w:i/>
          <w:iCs/>
        </w:rPr>
        <w:t xml:space="preserve">) + θ</w:t>
      </w:r>
      <w:r>
        <w:rPr>
          <w:rFonts w:eastAsia="Times New Roman" w:cs="Times New Roman"/>
          <w:i/>
          <w:iCs/>
          <w:vertAlign w:val="subscript"/>
        </w:rPr>
        <w:t xml:space="preserve">3</w:t>
      </w:r>
      <w:r>
        <w:rPr>
          <w:rFonts w:eastAsia="Times New Roman" w:cs="Times New Roman"/>
          <w:i/>
          <w:iCs/>
        </w:rPr>
        <w:t xml:space="preserve">(EXRV</w:t>
      </w:r>
      <w:r>
        <w:rPr>
          <w:rFonts w:eastAsia="Times New Roman" w:cs="Times New Roman"/>
          <w:i/>
          <w:iCs/>
          <w:vertAlign w:val="subscript"/>
        </w:rPr>
        <w:t xml:space="preserve">t</w:t>
      </w:r>
      <w:r>
        <w:rPr>
          <w:rFonts w:eastAsia="Times New Roman" w:cs="Times New Roman"/>
          <w:i/>
          <w:iCs/>
        </w:rPr>
        <w:t xml:space="preserve"> × FR</w:t>
      </w:r>
      <w:r>
        <w:rPr>
          <w:rFonts w:eastAsia="Times New Roman" w:cs="Times New Roman"/>
          <w:i/>
          <w:iCs/>
          <w:vertAlign w:val="subscript"/>
        </w:rPr>
        <w:t xml:space="preserve">i,t−1</w:t>
      </w:r>
      <w:r>
        <w:rPr>
          <w:rFonts w:eastAsia="Times New Roman" w:cs="Times New Roman"/>
          <w:i/>
          <w:iCs/>
        </w:rPr>
        <w:t xml:space="preserve">)          (11)</w:t>
      </w:r>
    </w:p>
    <w:p w14:paraId="1B4B3EFF" w14:textId="77777777" w:rsidR="002363FE" w:rsidRDefault="00CC0653">
      <w:pPr>
        <w:spacing w:after="240" w:line="480" w:lineRule="auto"/>
      </w:pPr>
      <w:r>
        <w:rPr>
          <w:rFonts w:eastAsia="Times New Roman" w:cs="Times New Roman"/>
        </w:rPr>
        <w:t xml:space="preserve">H5a predicts θ</w:t>
      </w:r>
      <w:r>
        <w:rPr>
          <w:rFonts w:eastAsia="Times New Roman" w:cs="Times New Roman"/>
          <w:vertAlign w:val="subscript"/>
        </w:rPr>
        <w:t xml:space="preserve">1</w:t>
      </w:r>
      <w:r>
        <w:rPr>
          <w:rFonts w:eastAsia="Times New Roman" w:cs="Times New Roman"/>
        </w:rPr>
        <w:t xml:space="preserve"> &lt; 0, H5b predicts θ</w:t>
      </w:r>
      <w:r>
        <w:rPr>
          <w:rFonts w:eastAsia="Times New Roman" w:cs="Times New Roman"/>
          <w:vertAlign w:val="subscript"/>
        </w:rPr>
        <w:t xml:space="preserve">2</w:t>
      </w:r>
      <w:r>
        <w:rPr>
          <w:rFonts w:eastAsia="Times New Roman" w:cs="Times New Roman"/>
        </w:rPr>
        <w:t xml:space="preserve"> &lt; 0 and H5c predicts θ</w:t>
      </w:r>
      <w:r>
        <w:rPr>
          <w:rFonts w:eastAsia="Times New Roman" w:cs="Times New Roman"/>
          <w:vertAlign w:val="subscript"/>
        </w:rPr>
        <w:t xml:space="preserve">3</w:t>
      </w:r>
      <w:r>
        <w:rPr>
          <w:rFonts w:eastAsia="Times New Roman" w:cs="Times New Roman"/>
        </w:rPr>
        <w:t xml:space="preserve"> &lt; 0. Because EXRV</w:t>
      </w:r>
      <w:r>
        <w:rPr>
          <w:rFonts w:eastAsia="Times New Roman" w:cs="Times New Roman"/>
          <w:vertAlign w:val="subscript"/>
        </w:rPr>
        <w:t xml:space="preserve">t</w:t>
      </w:r>
      <w:r>
        <w:rPr>
          <w:rFonts w:eastAsia="Times New Roman" w:cs="Times New Roman"/>
        </w:rPr>
        <w:t xml:space="preserve"> × FR</w:t>
      </w:r>
      <w:r>
        <w:rPr>
          <w:rFonts w:eastAsia="Times New Roman" w:cs="Times New Roman"/>
          <w:vertAlign w:val="subscript"/>
        </w:rPr>
        <w:t xml:space="preserve">i,t−1</w:t>
      </w:r>
      <w:r>
        <w:rPr>
          <w:rFonts w:eastAsia="Times New Roman" w:cs="Times New Roman"/>
        </w:rPr>
        <w:t xml:space="preserve"> varies across firms within a quarter, θ</w:t>
      </w:r>
      <w:r>
        <w:rPr>
          <w:rFonts w:eastAsia="Times New Roman" w:cs="Times New Roman"/>
          <w:vertAlign w:val="subscript"/>
        </w:rPr>
        <w:t xml:space="preserve">3</w:t>
      </w:r>
      <w:r>
        <w:rPr>
          <w:rFonts w:eastAsia="Times New Roman" w:cs="Times New Roman"/>
        </w:rPr>
        <w:t xml:space="preserve"> is identified with the full quarter effects, in the same way as the exposure interaction; it measures how much more a given volatility shock lowers the performance of firms with higher financial risk. Because the interaction coefficients alone do not show where the effects are significant, the study interprets the marginal effects: ∂FP/∂FA = β</w:t>
      </w:r>
      <w:r>
        <w:rPr>
          <w:rFonts w:eastAsia="Times New Roman" w:cs="Times New Roman"/>
          <w:vertAlign w:val="subscript"/>
        </w:rPr>
        <w:t xml:space="preserve">1</w:t>
      </w:r>
      <w:r>
        <w:rPr>
          <w:rFonts w:eastAsia="Times New Roman" w:cs="Times New Roman"/>
        </w:rPr>
        <w:t xml:space="preserve"> + θ</w:t>
      </w:r>
      <w:r>
        <w:rPr>
          <w:rFonts w:eastAsia="Times New Roman" w:cs="Times New Roman"/>
          <w:vertAlign w:val="subscript"/>
        </w:rPr>
        <w:t xml:space="preserve">1</w:t>
      </w:r>
      <w:r>
        <w:rPr>
          <w:rFonts w:eastAsia="Times New Roman" w:cs="Times New Roman"/>
        </w:rPr>
        <w:t xml:space="preserve">FR, ∂FP/∂LV = β</w:t>
      </w:r>
      <w:r>
        <w:rPr>
          <w:rFonts w:eastAsia="Times New Roman" w:cs="Times New Roman"/>
          <w:vertAlign w:val="subscript"/>
        </w:rPr>
        <w:t xml:space="preserve">2</w:t>
      </w:r>
      <w:r>
        <w:rPr>
          <w:rFonts w:eastAsia="Times New Roman" w:cs="Times New Roman"/>
        </w:rPr>
        <w:t xml:space="preserve"> + 2β</w:t>
      </w:r>
      <w:r>
        <w:rPr>
          <w:rFonts w:eastAsia="Times New Roman" w:cs="Times New Roman"/>
          <w:vertAlign w:val="subscript"/>
        </w:rPr>
        <w:t xml:space="preserve">3</w:t>
      </w:r>
      <w:r>
        <w:rPr>
          <w:rFonts w:eastAsia="Times New Roman" w:cs="Times New Roman"/>
        </w:rPr>
        <w:t xml:space="preserve">LV + θ</w:t>
      </w:r>
      <w:r>
        <w:rPr>
          <w:rFonts w:eastAsia="Times New Roman" w:cs="Times New Roman"/>
          <w:vertAlign w:val="subscript"/>
        </w:rPr>
        <w:t xml:space="preserve">2</w:t>
      </w:r>
      <w:r>
        <w:rPr>
          <w:rFonts w:eastAsia="Times New Roman" w:cs="Times New Roman"/>
        </w:rPr>
        <w:t xml:space="preserve">FR and, relative to the quarter mean that is absorbed by λ</w:t>
      </w:r>
      <w:r>
        <w:rPr>
          <w:rFonts w:eastAsia="Times New Roman" w:cs="Times New Roman"/>
          <w:vertAlign w:val="subscript"/>
        </w:rPr>
        <w:t xml:space="preserve">t</w:t>
      </w:r>
      <w:r>
        <w:rPr>
          <w:rFonts w:eastAsia="Times New Roman" w:cs="Times New Roman"/>
        </w:rPr>
        <w:t xml:space="preserve">, ∂FP/∂EXRV = β</w:t>
      </w:r>
      <w:r>
        <w:rPr>
          <w:rFonts w:eastAsia="Times New Roman" w:cs="Times New Roman"/>
          <w:vertAlign w:val="subscript"/>
        </w:rPr>
        <w:t xml:space="preserve">5</w:t>
      </w:r>
      <w:r>
        <w:rPr>
          <w:rFonts w:eastAsia="Times New Roman" w:cs="Times New Roman"/>
        </w:rPr>
        <w:t xml:space="preserve">FXE + θ</w:t>
      </w:r>
      <w:r>
        <w:rPr>
          <w:rFonts w:eastAsia="Times New Roman" w:cs="Times New Roman"/>
          <w:vertAlign w:val="subscript"/>
        </w:rPr>
        <w:t xml:space="preserve">3</w:t>
      </w:r>
      <w:r>
        <w:rPr>
          <w:rFonts w:eastAsia="Times New Roman" w:cs="Times New Roman"/>
        </w:rPr>
        <w:t xml:space="preserve">FR. These are evaluated at low, mean and high levels of financial risk (one standard deviation below the mean, the mean and one standard deviation above), and Johnson–Neyman intervals identify the levels of financial risk at which each effect changes significance (Hayes, 2018).</w:t>
      </w:r>
    </w:p>
    <w:p w14:paraId="30BC79A1" w14:textId="77777777" w:rsidR="002363FE" w:rsidRDefault="00CC0653">
      <w:pPr>
        <w:spacing w:after="240" w:line="480" w:lineRule="auto"/>
      </w:pPr>
      <w:r>
        <w:rPr>
          <w:rFonts w:eastAsia="Times New Roman" w:cs="Times New Roman"/>
        </w:rPr>
        <w:t>Whether financial risk also changes the size of the indirect (mediated) effect, which would require an interaction in the path-a equation and an index of moderated mediation (Hayes, 2015), is examined as an extension rather than as a core hypothesis.</w:t>
      </w:r>
    </w:p>
    <w:p w14:paraId="4992E9C8" w14:textId="77777777" w:rsidR="002363FE" w:rsidRDefault="00CC0653">
      <w:pPr>
        <w:pStyle w:val="Heading3"/>
      </w:pPr>
      <w:bookmarkStart w:id="81" w:name="_TocRev081"/>
      <w:r>
        <w:t>3.10.7 Model 6: Panel VAR and ARIMAX for Dynamic Interdependence</w:t>
      </w:r>
      <w:bookmarkEnd w:id="81"/>
    </w:p>
    <w:p w14:paraId="241F84C2" w14:textId="77777777" w:rsidR="002363FE" w:rsidRDefault="00CC0653">
      <w:pPr>
        <w:spacing w:after="240" w:line="480" w:lineRule="auto"/>
      </w:pPr>
      <w:r>
        <w:rPr>
          <w:rFonts w:eastAsia="Times New Roman" w:cs="Times New Roman"/>
        </w:rPr>
        <w:t xml:space="preserve">The fifth objective and H6 are addressed with two complementary supporting models, estimated only under the conditions in Table 3.5. </w:t>
      </w:r>
      <w:r>
        <w:rPr>
          <w:rFonts w:eastAsia="Times New Roman" w:cs="Times New Roman"/>
          <w:b/>
          <w:bCs/>
        </w:rPr>
        <w:t>Panel VAR.</w:t>
      </w:r>
      <w:r>
        <w:rPr>
          <w:rFonts w:eastAsia="Times New Roman" w:cs="Times New Roman"/>
        </w:rPr>
        <w:t xml:space="preserve"> The vector of firm-level variables Y</w:t>
      </w:r>
      <w:r>
        <w:rPr>
          <w:rFonts w:eastAsia="Times New Roman" w:cs="Times New Roman"/>
          <w:vertAlign w:val="subscript"/>
        </w:rPr>
        <w:t>it</w:t>
      </w:r>
      <w:r>
        <w:rPr>
          <w:rFonts w:eastAsia="Times New Roman" w:cs="Times New Roman"/>
        </w:rPr>
        <w:t xml:space="preserve"> = [FA</w:t>
      </w:r>
      <w:r>
        <w:rPr>
          <w:rFonts w:eastAsia="Times New Roman" w:cs="Times New Roman"/>
          <w:vertAlign w:val="subscript"/>
        </w:rPr>
        <w:t>it</w:t>
      </w:r>
      <w:r>
        <w:rPr>
          <w:rFonts w:eastAsia="Times New Roman" w:cs="Times New Roman"/>
        </w:rPr>
        <w:t>, LV</w:t>
      </w:r>
      <w:r>
        <w:rPr>
          <w:rFonts w:eastAsia="Times New Roman" w:cs="Times New Roman"/>
          <w:vertAlign w:val="subscript"/>
        </w:rPr>
        <w:t>it</w:t>
      </w:r>
      <w:r>
        <w:rPr>
          <w:rFonts w:eastAsia="Times New Roman" w:cs="Times New Roman"/>
        </w:rPr>
        <w:t>, ID</w:t>
      </w:r>
      <w:r>
        <w:rPr>
          <w:rFonts w:eastAsia="Times New Roman" w:cs="Times New Roman"/>
          <w:vertAlign w:val="subscript"/>
        </w:rPr>
        <w:t>it</w:t>
      </w:r>
      <w:r>
        <w:rPr>
          <w:rFonts w:eastAsia="Times New Roman" w:cs="Times New Roman"/>
        </w:rPr>
        <w:t>, FP</w:t>
      </w:r>
      <w:r>
        <w:rPr>
          <w:rFonts w:eastAsia="Times New Roman" w:cs="Times New Roman"/>
          <w:vertAlign w:val="subscript"/>
        </w:rPr>
        <w:t>it</w:t>
      </w:r>
      <w:r>
        <w:rPr>
          <w:rFonts w:eastAsia="Times New Roman" w:cs="Times New Roman"/>
        </w:rPr>
        <w:t>]′ is modelled as:</w:t>
      </w:r>
    </w:p>
    <w:p w14:paraId="6834DDEA" w14:textId="77777777" w:rsidR="002363FE" w:rsidRDefault="00CC0653">
      <w:pPr>
        <w:spacing w:before="120" w:after="240" w:line="360" w:lineRule="auto"/>
        <w:jc w:val="center"/>
      </w:pPr>
      <w:r>
        <w:rPr>
          <w:rFonts w:eastAsia="Times New Roman" w:cs="Times New Roman"/>
          <w:i/>
          <w:iCs/>
        </w:rPr>
        <w:lastRenderedPageBreak/>
        <w:t>Y</w:t>
      </w:r>
      <w:r>
        <w:rPr>
          <w:rFonts w:eastAsia="Times New Roman" w:cs="Times New Roman"/>
          <w:i/>
          <w:iCs/>
          <w:vertAlign w:val="subscript"/>
        </w:rPr>
        <w:t>it</w:t>
      </w:r>
      <w:r>
        <w:rPr>
          <w:rFonts w:eastAsia="Times New Roman" w:cs="Times New Roman"/>
          <w:i/>
          <w:iCs/>
        </w:rPr>
        <w:t xml:space="preserve"> = Σ</w:t>
      </w:r>
      <w:r>
        <w:rPr>
          <w:rFonts w:eastAsia="Times New Roman" w:cs="Times New Roman"/>
          <w:i/>
          <w:iCs/>
          <w:vertAlign w:val="subscript"/>
        </w:rPr>
        <w:t>l=1</w:t>
      </w:r>
      <w:r>
        <w:rPr>
          <w:rFonts w:eastAsia="Times New Roman" w:cs="Times New Roman"/>
          <w:i/>
          <w:iCs/>
          <w:vertAlign w:val="superscript"/>
        </w:rPr>
        <w:t>p</w:t>
      </w:r>
      <w:r>
        <w:rPr>
          <w:rFonts w:eastAsia="Times New Roman" w:cs="Times New Roman"/>
          <w:i/>
          <w:iCs/>
        </w:rPr>
        <w:t xml:space="preserve"> A</w:t>
      </w:r>
      <w:r>
        <w:rPr>
          <w:rFonts w:eastAsia="Times New Roman" w:cs="Times New Roman"/>
          <w:i/>
          <w:iCs/>
          <w:vertAlign w:val="subscript"/>
        </w:rPr>
        <w:t>l</w:t>
      </w:r>
      <w:r>
        <w:rPr>
          <w:rFonts w:eastAsia="Times New Roman" w:cs="Times New Roman"/>
          <w:i/>
          <w:iCs/>
        </w:rPr>
        <w:t>Y</w:t>
      </w:r>
      <w:r>
        <w:rPr>
          <w:rFonts w:eastAsia="Times New Roman" w:cs="Times New Roman"/>
          <w:i/>
          <w:iCs/>
          <w:vertAlign w:val="subscript"/>
        </w:rPr>
        <w:t>i,t−l</w:t>
      </w:r>
      <w:r>
        <w:rPr>
          <w:rFonts w:eastAsia="Times New Roman" w:cs="Times New Roman"/>
          <w:i/>
          <w:iCs/>
        </w:rPr>
        <w:t xml:space="preserve"> + BEXRV</w:t>
      </w:r>
      <w:r>
        <w:rPr>
          <w:rFonts w:eastAsia="Times New Roman" w:cs="Times New Roman"/>
          <w:i/>
          <w:iCs/>
          <w:vertAlign w:val="subscript"/>
        </w:rPr>
        <w:t>t</w:t>
      </w:r>
      <w:r>
        <w:rPr>
          <w:rFonts w:eastAsia="Times New Roman" w:cs="Times New Roman"/>
          <w:i/>
          <w:iCs/>
        </w:rPr>
        <w:t xml:space="preserve"> + μ</w:t>
      </w:r>
      <w:r>
        <w:rPr>
          <w:rFonts w:eastAsia="Times New Roman" w:cs="Times New Roman"/>
          <w:i/>
          <w:iCs/>
          <w:vertAlign w:val="subscript"/>
        </w:rPr>
        <w:t>i</w:t>
      </w:r>
      <w:r>
        <w:rPr>
          <w:rFonts w:eastAsia="Times New Roman" w:cs="Times New Roman"/>
          <w:i/>
          <w:iCs/>
        </w:rPr>
        <w:t xml:space="preserve"> + e</w:t>
      </w:r>
      <w:r>
        <w:rPr>
          <w:rFonts w:eastAsia="Times New Roman" w:cs="Times New Roman"/>
          <w:i/>
          <w:iCs/>
          <w:vertAlign w:val="subscript"/>
        </w:rPr>
        <w:t>it</w:t>
      </w:r>
      <w:r>
        <w:rPr>
          <w:rFonts w:eastAsia="Times New Roman" w:cs="Times New Roman"/>
          <w:i/>
          <w:iCs/>
        </w:rPr>
        <w:t xml:space="preserve">          (12)</w:t>
      </w:r>
    </w:p>
    <w:p w14:paraId="4F32593C" w14:textId="77777777" w:rsidR="002363FE" w:rsidRDefault="00CC0653">
      <w:pPr>
        <w:spacing w:after="240" w:line="480" w:lineRule="auto"/>
      </w:pPr>
      <w:r>
        <w:rPr>
          <w:rFonts w:eastAsia="Times New Roman" w:cs="Times New Roman"/>
        </w:rPr>
        <w:t>where A</w:t>
      </w:r>
      <w:r>
        <w:rPr>
          <w:rFonts w:eastAsia="Times New Roman" w:cs="Times New Roman"/>
          <w:vertAlign w:val="subscript"/>
        </w:rPr>
        <w:t>l</w:t>
      </w:r>
      <w:r>
        <w:rPr>
          <w:rFonts w:eastAsia="Times New Roman" w:cs="Times New Roman"/>
        </w:rPr>
        <w:t xml:space="preserve"> are coefficient matrices, EXRV</w:t>
      </w:r>
      <w:r>
        <w:rPr>
          <w:rFonts w:eastAsia="Times New Roman" w:cs="Times New Roman"/>
          <w:vertAlign w:val="subscript"/>
        </w:rPr>
        <w:t>t</w:t>
      </w:r>
      <w:r>
        <w:rPr>
          <w:rFonts w:eastAsia="Times New Roman" w:cs="Times New Roman"/>
        </w:rPr>
        <w:t xml:space="preserve"> enters as an exogenous common shock, and μ</w:t>
      </w:r>
      <w:r>
        <w:rPr>
          <w:rFonts w:eastAsia="Times New Roman" w:cs="Times New Roman"/>
          <w:vertAlign w:val="subscript"/>
        </w:rPr>
        <w:t>i</w:t>
      </w:r>
      <w:r>
        <w:rPr>
          <w:rFonts w:eastAsia="Times New Roman" w:cs="Times New Roman"/>
        </w:rPr>
        <w:t xml:space="preserve"> are firm effects removed by forward orthogonal deviations. The model is estimated by GMM (Love &amp; Zicchino, 2006; Abrigo &amp; Love, 2016), with the lag length p chosen by the criteria of Andrews and Lu (2001). Stability is checked by confirming that all eigenvalues lie inside the unit circle. Granger causality Wald tests (Granger, 1969) assess whether each variable helps predict the others; orthogonalised impulse response functions, with confidence bands from 1,000 Monte Carlo draws, trace the response of performance to shocks in forex accessibility, liquidity and investment over twelve quarters; and forecast-error variance decompositions at four, eight and twelve quarters show the share of performance variation attributable to each variable. The Cholesky ordering (FA, LV, ID, FP) reflects the assumption that financing conditions respond to shocks before investment and performance, and alternative orderings are reported as a robustness check.</w:t>
      </w:r>
    </w:p>
    <w:p>
      <w:pPr>
        <w:spacing w:after="240" w:line="480" w:lineRule="auto"/>
        <w:jc w:val="both"/>
      </w:pPr>
      <w:r>
        <w:rPr>
          <w:rFonts w:eastAsia="Times New Roman" w:cs="Times New Roman"/>
        </w:rPr>
        <w:t xml:space="preserve">Because EXRV</w:t>
      </w:r>
      <w:r>
        <w:rPr>
          <w:rFonts w:eastAsia="Times New Roman" w:cs="Times New Roman"/>
          <w:vertAlign w:val="subscript"/>
        </w:rPr>
        <w:t xml:space="preserve">t</w:t>
      </w:r>
      <w:r>
        <w:rPr>
          <w:rFonts w:eastAsia="Times New Roman" w:cs="Times New Roman"/>
        </w:rPr>
        <w:t xml:space="preserve"> is common to all firms and the Panel VAR does not include quarter effects, the responses of the system to EXRV</w:t>
      </w:r>
      <w:r>
        <w:rPr>
          <w:rFonts w:eastAsia="Times New Roman" w:cs="Times New Roman"/>
          <w:vertAlign w:val="subscript"/>
        </w:rPr>
        <w:t xml:space="preserve">t</w:t>
      </w:r>
      <w:r>
        <w:rPr>
          <w:rFonts w:eastAsia="Times New Roman" w:cs="Times New Roman"/>
        </w:rPr>
        <w:t xml:space="preserve"> are reported as aggregate dynamic associations rather than identified effects, for the reason given in Section 3.8.5. H6 is therefore stated in terms of shocks to forex accessibility and liquidity, which vary across firms.</w:t>
      </w:r>
    </w:p>
    <w:p w14:paraId="59963CF8" w14:textId="77777777" w:rsidR="002363FE" w:rsidRDefault="00CC0653">
      <w:pPr>
        <w:spacing w:after="240" w:line="480" w:lineRule="auto"/>
      </w:pPr>
      <w:r>
        <w:rPr>
          <w:rFonts w:eastAsia="Times New Roman" w:cs="Times New Roman"/>
          <w:b/>
          <w:bCs/>
        </w:rPr>
        <w:t>ARIMAX.</w:t>
      </w:r>
      <w:r>
        <w:rPr>
          <w:rFonts w:eastAsia="Times New Roman" w:cs="Times New Roman"/>
        </w:rPr>
        <w:t xml:space="preserve"> At the aggregate level, the asset-weighted average ROA of each firm category c is modelled as:</w:t>
      </w:r>
    </w:p>
    <w:p w14:paraId="73ADDEB1" w14:textId="77777777" w:rsidR="002363FE" w:rsidRDefault="00CC0653">
      <w:pPr>
        <w:spacing w:before="120" w:after="240" w:line="360" w:lineRule="auto"/>
        <w:jc w:val="center"/>
      </w:pPr>
      <w:r>
        <w:rPr>
          <w:rFonts w:eastAsia="Times New Roman" w:cs="Times New Roman"/>
          <w:i/>
          <w:iCs/>
        </w:rPr>
        <w:t>φ(L)(1 − L)</w:t>
      </w:r>
      <w:r>
        <w:rPr>
          <w:rFonts w:eastAsia="Times New Roman" w:cs="Times New Roman"/>
          <w:i/>
          <w:iCs/>
          <w:vertAlign w:val="superscript"/>
        </w:rPr>
        <w:t>d</w:t>
      </w:r>
      <w:r>
        <w:rPr>
          <w:rFonts w:eastAsia="Times New Roman" w:cs="Times New Roman"/>
          <w:i/>
          <w:iCs/>
        </w:rPr>
        <w:t xml:space="preserve"> FP</w:t>
      </w:r>
      <w:r>
        <w:rPr>
          <w:rFonts w:eastAsia="Times New Roman" w:cs="Times New Roman"/>
          <w:i/>
          <w:iCs/>
          <w:vertAlign w:val="subscript"/>
        </w:rPr>
        <w:t>ct</w:t>
      </w:r>
      <w:r>
        <w:rPr>
          <w:rFonts w:eastAsia="Times New Roman" w:cs="Times New Roman"/>
          <w:i/>
          <w:iCs/>
        </w:rPr>
        <w:t xml:space="preserve"> = β</w:t>
      </w:r>
      <w:r>
        <w:rPr>
          <w:rFonts w:eastAsia="Times New Roman" w:cs="Times New Roman"/>
          <w:i/>
          <w:iCs/>
          <w:vertAlign w:val="subscript"/>
        </w:rPr>
        <w:t>1</w:t>
      </w:r>
      <w:r>
        <w:rPr>
          <w:rFonts w:eastAsia="Times New Roman" w:cs="Times New Roman"/>
          <w:i/>
          <w:iCs/>
        </w:rPr>
        <w:t>(L)FA</w:t>
      </w:r>
      <w:r>
        <w:rPr>
          <w:rFonts w:eastAsia="Times New Roman" w:cs="Times New Roman"/>
          <w:i/>
          <w:iCs/>
          <w:vertAlign w:val="subscript"/>
        </w:rPr>
        <w:t>ct</w:t>
      </w:r>
      <w:r>
        <w:rPr>
          <w:rFonts w:eastAsia="Times New Roman" w:cs="Times New Roman"/>
          <w:i/>
          <w:iCs/>
        </w:rPr>
        <w:t xml:space="preserve"> + β</w:t>
      </w:r>
      <w:r>
        <w:rPr>
          <w:rFonts w:eastAsia="Times New Roman" w:cs="Times New Roman"/>
          <w:i/>
          <w:iCs/>
          <w:vertAlign w:val="subscript"/>
        </w:rPr>
        <w:t>2</w:t>
      </w:r>
      <w:r>
        <w:rPr>
          <w:rFonts w:eastAsia="Times New Roman" w:cs="Times New Roman"/>
          <w:i/>
          <w:iCs/>
        </w:rPr>
        <w:t>(L)LV</w:t>
      </w:r>
      <w:r>
        <w:rPr>
          <w:rFonts w:eastAsia="Times New Roman" w:cs="Times New Roman"/>
          <w:i/>
          <w:iCs/>
          <w:vertAlign w:val="subscript"/>
        </w:rPr>
        <w:t>ct</w:t>
      </w:r>
      <w:r>
        <w:rPr>
          <w:rFonts w:eastAsia="Times New Roman" w:cs="Times New Roman"/>
          <w:i/>
          <w:iCs/>
        </w:rPr>
        <w:t xml:space="preserve"> + β</w:t>
      </w:r>
      <w:r>
        <w:rPr>
          <w:rFonts w:eastAsia="Times New Roman" w:cs="Times New Roman"/>
          <w:i/>
          <w:iCs/>
          <w:vertAlign w:val="subscript"/>
        </w:rPr>
        <w:t>3</w:t>
      </w:r>
      <w:r>
        <w:rPr>
          <w:rFonts w:eastAsia="Times New Roman" w:cs="Times New Roman"/>
          <w:i/>
          <w:iCs/>
        </w:rPr>
        <w:t>(L)EXRV</w:t>
      </w:r>
      <w:r>
        <w:rPr>
          <w:rFonts w:eastAsia="Times New Roman" w:cs="Times New Roman"/>
          <w:i/>
          <w:iCs/>
          <w:vertAlign w:val="subscript"/>
        </w:rPr>
        <w:t>t</w:t>
      </w:r>
      <w:r>
        <w:rPr>
          <w:rFonts w:eastAsia="Times New Roman" w:cs="Times New Roman"/>
          <w:i/>
          <w:iCs/>
        </w:rPr>
        <w:t xml:space="preserve"> + θ(L)e</w:t>
      </w:r>
      <w:r>
        <w:rPr>
          <w:rFonts w:eastAsia="Times New Roman" w:cs="Times New Roman"/>
          <w:i/>
          <w:iCs/>
          <w:vertAlign w:val="subscript"/>
        </w:rPr>
        <w:t>ct</w:t>
      </w:r>
      <w:r>
        <w:rPr>
          <w:rFonts w:eastAsia="Times New Roman" w:cs="Times New Roman"/>
          <w:i/>
          <w:iCs/>
        </w:rPr>
        <w:t xml:space="preserve">          (13)</w:t>
      </w:r>
    </w:p>
    <w:p w14:paraId="70451C04" w14:textId="77777777" w:rsidR="002363FE" w:rsidRDefault="00CC0653">
      <w:pPr>
        <w:spacing w:after="240" w:line="480" w:lineRule="auto"/>
      </w:pPr>
      <w:r>
        <w:rPr>
          <w:rFonts w:eastAsia="Times New Roman" w:cs="Times New Roman"/>
        </w:rPr>
        <w:t>where φ(L) and θ(L) are autoregressive and moving-average polynomials, d is the order of integration determined by ADF and KPSS tests, and β</w:t>
      </w:r>
      <w:r>
        <w:rPr>
          <w:rFonts w:eastAsia="Times New Roman" w:cs="Times New Roman"/>
          <w:vertAlign w:val="subscript"/>
        </w:rPr>
        <w:t>k</w:t>
      </w:r>
      <w:r>
        <w:rPr>
          <w:rFonts w:eastAsia="Times New Roman" w:cs="Times New Roman"/>
        </w:rPr>
        <w:t xml:space="preserve">(L) are distributed-lag polynomials. Orders are selected by AIC and BIC subject to white-noise residuals (Ljung–Box), and given the 40-quarter sample, low orders are preferred. The models are evaluated out of sample by holding back the four quarters of 2024 and comparing root mean squared and mean absolute errors with a benchmark ARIMA model without exogenous inputs (Box et al., 2015; Hyndman &amp; Khandakar, </w:t>
        <w:lastRenderedPageBreak/>
        <w:t xml:space="preserve">2008). The estimated models are used to project performance under alternative scenarios of forex rationing, cedi depreciation and liquidity stress only if they beat the benchmark out of sample. Because the ARIMAX models are estimated on aggregate series, their coefficients are time-series associations that may reflect other macroeconomic developments, and they are interpreted as such.</w:t>
      </w:r>
    </w:p>
    <w:p w14:paraId="2650BF10" w14:textId="77777777" w:rsidR="002363FE" w:rsidRDefault="00CC0653">
      <w:pPr>
        <w:pStyle w:val="Heading3"/>
      </w:pPr>
      <w:bookmarkStart w:id="82" w:name="_TocRev082"/>
      <w:r>
        <w:t>3.10.8 Supporting Monte Carlo Analysis</w:t>
      </w:r>
      <w:bookmarkEnd w:id="82"/>
    </w:p>
    <w:p w14:paraId="02BE9B2A" w14:textId="77777777" w:rsidR="002363FE" w:rsidRDefault="00CC0653">
      <w:pPr>
        <w:spacing w:after="240" w:line="480" w:lineRule="auto"/>
      </w:pPr>
      <w:r>
        <w:rPr>
          <w:rFonts w:eastAsia="Times New Roman" w:cs="Times New Roman"/>
        </w:rPr>
        <w:t xml:space="preserve">A Monte Carlo exercise is retained only as a supporting methodological analysis; it is not evidence that the substantive model is true, because an estimator that performs well under assumptions chosen by the researcher does not thereby validate the real-world model. It is run only if System GMM is the core estimator (Rule D4). The exercise answers a specific question: </w:t>
      </w:r>
      <w:r>
        <w:rPr>
          <w:rFonts w:eastAsia="Times New Roman" w:cs="Times New Roman"/>
          <w:b/>
          <w:bCs/>
        </w:rPr>
        <w:t>under panel dimensions and parameter magnitudes resembling the Ghanaian data, how biased and how precise are the proposed System GMM and lagged mediation estimators under varying degrees of endogeneity, cross-sectional dependence and instrument proliferation?</w:t>
      </w:r>
    </w:p>
    <w:p w14:paraId="65533F45" w14:textId="77777777" w:rsidR="002363FE" w:rsidRDefault="00CC0653">
      <w:pPr>
        <w:spacing w:after="240" w:line="480" w:lineRule="auto"/>
      </w:pPr>
      <w:r>
        <w:rPr>
          <w:rFonts w:eastAsia="Times New Roman" w:cs="Times New Roman"/>
        </w:rPr>
        <w:t>Data are generated from a dynamic panel process calibrated to the descriptive statistics of the actual sample. The design varies the number of firms (N), the number of quarters (T = 20 and 40), the strength of endogeneity, the persistence of performance, the number of instruments (collapsed versus uncollapsed) and the strength of cross-sectional dependence through a common factor. For each design, 1,000 replications are used to compute bias, root mean squared error, confidence-interval coverage and the rejection rates of the Hansen and AR(2) tests. The results guide the choice of instrument set and lag depth and are reported in an appendix.</w:t>
      </w:r>
    </w:p>
    <w:p w14:paraId="45AF2FEE" w14:textId="77777777" w:rsidR="002363FE" w:rsidRDefault="00CC0653">
      <w:pPr>
        <w:pStyle w:val="Heading2"/>
      </w:pPr>
      <w:bookmarkStart w:id="83" w:name="_TocRev083"/>
      <w:r>
        <w:t>3.11 Identification Strategy</w:t>
      </w:r>
      <w:bookmarkEnd w:id="83"/>
    </w:p>
    <w:p w14:paraId="6CCEA396" w14:textId="77777777" w:rsidR="002363FE" w:rsidRDefault="00CC0653">
      <w:pPr>
        <w:spacing w:after="240" w:line="480" w:lineRule="auto"/>
      </w:pPr>
      <w:r>
        <w:rPr>
          <w:rFonts w:eastAsia="Times New Roman" w:cs="Times New Roman"/>
        </w:rPr>
        <w:t xml:space="preserve">Because the data are observational, the credibility of the estimates depends on an explicit identification strategy. This section explains which variables are treated as endogenous and why, </w:t>
        <w:lastRenderedPageBreak/>
        <w:t>how instruments are chosen, which assumptions make them valid, how those assumptions are assessed, and what remains unidentified.</w:t>
      </w:r>
    </w:p>
    <w:p w14:paraId="4E66A16F" w14:textId="77777777" w:rsidR="002363FE" w:rsidRDefault="00CC0653">
      <w:pPr>
        <w:pStyle w:val="Heading3"/>
      </w:pPr>
      <w:bookmarkStart w:id="84" w:name="_TocRev084"/>
      <w:r>
        <w:t>3.11.1 Sources of Endogeneity and Variable Classification</w:t>
      </w:r>
      <w:bookmarkEnd w:id="84"/>
    </w:p>
    <w:p w14:paraId="524C078C" w14:textId="77777777" w:rsidR="002363FE" w:rsidRDefault="00CC0653">
      <w:pPr>
        <w:spacing w:after="240" w:line="480" w:lineRule="auto"/>
      </w:pPr>
      <w:r>
        <w:rPr>
          <w:rFonts w:eastAsia="Times New Roman" w:cs="Times New Roman"/>
        </w:rPr>
        <w:t xml:space="preserve">Four regressors are potentially endogenous. Forex accessibility may be endogenous because more profitable firms with stronger banking relationships may obtain preferential allocations (reverse causality), as banking-relationship theory suggests (Petersen &amp; Rajan, 1994). Liquidity may be endogenous because profitable firms accumulate cash and current assets. Investment is endogenous because profitable firms invest more and investment affects profitability (simultaneity). Financial risk is endogenous because profitability affects leverage, as predicted by pecking-order arguments (Myers &amp; Majluf, 1984). By contrast, exchange rate volatility is an aggregate series that individual firms cannot influence, and exposure is measured in a year excluded from the estimation sample, so their interaction is treated as strictly exogenous. Each regressor is classified in advance as strictly exogenous, predetermined or endogenous, and Table 3.7 gives the classification, the justification and the instruments and lag window for each.</w:t>
      </w:r>
    </w:p>
    <w:p w14:paraId="49CA7919" w14:textId="77777777" w:rsidR="002363FE" w:rsidRDefault="00CC0653">
      <w:pPr>
        <w:keepNext/>
        <w:spacing w:before="240" w:after="120"/>
        <w:jc w:val="left"/>
      </w:pPr>
      <w:r>
        <w:rPr>
          <w:rFonts w:eastAsia="Times New Roman" w:cs="Times New Roman"/>
          <w:b/>
          <w:bCs/>
        </w:rPr>
        <w:t xml:space="preserve">Table 3.7: Classification of Regressors and Instrument Strategy for System GMM</w:t>
      </w:r>
    </w:p>
    <w:tbl>
      <w:tblPr>
        <w:tblStyle w:val="TableGrid"/>
        <w:tblW w:w="9360" w:type="dxa"/>
        <w:tblLayout w:type="fixed"/>
        <w:tblLook w:val="04A0" w:firstRow="1" w:lastRow="0" w:firstColumn="1" w:lastColumn="0" w:noHBand="0" w:noVBand="1"/>
      </w:tblPr>
      <w:tblGrid>
        <w:gridCol w:w="1500"/>
        <w:gridCol w:w="1300"/>
        <w:gridCol w:w="2700"/>
        <w:gridCol w:w="2000"/>
        <w:gridCol w:w="1860"/>
      </w:tblGrid>
      <w:tr>
        <w:trPr>
          <w:cantSplit/>
          <w:tblHeader/>
        </w:trPr>
        <w:tc>
          <w:tcPr>
            <w:tcW w:w="15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Regressor</w:t>
            </w:r>
          </w:p>
        </w:tc>
        <w:tc>
          <w:tcPr>
            <w:tcW w:w="13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Classification</w:t>
            </w:r>
          </w:p>
        </w:tc>
        <w:tc>
          <w:tcPr>
            <w:tcW w:w="27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Justification</w:t>
            </w:r>
          </w:p>
        </w:tc>
        <w:tc>
          <w:tcPr>
            <w:tcW w:w="20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Instruments (difference equation)</w:t>
            </w:r>
          </w:p>
        </w:tc>
        <w:tc>
          <w:tcPr>
            <w:tcW w:w="186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6"/>
                <w:szCs w:val="16"/>
              </w:rPr>
              <w:t xml:space="preserve">Instruments (levels equation)</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FP</w:t>
            </w:r>
            <w:r>
              <w:rPr>
                <w:rFonts w:eastAsia="Times New Roman" w:cs="Times New Roman"/>
                <w:sz w:val="16"/>
                <w:szCs w:val="16"/>
                <w:vertAlign w:val="subscript"/>
              </w:rPr>
              <w:t xml:space="preserve">i,t−1</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Predetermined (correlated with μ</w:t>
            </w:r>
            <w:r>
              <w:rPr>
                <w:rFonts w:eastAsia="Times New Roman" w:cs="Times New Roman"/>
                <w:sz w:val="16"/>
                <w:szCs w:val="16"/>
                <w:vertAlign w:val="subscript"/>
              </w:rPr>
              <w:t xml:space="preserve">i</w:t>
            </w:r>
            <w:r>
              <w:rPr>
                <w:rFonts w:eastAsia="Times New Roman" w:cs="Times New Roman"/>
                <w:sz w:val="16"/>
                <w:szCs w:val="16"/>
              </w:rPr>
              <w:t xml:space="preserve"> by construction)</w:t>
            </w:r>
          </w:p>
        </w:tc>
        <w:tc>
          <w:tcPr>
            <w:tcW w:w="2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Dynamic panel bias in the presence of firm effects (Nickell, 1981)</w:t>
            </w:r>
          </w:p>
        </w:tc>
        <w:tc>
          <w:tcPr>
            <w:tcW w:w="2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FP lags t−2 and t−3, collapsed</w:t>
            </w:r>
          </w:p>
        </w:tc>
        <w:tc>
          <w:tcPr>
            <w:tcW w:w="18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ΔFP</w:t>
            </w:r>
            <w:r>
              <w:rPr>
                <w:rFonts w:eastAsia="Times New Roman" w:cs="Times New Roman"/>
                <w:sz w:val="16"/>
                <w:szCs w:val="16"/>
                <w:vertAlign w:val="subscript"/>
              </w:rPr>
              <w:t xml:space="preserve">t−1</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FA</w:t>
            </w:r>
            <w:r>
              <w:rPr>
                <w:rFonts w:eastAsia="Times New Roman" w:cs="Times New Roman"/>
                <w:sz w:val="16"/>
                <w:szCs w:val="16"/>
                <w:vertAlign w:val="subscript"/>
              </w:rPr>
              <w:t xml:space="preserve">it</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Endogenous</w:t>
            </w:r>
          </w:p>
        </w:tc>
        <w:tc>
          <w:tcPr>
            <w:tcW w:w="2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Reverse causality: profitable firms with strong bank relationships obtain better allocations (Petersen &amp; Rajan, 1994)</w:t>
            </w:r>
          </w:p>
        </w:tc>
        <w:tc>
          <w:tcPr>
            <w:tcW w:w="2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Lags t−2 and t−3, collapsed</w:t>
            </w:r>
          </w:p>
        </w:tc>
        <w:tc>
          <w:tcPr>
            <w:tcW w:w="18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ΔFA</w:t>
            </w:r>
            <w:r>
              <w:rPr>
                <w:rFonts w:eastAsia="Times New Roman" w:cs="Times New Roman"/>
                <w:sz w:val="16"/>
                <w:szCs w:val="16"/>
                <w:vertAlign w:val="subscript"/>
              </w:rPr>
              <w:t xml:space="preserve">t−1</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LV</w:t>
            </w:r>
            <w:r>
              <w:rPr>
                <w:rFonts w:eastAsia="Times New Roman" w:cs="Times New Roman"/>
                <w:sz w:val="16"/>
                <w:szCs w:val="16"/>
                <w:vertAlign w:val="subscript"/>
              </w:rPr>
              <w:t xml:space="preserve">it</w:t>
            </w:r>
            <w:r>
              <w:rPr>
                <w:rFonts w:eastAsia="Times New Roman" w:cs="Times New Roman"/>
                <w:sz w:val="16"/>
                <w:szCs w:val="16"/>
              </w:rPr>
              <w:t xml:space="preserve">, LV²</w:t>
            </w:r>
            <w:r>
              <w:rPr>
                <w:rFonts w:eastAsia="Times New Roman" w:cs="Times New Roman"/>
                <w:sz w:val="16"/>
                <w:szCs w:val="16"/>
                <w:vertAlign w:val="subscript"/>
              </w:rPr>
              <w:t xml:space="preserve">it</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Endogenous</w:t>
            </w:r>
          </w:p>
        </w:tc>
        <w:tc>
          <w:tcPr>
            <w:tcW w:w="2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Reverse causality: profits accumulate as cash and current assets</w:t>
            </w:r>
          </w:p>
        </w:tc>
        <w:tc>
          <w:tcPr>
            <w:tcW w:w="2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Lags t−2 and t−3, collapsed</w:t>
            </w:r>
          </w:p>
        </w:tc>
        <w:tc>
          <w:tcPr>
            <w:tcW w:w="18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ΔLV</w:t>
            </w:r>
            <w:r>
              <w:rPr>
                <w:rFonts w:eastAsia="Times New Roman" w:cs="Times New Roman"/>
                <w:sz w:val="16"/>
                <w:szCs w:val="16"/>
                <w:vertAlign w:val="subscript"/>
              </w:rPr>
              <w:t xml:space="preserve">t−1</w:t>
            </w:r>
            <w:r>
              <w:rPr>
                <w:rFonts w:eastAsia="Times New Roman" w:cs="Times New Roman"/>
                <w:sz w:val="16"/>
                <w:szCs w:val="16"/>
              </w:rPr>
              <w:t xml:space="preserve">, ΔLV²</w:t>
            </w:r>
            <w:r>
              <w:rPr>
                <w:rFonts w:eastAsia="Times New Roman" w:cs="Times New Roman"/>
                <w:sz w:val="16"/>
                <w:szCs w:val="16"/>
                <w:vertAlign w:val="subscript"/>
              </w:rPr>
              <w:t xml:space="preserve">t−1</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ID</w:t>
            </w:r>
            <w:r>
              <w:rPr>
                <w:rFonts w:eastAsia="Times New Roman" w:cs="Times New Roman"/>
                <w:sz w:val="16"/>
                <w:szCs w:val="16"/>
                <w:vertAlign w:val="subscript"/>
              </w:rPr>
              <w:t xml:space="preserve">it</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Endogenous</w:t>
            </w:r>
          </w:p>
        </w:tc>
        <w:tc>
          <w:tcPr>
            <w:tcW w:w="2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Simultaneity: profitable firms invest more and investment affects profit</w:t>
            </w:r>
          </w:p>
        </w:tc>
        <w:tc>
          <w:tcPr>
            <w:tcW w:w="2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Lags t−2 and t−3, collapsed</w:t>
            </w:r>
          </w:p>
        </w:tc>
        <w:tc>
          <w:tcPr>
            <w:tcW w:w="18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ΔID</w:t>
            </w:r>
            <w:r>
              <w:rPr>
                <w:rFonts w:eastAsia="Times New Roman" w:cs="Times New Roman"/>
                <w:sz w:val="16"/>
                <w:szCs w:val="16"/>
                <w:vertAlign w:val="subscript"/>
              </w:rPr>
              <w:t xml:space="preserve">t−1</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FR</w:t>
            </w:r>
            <w:r>
              <w:rPr>
                <w:rFonts w:eastAsia="Times New Roman" w:cs="Times New Roman"/>
                <w:sz w:val="16"/>
                <w:szCs w:val="16"/>
                <w:vertAlign w:val="subscript"/>
              </w:rPr>
              <w:t xml:space="preserve">it</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Endogenous</w:t>
            </w:r>
          </w:p>
        </w:tc>
        <w:tc>
          <w:tcPr>
            <w:tcW w:w="2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Profitability affects leverage through retained earnings (Myers &amp; Majluf, 1984)</w:t>
            </w:r>
          </w:p>
        </w:tc>
        <w:tc>
          <w:tcPr>
            <w:tcW w:w="2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Lags t−2 and t−3, collapsed</w:t>
            </w:r>
          </w:p>
        </w:tc>
        <w:tc>
          <w:tcPr>
            <w:tcW w:w="18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ΔFR</w:t>
            </w:r>
            <w:r>
              <w:rPr>
                <w:rFonts w:eastAsia="Times New Roman" w:cs="Times New Roman"/>
                <w:sz w:val="16"/>
                <w:szCs w:val="16"/>
                <w:vertAlign w:val="subscript"/>
              </w:rPr>
              <w:t xml:space="preserve">t−1</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SIZE</w:t>
            </w:r>
            <w:r>
              <w:rPr>
                <w:rFonts w:eastAsia="Times New Roman" w:cs="Times New Roman"/>
                <w:sz w:val="16"/>
                <w:szCs w:val="16"/>
                <w:vertAlign w:val="subscript"/>
              </w:rPr>
              <w:t xml:space="preserve">it</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Predetermined</w:t>
            </w:r>
          </w:p>
        </w:tc>
        <w:tc>
          <w:tcPr>
            <w:tcW w:w="2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Size responds to past but not to current performance shocks</w:t>
            </w:r>
          </w:p>
        </w:tc>
        <w:tc>
          <w:tcPr>
            <w:tcW w:w="2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Lags t−1 and t−2, collapsed</w:t>
            </w:r>
          </w:p>
        </w:tc>
        <w:tc>
          <w:tcPr>
            <w:tcW w:w="18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ΔSIZE</w:t>
            </w:r>
            <w:r>
              <w:rPr>
                <w:rFonts w:eastAsia="Times New Roman" w:cs="Times New Roman"/>
                <w:sz w:val="16"/>
                <w:szCs w:val="16"/>
                <w:vertAlign w:val="subscript"/>
              </w:rPr>
              <w:t xml:space="preserve">t</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EXRV</w:t>
            </w:r>
            <w:r>
              <w:rPr>
                <w:rFonts w:eastAsia="Times New Roman" w:cs="Times New Roman"/>
                <w:sz w:val="16"/>
                <w:szCs w:val="16"/>
                <w:vertAlign w:val="subscript"/>
              </w:rPr>
              <w:t xml:space="preserve">t</w:t>
            </w:r>
            <w:r>
              <w:rPr>
                <w:rFonts w:eastAsia="Times New Roman" w:cs="Times New Roman"/>
                <w:sz w:val="16"/>
                <w:szCs w:val="16"/>
              </w:rPr>
              <w:t xml:space="preserve"> × FXE</w:t>
            </w:r>
            <w:r>
              <w:rPr>
                <w:rFonts w:eastAsia="Times New Roman" w:cs="Times New Roman"/>
                <w:sz w:val="16"/>
                <w:szCs w:val="16"/>
                <w:vertAlign w:val="subscript"/>
              </w:rPr>
              <w:t xml:space="preserve">i</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Strictly exogenous</w:t>
            </w:r>
          </w:p>
        </w:tc>
        <w:tc>
          <w:tcPr>
            <w:tcW w:w="2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Common shock beyond firm control times exposure measured in an excluded pre-period</w:t>
            </w:r>
          </w:p>
        </w:tc>
        <w:tc>
          <w:tcPr>
            <w:tcW w:w="2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Itself (IV-style)</w:t>
            </w:r>
          </w:p>
        </w:tc>
        <w:tc>
          <w:tcPr>
            <w:tcW w:w="18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Itself (IV-style)</w:t>
            </w:r>
          </w:p>
        </w:tc>
      </w:tr>
      <w:tr>
        <w:trPr>
          <w:cantSplit/>
        </w:trPr>
        <w:tc>
          <w:tcPr>
            <w:tcW w:w="15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Quarter effects λ</w:t>
            </w:r>
            <w:r>
              <w:rPr>
                <w:rFonts w:eastAsia="Times New Roman" w:cs="Times New Roman"/>
                <w:sz w:val="16"/>
                <w:szCs w:val="16"/>
                <w:vertAlign w:val="subscript"/>
              </w:rPr>
              <w:t xml:space="preserve">t</w:t>
            </w:r>
          </w:p>
        </w:tc>
        <w:tc>
          <w:tcPr>
            <w:tcW w:w="13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Strictly exogenous</w:t>
            </w:r>
          </w:p>
        </w:tc>
        <w:tc>
          <w:tcPr>
            <w:tcW w:w="2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Calendar effects</w:t>
            </w:r>
          </w:p>
        </w:tc>
        <w:tc>
          <w:tcPr>
            <w:tcW w:w="2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Itself, or removed by cross-sectional demeaning</w:t>
            </w:r>
          </w:p>
        </w:tc>
        <w:tc>
          <w:tcPr>
            <w:tcW w:w="18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6"/>
                <w:szCs w:val="16"/>
              </w:rPr>
              <w:t xml:space="preserve">Itself, or removed by demeaning</w:t>
            </w:r>
          </w:p>
        </w:tc>
      </w:tr>
    </w:tbl>
    <w:p w14:paraId="546CA188" w14:textId="77777777" w:rsidR="002363FE" w:rsidRDefault="00CC0653">
      <w:pPr>
        <w:spacing w:before="60" w:after="240"/>
        <w:jc w:val="left"/>
      </w:pPr>
      <w:r>
        <w:rPr>
          <w:rFonts w:eastAsia="Times New Roman" w:cs="Times New Roman"/>
          <w:i/>
          <w:iCs/>
          <w:sz w:val="20"/>
          <w:szCs w:val="20"/>
        </w:rPr>
        <w:t xml:space="preserve">Source: Author's construct (2026). Lag window: t−2 is the earliest lag that is valid for an endogenous regressor when the errors are not serially correlated beyond first order; the window is capped at t−3 to keep the instrument count low and avoid weak, distant lags. Windows of t−2 to t−5 (to span the seasonal lag) are used only in sensitivity checks. Treating FA, LV or FR as predetermined (adding lag t−1) is tested by Difference-in-Hansen tests on the corresponding instrument subset and adopted only if not rejected. With all instruments collapsed, the core instrument set contains about 20 instruments: 14 from the two lags of the seven endogenous or predetermined variables in the difference equation, about six from the levels equation, the exposure interaction and the constant.</w:t>
      </w:r>
    </w:p>
    <w:p w14:paraId="667DD2C5" w14:textId="77777777" w:rsidR="002363FE" w:rsidRDefault="00CC0653">
      <w:pPr>
        <w:pStyle w:val="Heading3"/>
      </w:pPr>
      <w:bookmarkStart w:id="85" w:name="_TocRev085"/>
      <w:r>
        <w:rPr>
          <w:rFonts w:eastAsia="Times New Roman" w:cs="Times New Roman"/>
        </w:rPr>
        <w:t xml:space="preserve">3.11.2 Feasibility of System GMM, Instrument Validity and Diagnostic Reporting</w:t>
      </w:r>
      <w:bookmarkEnd w:id="85"/>
    </w:p>
    <w:p>
      <w:pPr>
        <w:spacing w:after="240" w:line="480" w:lineRule="auto"/>
        <w:jc w:val="both"/>
      </w:pPr>
      <w:r>
        <w:rPr>
          <w:rFonts w:eastAsia="Times New Roman" w:cs="Times New Roman"/>
        </w:rPr>
        <w:t xml:space="preserve">System GMM is not assumed to be the best solution to endogeneity in this panel. It was designed for panels with many firms and few periods (Arellano &amp; Bond, 1991; Blundell &amp; Bond, 1998; Roodman, 2009). The present panel may have the opposite shape: up to 40 quarters per firm but possibly only a few dozen firms with usable quarterly data. This has two consequences. First, the number of available instruments grows with the square of T, so instrument proliferation is a real risk unless the instrument matrix is collapsed and the lag window limited, which the study commits to doing in every GMM model. Second, the dynamic panel bias that motivates GMM is of order 1/T (Nickell, 1981), so with T near 40 the bias of the fixed-effects estimator is modest and the case for GMM over fixed effects is weaker than in a short panel. The choice of estimator therefore follows a rule fixed in advance (Rule D4):</w:t>
      </w:r>
    </w:p>
    <w:p>
      <w:pPr>
        <w:spacing w:after="120" w:line="480" w:lineRule="auto"/>
        <w:ind w:left="720" w:hanging="360"/>
        <w:jc w:val="both"/>
      </w:pPr>
      <w:r>
        <w:rPr>
          <w:rFonts w:eastAsia="Times New Roman" w:cs="Times New Roman"/>
        </w:rPr>
        <w:t xml:space="preserve">1.</w:t>
      </w:r>
      <w:r>
        <w:rPr>
          <w:rFonts w:eastAsia="Times New Roman" w:cs="Times New Roman"/>
        </w:rPr>
        <w:tab/>
      </w:r>
      <w:r>
        <w:rPr>
          <w:rFonts w:eastAsia="Times New Roman" w:cs="Times New Roman"/>
        </w:rPr>
        <w:t xml:space="preserve">System GMM is the core estimator only if (i) the number of firms N in the estimation sample is at least 40; (ii) with collapsed instruments and the t−2 to t−3 lag window, the instrument count does not exceed N/2; (iii) the Arellano–Bond AR(2) test does not reject at the 5 percent level; and (iv) the Hansen test does not reject at the 10 percent level and the Difference-in-Hansen test does not reject the levels-equation instruments.</w:t>
      </w:r>
    </w:p>
    <w:p>
      <w:pPr>
        <w:spacing w:after="120" w:line="480" w:lineRule="auto"/>
        <w:ind w:left="720" w:hanging="360"/>
        <w:jc w:val="both"/>
      </w:pPr>
      <w:r>
        <w:rPr>
          <w:rFonts w:eastAsia="Times New Roman" w:cs="Times New Roman"/>
        </w:rPr>
        <w:t xml:space="preserve">2.</w:t>
      </w:r>
      <w:r>
        <w:rPr>
          <w:rFonts w:eastAsia="Times New Roman" w:cs="Times New Roman"/>
        </w:rPr>
        <w:tab/>
      </w:r>
      <w:r>
        <w:rPr>
          <w:rFonts w:eastAsia="Times New Roman" w:cs="Times New Roman"/>
        </w:rPr>
        <w:t xml:space="preserve">If only the levels-equation instruments are rejected, Difference GMM (Arellano &amp; Bond, 1991) is used instead, provided the first-differenced equation still meets conditions (ii) and (iii).</w:t>
      </w:r>
    </w:p>
    <w:p>
      <w:pPr>
        <w:spacing w:after="120" w:line="480" w:lineRule="auto"/>
        <w:ind w:left="720" w:hanging="360"/>
        <w:jc w:val="both"/>
      </w:pPr>
      <w:r>
        <w:rPr>
          <w:rFonts w:eastAsia="Times New Roman" w:cs="Times New Roman"/>
        </w:rPr>
        <w:t xml:space="preserve">3.</w:t>
      </w:r>
      <w:r>
        <w:rPr>
          <w:rFonts w:eastAsia="Times New Roman" w:cs="Times New Roman"/>
        </w:rPr>
        <w:tab/>
      </w:r>
      <w:r>
        <w:rPr>
          <w:rFonts w:eastAsia="Times New Roman" w:cs="Times New Roman"/>
        </w:rPr>
        <w:t xml:space="preserve">If N is below 40, if the instrument limit cannot be met, or if AR(2) is rejected for every admissible lag window, the core estimator becomes two-way fixed effects with Driscoll–Kraay standard errors, with the time-varying firm regressors entered at t−1 to reduce simultaneity, together with the bias-corrected least-squares dummy variable (LSDV) estimator for the dynamic specification (Kiviet, 1995; Bruno, 2005). Under this alternative, the estimates are interpreted as conditional associations rather than as endogeneity-corrected effects, and the conclusions are worded accordingly.</w:t>
      </w:r>
    </w:p>
    <w:p w14:paraId="040BACC8" w14:textId="77777777" w:rsidR="002363FE" w:rsidRDefault="00CC0653">
      <w:pPr>
        <w:spacing w:after="240" w:line="480" w:lineRule="auto"/>
      </w:pPr>
      <w:r>
        <w:rPr>
          <w:rFonts w:eastAsia="Times New Roman" w:cs="Times New Roman"/>
        </w:rPr>
        <w:t xml:space="preserve">System GMM uses lagged levels as instruments for the differenced equation and lagged differences as instruments for the levels equation (Arellano &amp; Bond, 1991; Blundell &amp; Bond, 1998). The instruments are valid if (i) the idiosyncratic errors are not serially correlated beyond first order, so that lags of t−2 and earlier are uncorrelated with the differenced error, and (ii) changes in the instrumented variables are uncorrelated with the firm effects, which is the additional condition required for the levels equation. These assumptions are assessed rather than assumed.</w:t>
      </w:r>
    </w:p>
    <w:p w14:paraId="4EF026A2" w14:textId="77777777" w:rsidR="002363FE" w:rsidRDefault="00CC0653">
      <w:pPr>
        <w:spacing w:after="240" w:line="480" w:lineRule="auto"/>
      </w:pPr>
      <w:r>
        <w:rPr>
          <w:rFonts w:eastAsia="Times New Roman" w:cs="Times New Roman"/>
        </w:rPr>
        <w:t>The Hansen test is not applied mechanically. A non-rejection is not taken as confirmation of instrument validity, because a very high Hansen p-value can also arise when there are too many instruments, which weakens the test (Roodman, 2009). The study therefore reports, for every GMM model, the following together and interprets them jointly:</w:t>
      </w:r>
    </w:p>
    <w:p w14:paraId="6E06F49C" w14:textId="77777777" w:rsidR="002363FE" w:rsidRDefault="00CC0653">
      <w:pPr>
        <w:spacing w:after="120" w:line="480" w:lineRule="auto"/>
        <w:ind w:left="720" w:hanging="360"/>
      </w:pPr>
      <w:r>
        <w:rPr>
          <w:rFonts w:eastAsia="Times New Roman" w:cs="Times New Roman"/>
        </w:rPr>
        <w:t xml:space="preserve">•</w:t>
      </w:r>
      <w:r>
        <w:rPr>
          <w:rFonts w:eastAsia="Times New Roman" w:cs="Times New Roman"/>
        </w:rPr>
        <w:tab/>
      </w:r>
      <w:r>
        <w:rPr>
          <w:rFonts w:eastAsia="Times New Roman" w:cs="Times New Roman"/>
        </w:rPr>
        <w:t xml:space="preserve">the number of instruments, the number of firms and the number of firm-quarter observations (the instrument count is kept at or below half the number of firms);</w:t>
      </w:r>
    </w:p>
    <w:p w14:paraId="1BE2E3C2" w14:textId="77777777" w:rsidR="002363FE" w:rsidRDefault="00CC0653">
      <w:pPr>
        <w:spacing w:after="120" w:line="480" w:lineRule="auto"/>
        <w:ind w:left="720" w:hanging="360"/>
      </w:pPr>
      <w:r>
        <w:rPr>
          <w:rFonts w:eastAsia="Times New Roman" w:cs="Times New Roman"/>
        </w:rPr>
        <w:t xml:space="preserve">•</w:t>
      </w:r>
      <w:r>
        <w:rPr>
          <w:rFonts w:eastAsia="Times New Roman" w:cs="Times New Roman"/>
        </w:rPr>
        <w:tab/>
      </w:r>
      <w:r>
        <w:rPr>
          <w:rFonts w:eastAsia="Times New Roman" w:cs="Times New Roman"/>
        </w:rPr>
        <w:t xml:space="preserve">the Hansen J-statistic and its p-value (Hansen, 1982), with p-values close to 1 (above 0.90) treated as a warning that the test has been weakened by too many instruments rather than as evidence of validity;</w:t>
      </w:r>
    </w:p>
    <w:p w14:paraId="6A485048" w14:textId="77777777" w:rsidR="002363FE" w:rsidRDefault="00CC0653">
      <w:pPr>
        <w:spacing w:after="120" w:line="480" w:lineRule="auto"/>
        <w:ind w:left="720" w:hanging="360"/>
      </w:pPr>
      <w:r>
        <w:rPr>
          <w:rFonts w:eastAsia="Times New Roman" w:cs="Times New Roman"/>
        </w:rPr>
        <w:t>•</w:t>
        <w:tab/>
        <w:t>Difference-in-Hansen tests for the levels-equation instruments and for each group of GMM-style instruments;</w:t>
      </w:r>
    </w:p>
    <w:p w14:paraId="733CCCF2" w14:textId="77777777" w:rsidR="002363FE" w:rsidRDefault="00CC0653">
      <w:pPr>
        <w:spacing w:after="120" w:line="480" w:lineRule="auto"/>
        <w:ind w:left="720" w:hanging="360"/>
      </w:pPr>
      <w:r>
        <w:rPr>
          <w:rFonts w:eastAsia="Times New Roman" w:cs="Times New Roman"/>
        </w:rPr>
        <w:t>•</w:t>
        <w:tab/>
        <w:t>the Arellano–Bond AR(1) and AR(2) tests, where AR(1) is expected and AR(2) should not be rejected; and</w:t>
      </w:r>
    </w:p>
    <w:p w14:paraId="7E8F443D" w14:textId="77777777" w:rsidR="002363FE" w:rsidRDefault="00CC0653">
      <w:pPr>
        <w:spacing w:after="120" w:line="480" w:lineRule="auto"/>
        <w:ind w:left="720" w:hanging="360"/>
      </w:pPr>
      <w:r>
        <w:rPr>
          <w:rFonts w:eastAsia="Times New Roman" w:cs="Times New Roman"/>
        </w:rPr>
        <w:t>•</w:t>
        <w:tab/>
        <w:t>the instrument-reduction strategy (collapsing the instrument matrix and limiting lag depth) and the sensitivity of the coefficients to alternative instrument sets.</w:t>
      </w:r>
    </w:p>
    <w:p w14:paraId="5939E0C1" w14:textId="77777777" w:rsidR="002363FE" w:rsidRDefault="00CC0653">
      <w:pPr>
        <w:spacing w:after="240" w:line="480" w:lineRule="auto"/>
      </w:pPr>
      <w:r>
        <w:rPr>
          <w:rFonts w:eastAsia="Times New Roman" w:cs="Times New Roman"/>
        </w:rPr>
        <w:lastRenderedPageBreak/>
        <w:t>Coefficients that are stable across reasonable instrument sets, together with diagnostics that are acceptable but not implausibly perfect, are taken as supportive evidence of the identification strategy.</w:t>
      </w:r>
    </w:p>
    <w:p w14:paraId="1C702B0D" w14:textId="77777777" w:rsidR="002363FE" w:rsidRDefault="00CC0653">
      <w:pPr>
        <w:pStyle w:val="Heading3"/>
      </w:pPr>
      <w:bookmarkStart w:id="86" w:name="_TocRev086"/>
      <w:r>
        <w:t>3.11.3 Standard Errors and the Role of Driscoll–Kraay Estimates</w:t>
      </w:r>
      <w:bookmarkEnd w:id="86"/>
    </w:p>
    <w:p w14:paraId="16304A85" w14:textId="77777777" w:rsidR="002363FE" w:rsidRDefault="00CC0653">
      <w:pPr>
        <w:spacing w:after="240" w:line="480" w:lineRule="auto"/>
      </w:pPr>
      <w:r>
        <w:rPr>
          <w:rFonts w:eastAsia="Times New Roman" w:cs="Times New Roman"/>
        </w:rPr>
        <w:t xml:space="preserve">Estimators are not combined simply because each is described as robust. The System GMM models address dynamic panel bias and endogeneity, and their inference relies on two-step estimates with the Windmeijer (2005) finite-sample correction, which corrects the downward bias of two-step standard errors. Cross-sectional dependence, which is plausible because all firms face the same regulatory and exchange rate environment, is handled within GMM by the quarter fixed effects (or cross-sectional demeaning) and is tested with the Pesaran (2004) CD test. Driscoll and Kraay (1998) standard errors, which are robust to cross-sectional dependence, heteroskedasticity and serial correlation, are used with </w:t>
      </w:r>
      <w:r>
        <w:rPr>
          <w:rFonts w:eastAsia="Times New Roman" w:cs="Times New Roman"/>
          <w:b/>
          <w:bCs/>
        </w:rPr>
        <w:t>two-way fixed-effects estimation as a robustness benchmark</w:t>
      </w:r>
      <w:r>
        <w:rPr>
          <w:rFonts w:eastAsia="Times New Roman" w:cs="Times New Roman"/>
        </w:rPr>
        <w:t>, not as part of the GMM estimator. Comparing the GMM estimates with this benchmark shows whether the conclusions depend on the endogeneity correction.</w:t>
      </w:r>
    </w:p>
    <w:p w14:paraId="55A79E04" w14:textId="77777777" w:rsidR="002363FE" w:rsidRDefault="00CC0653">
      <w:pPr>
        <w:pStyle w:val="Heading3"/>
      </w:pPr>
      <w:bookmarkStart w:id="87" w:name="_TocRev087"/>
      <w:r>
        <w:t>3.11.4 What Remains Unidentified</w:t>
      </w:r>
      <w:bookmarkEnd w:id="87"/>
    </w:p>
    <w:p w14:paraId="1A65E728" w14:textId="77777777" w:rsidR="002363FE" w:rsidRDefault="00CC0653">
      <w:pPr>
        <w:spacing w:after="240" w:line="480" w:lineRule="auto"/>
      </w:pPr>
      <w:r>
        <w:rPr>
          <w:rFonts w:eastAsia="Times New Roman" w:cs="Times New Roman"/>
        </w:rPr>
        <w:t xml:space="preserve">Some threats cannot be fully removed. Instruments based on lagged variables are valid only if past values affect current performance solely through the instrumented regressors; time-varying firm-specific shocks, such as a change in management or the loss of a major customer, may still confound the estimates. The mediation analysis assumes that no unobserved time-varying factor affects both investment and later performance (Imai et al., 2010). The main effect of exchange rate volatility is not separately identified from other common shocks, so only its exposure- and risk-conditioned effects are interpreted (Section 3.8.5). Selection into the sample (Section 3.6.2) may also bias the estimates. The study therefore interprets its results as evidence consistent with the hypothesised mechanisms under these assumptions, reports the sensitivity of </w:t>
        <w:lastRenderedPageBreak/>
        <w:t>the results to alternative specifications, and states these limitations explicitly in Chapters Four and Five.</w:t>
      </w:r>
    </w:p>
    <w:p w14:paraId="5261ABFE" w14:textId="77777777" w:rsidR="002363FE" w:rsidRDefault="00CC0653">
      <w:pPr>
        <w:pStyle w:val="Heading2"/>
      </w:pPr>
      <w:bookmarkStart w:id="88" w:name="_TocRev088"/>
      <w:r>
        <w:t>3.12 Diagnostic and Robustness Tests</w:t>
      </w:r>
      <w:bookmarkEnd w:id="88"/>
    </w:p>
    <w:p w14:paraId="08100D89" w14:textId="77777777" w:rsidR="002363FE" w:rsidRDefault="00CC0653">
      <w:pPr>
        <w:pStyle w:val="Heading3"/>
      </w:pPr>
      <w:bookmarkStart w:id="89" w:name="_TocRev089"/>
      <w:r>
        <w:t>3.12.1 Panel Data Diagnostics</w:t>
      </w:r>
      <w:bookmarkEnd w:id="89"/>
    </w:p>
    <w:p w14:paraId="6AE40793"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Prior to estimation, the panel dataset is screened for four conditions that would otherwise bias standard errors or coefficient estimates if left unaddressed. Multicollinearity among the five financial determinants is assessed through the Variance Inflation Factor, with values exceeding 10 indicating problematic collinearity requiring variable transformation or exclusion (Wooldridge, 2019). Heteroskedasticity is tested through the Breusch-Pagan (1979) test, and serial correlation in the panel residuals through the Wooldridge (2002) test for autocorrelation in panel data — both of which, if detected, are addressed by the Windmeijer-corrected GMM standard errors and by the Driscoll–Kraay benchmark described in Section 3.11.3. Cross-sectional dependence — plausible given that all sample firms operate under the same NPA regulatory framework and are jointly exposed to common GHS/USD shocks — is tested through the Pesaran (2004) CD test. Stationarity of the panel series is assessed through the Levin-Lin-Chu (2002) and Im-Pesaran-Shin (2003) unit root tests, which respectively assume a common and an individual autoregressive process across panel units; series identified as non-stationary under both tests are first-differenced prior to estimation.</w:t>
      </w:r>
    </w:p>
    <w:p w14:paraId="49038531" w14:textId="77777777" w:rsidR="002363FE" w:rsidRDefault="00CC0653">
      <w:pPr>
        <w:pStyle w:val="Heading3"/>
      </w:pPr>
      <w:bookmarkStart w:id="90" w:name="_TocRev090"/>
      <w:r>
        <w:t>3.12.2 Volatility Model Diagnostics</w:t>
      </w:r>
      <w:bookmarkEnd w:id="90"/>
    </w:p>
    <w:p w14:paraId="27198D22"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 xml:space="preserve">Following estimation of the GARCH(1,1) and EGARCH(1,1) models specified in Section 3.10.2, the standardised residuals are tested for remaining volatility clustering through the ARCH-LM test </w:t>
        <w:lastRenderedPageBreak/>
        <w:t>(Engle, 1982); a failure to reject the null of no remaining ARCH effects confirms that the fitted model has adequately captured the conditional heteroskedasticity in the GHS/USD return series. The Ljung-Box Q-statistic, applied to the standardised residuals at lags 5, 10, and 20, confirms the absence of remaining serial correlation. Where GARCH(1,1) and EGARCH(1,1) both pass these diagnostics, the Bayesian and Akaike Information Criteria — already specified as the primary model-selection tool in Section 3.10.2 — are used to select between them.</w:t>
      </w:r>
    </w:p>
    <w:p w14:paraId="1A480D26" w14:textId="77777777" w:rsidR="002363FE" w:rsidRDefault="00CC0653">
      <w:pPr>
        <w:pStyle w:val="Heading3"/>
      </w:pPr>
      <w:bookmarkStart w:id="91" w:name="_TocRev091"/>
      <w:r>
        <w:t>3.12.3 Panel VAR and ARIMAX Diagnostics</w:t>
      </w:r>
      <w:bookmarkEnd w:id="91"/>
    </w:p>
    <w:p w14:paraId="592D1C55" w14:textId="77777777" w:rsidR="002363FE" w:rsidRDefault="00CC0653">
      <w:pPr>
        <w:spacing w:after="240" w:line="480" w:lineRule="auto"/>
      </w:pPr>
      <w:r>
        <w:rPr>
          <w:rFonts w:eastAsia="Times New Roman" w:cs="Times New Roman"/>
        </w:rPr>
        <w:t>Panel unit-root tests (Levin et al., 2002; Im et al., 2003) are applied before Panel VAR estimation, and non-stationary series are differenced. Panel VAR stability is confirmed by the eigenvalue condition, and Hansen tests are reported for the GMM-estimated Panel VAR. For the ARIMAX models, stationarity is assessed with ADF and KPSS tests (Said &amp; Dickey, 1984; Kwiatkowski et al., 1992), residual autocorrelation with the Ljung–Box test, and forecast accuracy with out-of-sample root mean squared and mean absolute errors.</w:t>
      </w:r>
    </w:p>
    <w:p w14:paraId="32A4C531" w14:textId="77777777" w:rsidR="002363FE" w:rsidRDefault="00CC0653">
      <w:pPr>
        <w:pStyle w:val="Heading3"/>
      </w:pPr>
      <w:bookmarkStart w:id="92" w:name="_TocRev092"/>
      <w:r>
        <w:t>3.12.4 Robustness Analysis</w:t>
      </w:r>
      <w:bookmarkEnd w:id="92"/>
    </w:p>
    <w:p w14:paraId="762DBA3F" w14:textId="77777777" w:rsidR="002363FE" w:rsidRDefault="00CC0653">
      <w:pPr>
        <w:spacing w:after="240" w:line="480" w:lineRule="auto"/>
      </w:pPr>
      <w:r>
        <w:rPr>
          <w:rFonts w:eastAsia="Times New Roman" w:cs="Times New Roman"/>
        </w:rPr>
        <w:t>The principal findings are re-estimated under the following alternatives:</w:t>
      </w:r>
    </w:p>
    <w:p w14:paraId="534EEDBC" w14:textId="77777777" w:rsidR="002363FE" w:rsidRDefault="00CC0653">
      <w:pPr>
        <w:spacing w:after="120" w:line="480" w:lineRule="auto"/>
        <w:ind w:left="720" w:hanging="360"/>
      </w:pPr>
      <w:r>
        <w:rPr>
          <w:rFonts w:eastAsia="Times New Roman" w:cs="Times New Roman"/>
        </w:rPr>
        <w:t>•</w:t>
        <w:tab/>
        <w:t>alternative performance measures: ROA (primary), ROE, and net profit and EBITDA margins where appropriate;</w:t>
      </w:r>
    </w:p>
    <w:p w14:paraId="1603200A" w14:textId="77777777" w:rsidR="002363FE" w:rsidRDefault="00CC0653">
      <w:pPr>
        <w:spacing w:after="120" w:line="480" w:lineRule="auto"/>
        <w:ind w:left="720" w:hanging="360"/>
      </w:pPr>
      <w:r>
        <w:rPr>
          <w:rFonts w:eastAsia="Times New Roman" w:cs="Times New Roman"/>
        </w:rPr>
        <w:t>•</w:t>
        <w:tab/>
        <w:t>alternative forex measures: each component of the forex index separately and an equally weighted index;</w:t>
      </w:r>
    </w:p>
    <w:p w14:paraId="10F0D1D7" w14:textId="77777777" w:rsidR="002363FE" w:rsidRDefault="00CC0653">
      <w:pPr>
        <w:spacing w:after="120" w:line="480" w:lineRule="auto"/>
        <w:ind w:left="720" w:hanging="360"/>
      </w:pPr>
      <w:r>
        <w:rPr>
          <w:rFonts w:eastAsia="Times New Roman" w:cs="Times New Roman"/>
        </w:rPr>
        <w:t>•</w:t>
        <w:tab/>
        <w:t>alternative liquidity measures: the cash conversion cycle and the quick ratio;</w:t>
      </w:r>
    </w:p>
    <w:p w14:paraId="01AECD0C" w14:textId="77777777" w:rsidR="002363FE" w:rsidRDefault="00CC0653">
      <w:pPr>
        <w:spacing w:after="120" w:line="480" w:lineRule="auto"/>
        <w:ind w:left="720" w:hanging="360"/>
      </w:pPr>
      <w:r>
        <w:rPr>
          <w:rFonts w:eastAsia="Times New Roman" w:cs="Times New Roman"/>
        </w:rPr>
        <w:t>•</w:t>
        <w:tab/>
        <w:t>alternative financial risk measure: the debt-to-equity ratio alone;</w:t>
      </w:r>
    </w:p>
    <w:p w14:paraId="29FCF1B8" w14:textId="77777777" w:rsidR="002363FE" w:rsidRDefault="00CC0653">
      <w:pPr>
        <w:spacing w:after="120" w:line="480" w:lineRule="auto"/>
        <w:ind w:left="720" w:hanging="360"/>
      </w:pPr>
      <w:r>
        <w:rPr>
          <w:rFonts w:eastAsia="Times New Roman" w:cs="Times New Roman"/>
        </w:rPr>
        <w:lastRenderedPageBreak/>
        <w:t>•</w:t>
        <w:tab/>
        <w:t>two-way fixed effects with Driscoll–Kraay standard errors as an estimator benchmark;</w:t>
      </w:r>
    </w:p>
    <w:p w14:paraId="67D1E7B3" w14:textId="77777777" w:rsidR="002363FE" w:rsidRDefault="00CC0653">
      <w:pPr>
        <w:spacing w:after="120" w:line="480" w:lineRule="auto"/>
        <w:ind w:left="720" w:hanging="360"/>
      </w:pPr>
      <w:r>
        <w:rPr>
          <w:rFonts w:eastAsia="Times New Roman" w:cs="Times New Roman"/>
        </w:rPr>
        <w:t>•</w:t>
        <w:tab/>
        <w:t>alternative lag structures for volatility and for the mediation paths;</w:t>
      </w:r>
    </w:p>
    <w:p w14:paraId="7AB2B649" w14:textId="77777777" w:rsidR="002363FE" w:rsidRDefault="00CC0653">
      <w:pPr>
        <w:spacing w:after="120" w:line="480" w:lineRule="auto"/>
        <w:ind w:left="720" w:hanging="360"/>
      </w:pPr>
      <w:r>
        <w:rPr>
          <w:rFonts w:eastAsia="Times New Roman" w:cs="Times New Roman"/>
        </w:rPr>
        <w:t xml:space="preserve">•</w:t>
      </w:r>
      <w:r>
        <w:rPr>
          <w:rFonts w:eastAsia="Times New Roman" w:cs="Times New Roman"/>
        </w:rPr>
        <w:tab/>
      </w:r>
      <w:r>
        <w:rPr>
          <w:rFonts w:eastAsia="Times New Roman" w:cs="Times New Roman"/>
        </w:rPr>
        <w:t xml:space="preserve">the secondary specification with seasonal dummies and macroeconomic controls in place of full quarter effects (Equation 4a);</w:t>
      </w:r>
    </w:p>
    <w:p>
      <w:pPr>
        <w:spacing w:after="120" w:line="480" w:lineRule="auto"/>
        <w:ind w:left="720" w:hanging="360"/>
        <w:jc w:val="both"/>
      </w:pPr>
      <w:r>
        <w:rPr>
          <w:rFonts w:eastAsia="Times New Roman" w:cs="Times New Roman"/>
        </w:rPr>
        <w:t xml:space="preserve">•</w:t>
      </w:r>
      <w:r>
        <w:rPr>
          <w:rFonts w:eastAsia="Times New Roman" w:cs="Times New Roman"/>
        </w:rPr>
        <w:tab/>
      </w:r>
      <w:r>
        <w:rPr>
          <w:rFonts w:eastAsia="Times New Roman" w:cs="Times New Roman"/>
        </w:rPr>
        <w:t xml:space="preserve">alternative exposure measures (the USD share of purchases and direct-importer status) and alternative volatility aggregations (end-of-quarter conditional variance and realised variance);</w:t>
      </w:r>
    </w:p>
    <w:p>
      <w:pPr>
        <w:spacing w:after="120" w:line="480" w:lineRule="auto"/>
        <w:ind w:left="720" w:hanging="360"/>
        <w:jc w:val="both"/>
      </w:pPr>
      <w:r>
        <w:rPr>
          <w:rFonts w:eastAsia="Times New Roman" w:cs="Times New Roman"/>
        </w:rPr>
        <w:t xml:space="preserve">•</w:t>
      </w:r>
      <w:r>
        <w:rPr>
          <w:rFonts w:eastAsia="Times New Roman" w:cs="Times New Roman"/>
        </w:rPr>
        <w:tab/>
      </w:r>
      <w:r>
        <w:rPr>
          <w:rFonts w:eastAsia="Times New Roman" w:cs="Times New Roman"/>
        </w:rPr>
        <w:t xml:space="preserve">inverse-probability weighting for selection into the sample (Rule S4) and multiple imputation of missing values (Section 3.7.5);</w:t>
      </w:r>
    </w:p>
    <w:p w14:paraId="3507FCD1" w14:textId="77777777" w:rsidR="002363FE" w:rsidRDefault="00CC0653">
      <w:pPr>
        <w:spacing w:after="120" w:line="480" w:lineRule="auto"/>
        <w:ind w:left="720" w:hanging="360"/>
      </w:pPr>
      <w:r>
        <w:rPr>
          <w:rFonts w:eastAsia="Times New Roman" w:cs="Times New Roman"/>
        </w:rPr>
        <w:t>•</w:t>
        <w:tab/>
        <w:t>balanced versus unbalanced samples, alternative minimum-observation thresholds and an entry/exit indicator; and</w:t>
      </w:r>
    </w:p>
    <w:p w14:paraId="0E7A9FCB" w14:textId="77777777" w:rsidR="002363FE" w:rsidRDefault="00CC0653">
      <w:pPr>
        <w:spacing w:after="120" w:line="480" w:lineRule="auto"/>
        <w:ind w:left="720" w:hanging="360"/>
      </w:pPr>
      <w:r>
        <w:rPr>
          <w:rFonts w:eastAsia="Times New Roman" w:cs="Times New Roman"/>
        </w:rPr>
        <w:t>•</w:t>
        <w:tab/>
        <w:t>the inclusion of Chow–Lin interpolated quarters, which are excluded from the principal analysis.</w:t>
      </w:r>
    </w:p>
    <w:p w14:paraId="1150D543" w14:textId="77777777" w:rsidR="002363FE" w:rsidRDefault="00CC0653">
      <w:pPr>
        <w:spacing w:after="240" w:line="480" w:lineRule="auto"/>
      </w:pPr>
      <w:r>
        <w:rPr>
          <w:rFonts w:eastAsia="Times New Roman" w:cs="Times New Roman"/>
        </w:rPr>
        <w:t>Robustness results are reported alongside the principal results rather than relegated to an appendix, and any substantive change in conclusions is discussed explicitly.</w:t>
      </w:r>
    </w:p>
    <w:p w14:paraId="65122CC0" w14:textId="77777777" w:rsidR="002363FE" w:rsidRDefault="00CC0653">
      <w:pPr>
        <w:pStyle w:val="Heading2"/>
      </w:pPr>
      <w:bookmarkStart w:id="93" w:name="_TocRev093"/>
      <w:r>
        <w:t>3.13 Alignment of Objectives, Questions, Hypotheses and Models</w:t>
      </w:r>
      <w:bookmarkEnd w:id="93"/>
    </w:p>
    <w:p w14:paraId="054BB18C" w14:textId="77777777" w:rsidR="002363FE" w:rsidRDefault="00CC0653">
      <w:pPr>
        <w:spacing w:after="240" w:line="480" w:lineRule="auto"/>
      </w:pPr>
      <w:r>
        <w:rPr>
          <w:rFonts w:eastAsia="Times New Roman" w:cs="Times New Roman"/>
        </w:rPr>
        <w:t xml:space="preserve">Table 3.8 links every objective, research question and hypothesis to its variables, model, coefficient of interest, decision rule and diagnostics, so that Chapters One, Two and Three tell the same story and so that the evidence required to support each hypothesis is fixed before estimation.</w:t>
      </w:r>
    </w:p>
    <w:p w14:paraId="43E6FBA3" w14:textId="77777777" w:rsidR="002363FE" w:rsidRDefault="00CC0653">
      <w:pPr>
        <w:keepNext/>
        <w:spacing w:before="240" w:after="120"/>
        <w:jc w:val="left"/>
      </w:pPr>
      <w:r>
        <w:rPr>
          <w:rFonts w:eastAsia="Times New Roman" w:cs="Times New Roman"/>
          <w:b/>
          <w:bCs/>
        </w:rPr>
        <w:t xml:space="preserve">Table 3.8: Objective–Hypothesis–Model Alignment Matrix</w:t>
      </w:r>
    </w:p>
    <w:tbl>
      <w:tblPr>
        <w:tblStyle w:val="TableGrid"/>
        <w:tblW w:w="9360" w:type="dxa"/>
        <w:tblLayout w:type="fixed"/>
        <w:tblLook w:val="04A0" w:firstRow="1" w:lastRow="0" w:firstColumn="1" w:lastColumn="0" w:noHBand="0" w:noVBand="1"/>
      </w:tblPr>
      <w:tblGrid>
        <w:gridCol w:w="1000"/>
        <w:gridCol w:w="650"/>
        <w:gridCol w:w="1400"/>
        <w:gridCol w:w="1250"/>
        <w:gridCol w:w="1800"/>
        <w:gridCol w:w="1700"/>
        <w:gridCol w:w="1560"/>
      </w:tblGrid>
      <w:tr>
        <w:trPr>
          <w:cantSplit/>
          <w:tblHeader/>
        </w:trPr>
        <w:tc>
          <w:tcPr>
            <w:tcW w:w="10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5"/>
                <w:szCs w:val="15"/>
              </w:rPr>
              <w:t xml:space="preserve">Objective / question</w:t>
            </w:r>
          </w:p>
        </w:tc>
        <w:tc>
          <w:tcPr>
            <w:tcW w:w="65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5"/>
                <w:szCs w:val="15"/>
              </w:rPr>
              <w:t xml:space="preserve">Hyp.</w:t>
            </w:r>
          </w:p>
        </w:tc>
        <w:tc>
          <w:tcPr>
            <w:tcW w:w="14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5"/>
                <w:szCs w:val="15"/>
              </w:rPr>
              <w:t xml:space="preserve">Key variables</w:t>
            </w:r>
          </w:p>
        </w:tc>
        <w:tc>
          <w:tcPr>
            <w:tcW w:w="125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5"/>
                <w:szCs w:val="15"/>
              </w:rPr>
              <w:t xml:space="preserve">Model</w:t>
            </w:r>
          </w:p>
        </w:tc>
        <w:tc>
          <w:tcPr>
            <w:tcW w:w="18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5"/>
                <w:szCs w:val="15"/>
              </w:rPr>
              <w:t xml:space="preserve">Coefficient of interest and test</w:t>
            </w:r>
          </w:p>
        </w:tc>
        <w:tc>
          <w:tcPr>
            <w:tcW w:w="170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5"/>
                <w:szCs w:val="15"/>
              </w:rPr>
              <w:t xml:space="preserve">Supported if</w:t>
            </w:r>
          </w:p>
        </w:tc>
        <w:tc>
          <w:tcPr>
            <w:tcW w:w="1560" w:type="dxa"/>
            <w:tcBorders>
              <w:top w:val="single" w:sz="4" w:space="0" w:color="8EA9C8"/>
              <w:left w:val="single" w:sz="4" w:space="0" w:color="8EA9C8"/>
              <w:bottom w:val="single" w:sz="4" w:space="0" w:color="8EA9C8"/>
              <w:right w:val="single" w:sz="4" w:space="0" w:color="8EA9C8"/>
            </w:tcBorders>
            <w:shd w:val="clear" w:color="auto" w:fill="1F3864"/>
          </w:tcPr>
          <w:p>
            <w:pPr>
              <w:spacing w:before="30" w:after="30"/>
              <w:jc w:val="left"/>
            </w:pPr>
            <w:r>
              <w:rPr>
                <w:rFonts w:eastAsia="Times New Roman" w:cs="Times New Roman"/>
                <w:b/>
                <w:bCs/>
                <w:color w:val="FFFFFF"/>
                <w:sz w:val="15"/>
                <w:szCs w:val="15"/>
              </w:rPr>
              <w:t xml:space="preserve">Key diagnostics</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O1 / RQ1</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H1</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FA</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2, Eq. (4)</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β</w:t>
            </w:r>
            <w:r>
              <w:rPr>
                <w:rFonts w:eastAsia="Times New Roman" w:cs="Times New Roman"/>
                <w:sz w:val="15"/>
                <w:szCs w:val="15"/>
                <w:vertAlign w:val="subscript"/>
              </w:rPr>
              <w:t xml:space="preserve">1</w:t>
            </w:r>
            <w:r>
              <w:rPr>
                <w:rFonts w:eastAsia="Times New Roman" w:cs="Times New Roman"/>
                <w:sz w:val="15"/>
                <w:szCs w:val="15"/>
              </w:rPr>
              <w:t xml:space="preserve">; t-test</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β</w:t>
            </w:r>
            <w:r>
              <w:rPr>
                <w:rFonts w:eastAsia="Times New Roman" w:cs="Times New Roman"/>
                <w:sz w:val="15"/>
                <w:szCs w:val="15"/>
                <w:vertAlign w:val="subscript"/>
              </w:rPr>
              <w:t xml:space="preserve">1</w:t>
            </w:r>
            <w:r>
              <w:rPr>
                <w:rFonts w:eastAsia="Times New Roman" w:cs="Times New Roman"/>
                <w:sz w:val="15"/>
                <w:szCs w:val="15"/>
              </w:rPr>
              <w:t xml:space="preserve"> &gt; 0, p &lt; 0.05</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AR(1), AR(2), Hansen, Diff-in-Hansen, instrument count, N, observations</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O1 / RQ1</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H2</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LV, LV²</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2, Eq. (4), (5)</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β</w:t>
            </w:r>
            <w:r>
              <w:rPr>
                <w:rFonts w:eastAsia="Times New Roman" w:cs="Times New Roman"/>
                <w:sz w:val="15"/>
                <w:szCs w:val="15"/>
                <w:vertAlign w:val="subscript"/>
              </w:rPr>
              <w:t xml:space="preserve">2</w:t>
            </w:r>
            <w:r>
              <w:rPr>
                <w:rFonts w:eastAsia="Times New Roman" w:cs="Times New Roman"/>
                <w:sz w:val="15"/>
                <w:szCs w:val="15"/>
              </w:rPr>
              <w:t xml:space="preserve">, β</w:t>
            </w:r>
            <w:r>
              <w:rPr>
                <w:rFonts w:eastAsia="Times New Roman" w:cs="Times New Roman"/>
                <w:sz w:val="15"/>
                <w:szCs w:val="15"/>
                <w:vertAlign w:val="subscript"/>
              </w:rPr>
              <w:t xml:space="preserve">3</w:t>
            </w:r>
            <w:r>
              <w:rPr>
                <w:rFonts w:eastAsia="Times New Roman" w:cs="Times New Roman"/>
                <w:sz w:val="15"/>
                <w:szCs w:val="15"/>
              </w:rPr>
              <w:t xml:space="preserve">; joint Wald; Lind–Mehlum slopes; LV* with delta/Fieller CI</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Joint test significant, β</w:t>
            </w:r>
            <w:r>
              <w:rPr>
                <w:rFonts w:eastAsia="Times New Roman" w:cs="Times New Roman"/>
                <w:sz w:val="15"/>
                <w:szCs w:val="15"/>
                <w:vertAlign w:val="subscript"/>
              </w:rPr>
              <w:t xml:space="preserve">2</w:t>
            </w:r>
            <w:r>
              <w:rPr>
                <w:rFonts w:eastAsia="Times New Roman" w:cs="Times New Roman"/>
                <w:sz w:val="15"/>
                <w:szCs w:val="15"/>
              </w:rPr>
              <w:t xml:space="preserve"> &gt; 0, β</w:t>
            </w:r>
            <w:r>
              <w:rPr>
                <w:rFonts w:eastAsia="Times New Roman" w:cs="Times New Roman"/>
                <w:sz w:val="15"/>
                <w:szCs w:val="15"/>
                <w:vertAlign w:val="subscript"/>
              </w:rPr>
              <w:t xml:space="preserve">3</w:t>
            </w:r>
            <w:r>
              <w:rPr>
                <w:rFonts w:eastAsia="Times New Roman" w:cs="Times New Roman"/>
                <w:sz w:val="15"/>
                <w:szCs w:val="15"/>
              </w:rPr>
              <w:t xml:space="preserve"> &lt; 0, slopes significant with opposite signs at 5th/95th percentiles, LV* and CI inside range</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H1; VIF for LV and LV²</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O1 / RQ1</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H3</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EXRV × FXE</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2, Eq. (4); Eq. (6) lags</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β</w:t>
            </w:r>
            <w:r>
              <w:rPr>
                <w:rFonts w:eastAsia="Times New Roman" w:cs="Times New Roman"/>
                <w:sz w:val="15"/>
                <w:szCs w:val="15"/>
                <w:vertAlign w:val="subscript"/>
              </w:rPr>
              <w:t xml:space="preserve">5</w:t>
            </w:r>
            <w:r>
              <w:rPr>
                <w:rFonts w:eastAsia="Times New Roman" w:cs="Times New Roman"/>
                <w:sz w:val="15"/>
                <w:szCs w:val="15"/>
              </w:rPr>
              <w:t xml:space="preserve">; t-test; Wald on lag sum</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β</w:t>
            </w:r>
            <w:r>
              <w:rPr>
                <w:rFonts w:eastAsia="Times New Roman" w:cs="Times New Roman"/>
                <w:sz w:val="15"/>
                <w:szCs w:val="15"/>
                <w:vertAlign w:val="subscript"/>
              </w:rPr>
              <w:t xml:space="preserve">5</w:t>
            </w:r>
            <w:r>
              <w:rPr>
                <w:rFonts w:eastAsia="Times New Roman" w:cs="Times New Roman"/>
                <w:sz w:val="15"/>
                <w:szCs w:val="15"/>
              </w:rPr>
              <w:t xml:space="preserve"> &lt; 0, p &lt; 0.05</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H1; GARCH diagnostics (ARCH-LM, Ljung–Box, breaks)</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O2 / RQ2</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H1a</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FA × BIDEC, FA × LPGMC</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3, Eq. (7)</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δ</w:t>
            </w:r>
            <w:r>
              <w:rPr>
                <w:rFonts w:eastAsia="Times New Roman" w:cs="Times New Roman"/>
                <w:sz w:val="15"/>
                <w:szCs w:val="15"/>
                <w:vertAlign w:val="subscript"/>
              </w:rPr>
              <w:t xml:space="preserve">FA</w:t>
            </w:r>
            <w:r>
              <w:rPr>
                <w:rFonts w:eastAsia="Times New Roman" w:cs="Times New Roman"/>
                <w:sz w:val="15"/>
                <w:szCs w:val="15"/>
              </w:rPr>
              <w:t xml:space="preserve">, θ</w:t>
            </w:r>
            <w:r>
              <w:rPr>
                <w:rFonts w:eastAsia="Times New Roman" w:cs="Times New Roman"/>
                <w:sz w:val="15"/>
                <w:szCs w:val="15"/>
                <w:vertAlign w:val="subscript"/>
              </w:rPr>
              <w:t xml:space="preserve">FA</w:t>
            </w:r>
            <w:r>
              <w:rPr>
                <w:rFonts w:eastAsia="Times New Roman" w:cs="Times New Roman"/>
                <w:sz w:val="15"/>
                <w:szCs w:val="15"/>
              </w:rPr>
              <w:t xml:space="preserve">; joint Wald</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Joint test p &lt; 0.05</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H1; category sizes (Rule S3)</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O2 / RQ2</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H2a</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LV, LV² × BIDEC, LPGMC</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3, Eq. (7)</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Four liquidity interactions; joint Wald; LV* by category</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Joint test p &lt; 0.05</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H1; category sizes</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O2 / RQ2</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H3a</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EXRV × FXE × BIDEC, LPGMC</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3, Eq. (7)</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δ</w:t>
            </w:r>
            <w:r>
              <w:rPr>
                <w:rFonts w:eastAsia="Times New Roman" w:cs="Times New Roman"/>
                <w:sz w:val="15"/>
                <w:szCs w:val="15"/>
                <w:vertAlign w:val="subscript"/>
              </w:rPr>
              <w:t xml:space="preserve">EXRV×FXE</w:t>
            </w:r>
            <w:r>
              <w:rPr>
                <w:rFonts w:eastAsia="Times New Roman" w:cs="Times New Roman"/>
                <w:sz w:val="15"/>
                <w:szCs w:val="15"/>
              </w:rPr>
              <w:t xml:space="preserve">, θ</w:t>
            </w:r>
            <w:r>
              <w:rPr>
                <w:rFonts w:eastAsia="Times New Roman" w:cs="Times New Roman"/>
                <w:sz w:val="15"/>
                <w:szCs w:val="15"/>
                <w:vertAlign w:val="subscript"/>
              </w:rPr>
              <w:t xml:space="preserve">EXRV×FXE</w:t>
            </w:r>
            <w:r>
              <w:rPr>
                <w:rFonts w:eastAsia="Times New Roman" w:cs="Times New Roman"/>
                <w:sz w:val="15"/>
                <w:szCs w:val="15"/>
              </w:rPr>
              <w:t xml:space="preserve">; joint Wald</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Joint test p &lt; 0.05</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H1; category sizes</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O3 / RQ3</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H4</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FA</w:t>
            </w:r>
            <w:r>
              <w:rPr>
                <w:rFonts w:eastAsia="Times New Roman" w:cs="Times New Roman"/>
                <w:sz w:val="15"/>
                <w:szCs w:val="15"/>
                <w:vertAlign w:val="subscript"/>
              </w:rPr>
              <w:t xml:space="preserve">t</w:t>
            </w:r>
            <w:r>
              <w:rPr>
                <w:rFonts w:eastAsia="Times New Roman" w:cs="Times New Roman"/>
                <w:sz w:val="15"/>
                <w:szCs w:val="15"/>
              </w:rPr>
              <w:t xml:space="preserve">, ID</w:t>
            </w:r>
            <w:r>
              <w:rPr>
                <w:rFonts w:eastAsia="Times New Roman" w:cs="Times New Roman"/>
                <w:sz w:val="15"/>
                <w:szCs w:val="15"/>
                <w:vertAlign w:val="subscript"/>
              </w:rPr>
              <w:t xml:space="preserve">t+1</w:t>
            </w:r>
            <w:r>
              <w:rPr>
                <w:rFonts w:eastAsia="Times New Roman" w:cs="Times New Roman"/>
                <w:sz w:val="15"/>
                <w:szCs w:val="15"/>
              </w:rPr>
              <w:t xml:space="preserve">, FP</w:t>
            </w:r>
            <w:r>
              <w:rPr>
                <w:rFonts w:eastAsia="Times New Roman" w:cs="Times New Roman"/>
                <w:sz w:val="15"/>
                <w:szCs w:val="15"/>
                <w:vertAlign w:val="subscript"/>
              </w:rPr>
              <w:t xml:space="preserve">t+2</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4, Eq. (8)–(10)</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w:t>
            </w:r>
            <w:r>
              <w:rPr>
                <w:rFonts w:eastAsia="Times New Roman" w:cs="Times New Roman"/>
                <w:sz w:val="15"/>
                <w:szCs w:val="15"/>
                <w:vertAlign w:val="subscript"/>
              </w:rPr>
              <w:t xml:space="preserve">1</w:t>
            </w:r>
            <w:r>
              <w:rPr>
                <w:rFonts w:eastAsia="Times New Roman" w:cs="Times New Roman"/>
                <w:sz w:val="15"/>
                <w:szCs w:val="15"/>
              </w:rPr>
              <w:t xml:space="preserve"> × b</w:t>
            </w:r>
            <w:r>
              <w:rPr>
                <w:rFonts w:eastAsia="Times New Roman" w:cs="Times New Roman"/>
                <w:sz w:val="15"/>
                <w:szCs w:val="15"/>
                <w:vertAlign w:val="subscript"/>
              </w:rPr>
              <w:t xml:space="preserve">1</w:t>
            </w:r>
            <w:r>
              <w:rPr>
                <w:rFonts w:eastAsia="Times New Roman" w:cs="Times New Roman"/>
                <w:sz w:val="15"/>
                <w:szCs w:val="15"/>
              </w:rPr>
              <w:t xml:space="preserve">; cluster percentile bootstrap CI; ρ sensitivity</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CI excludes zero and a</w:t>
            </w:r>
            <w:r>
              <w:rPr>
                <w:rFonts w:eastAsia="Times New Roman" w:cs="Times New Roman"/>
                <w:sz w:val="15"/>
                <w:szCs w:val="15"/>
                <w:vertAlign w:val="subscript"/>
              </w:rPr>
              <w:t xml:space="preserve">1</w:t>
            </w:r>
            <w:r>
              <w:rPr>
                <w:rFonts w:eastAsia="Times New Roman" w:cs="Times New Roman"/>
                <w:sz w:val="15"/>
                <w:szCs w:val="15"/>
              </w:rPr>
              <w:t xml:space="preserve">, b</w:t>
            </w:r>
            <w:r>
              <w:rPr>
                <w:rFonts w:eastAsia="Times New Roman" w:cs="Times New Roman"/>
                <w:sz w:val="15"/>
                <w:szCs w:val="15"/>
                <w:vertAlign w:val="subscript"/>
              </w:rPr>
              <w:t xml:space="preserve">1</w:t>
            </w:r>
            <w:r>
              <w:rPr>
                <w:rFonts w:eastAsia="Times New Roman" w:cs="Times New Roman"/>
                <w:sz w:val="15"/>
                <w:szCs w:val="15"/>
              </w:rPr>
              <w:t xml:space="preserve"> &gt; 0 (indirect association); causal wording only if conditions in Section 3.10.5 hold</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H1 for each path; bootstrap convergence; lag variations</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O4 / RQ4</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H5a</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FA × FR</w:t>
            </w:r>
            <w:r>
              <w:rPr>
                <w:rFonts w:eastAsia="Times New Roman" w:cs="Times New Roman"/>
                <w:sz w:val="15"/>
                <w:szCs w:val="15"/>
                <w:vertAlign w:val="subscript"/>
              </w:rPr>
              <w:t xml:space="preserve">t−1</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5, Eq. (11)</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θ</w:t>
            </w:r>
            <w:r>
              <w:rPr>
                <w:rFonts w:eastAsia="Times New Roman" w:cs="Times New Roman"/>
                <w:sz w:val="15"/>
                <w:szCs w:val="15"/>
                <w:vertAlign w:val="subscript"/>
              </w:rPr>
              <w:t xml:space="preserve">1</w:t>
            </w:r>
            <w:r>
              <w:rPr>
                <w:rFonts w:eastAsia="Times New Roman" w:cs="Times New Roman"/>
                <w:sz w:val="15"/>
                <w:szCs w:val="15"/>
              </w:rPr>
              <w:t xml:space="preserve">; marginal effects; Johnson–Neyman</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θ</w:t>
            </w:r>
            <w:r>
              <w:rPr>
                <w:rFonts w:eastAsia="Times New Roman" w:cs="Times New Roman"/>
                <w:sz w:val="15"/>
                <w:szCs w:val="15"/>
                <w:vertAlign w:val="subscript"/>
              </w:rPr>
              <w:t xml:space="preserve">1</w:t>
            </w:r>
            <w:r>
              <w:rPr>
                <w:rFonts w:eastAsia="Times New Roman" w:cs="Times New Roman"/>
                <w:sz w:val="15"/>
                <w:szCs w:val="15"/>
              </w:rPr>
              <w:t xml:space="preserve"> &lt; 0, p &lt; 0.05</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H1; KMO/Bartlett for FR index</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O4 / RQ4</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H5b</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LV × FR</w:t>
            </w:r>
            <w:r>
              <w:rPr>
                <w:rFonts w:eastAsia="Times New Roman" w:cs="Times New Roman"/>
                <w:sz w:val="15"/>
                <w:szCs w:val="15"/>
                <w:vertAlign w:val="subscript"/>
              </w:rPr>
              <w:t xml:space="preserve">t−1</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5, Eq. (11)</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θ</w:t>
            </w:r>
            <w:r>
              <w:rPr>
                <w:rFonts w:eastAsia="Times New Roman" w:cs="Times New Roman"/>
                <w:sz w:val="15"/>
                <w:szCs w:val="15"/>
                <w:vertAlign w:val="subscript"/>
              </w:rPr>
              <w:t xml:space="preserve">2</w:t>
            </w:r>
            <w:r>
              <w:rPr>
                <w:rFonts w:eastAsia="Times New Roman" w:cs="Times New Roman"/>
                <w:sz w:val="15"/>
                <w:szCs w:val="15"/>
              </w:rPr>
              <w:t xml:space="preserve">; marginal effects</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θ</w:t>
            </w:r>
            <w:r>
              <w:rPr>
                <w:rFonts w:eastAsia="Times New Roman" w:cs="Times New Roman"/>
                <w:sz w:val="15"/>
                <w:szCs w:val="15"/>
                <w:vertAlign w:val="subscript"/>
              </w:rPr>
              <w:t xml:space="preserve">2</w:t>
            </w:r>
            <w:r>
              <w:rPr>
                <w:rFonts w:eastAsia="Times New Roman" w:cs="Times New Roman"/>
                <w:sz w:val="15"/>
                <w:szCs w:val="15"/>
              </w:rPr>
              <w:t xml:space="preserve"> &lt; 0, p &lt; 0.05</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H5a</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O4 / RQ4</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H5c</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EXRV × FR</w:t>
            </w:r>
            <w:r>
              <w:rPr>
                <w:rFonts w:eastAsia="Times New Roman" w:cs="Times New Roman"/>
                <w:sz w:val="15"/>
                <w:szCs w:val="15"/>
                <w:vertAlign w:val="subscript"/>
              </w:rPr>
              <w:t xml:space="preserve">t−1</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5, Eq. (11)</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θ</w:t>
            </w:r>
            <w:r>
              <w:rPr>
                <w:rFonts w:eastAsia="Times New Roman" w:cs="Times New Roman"/>
                <w:sz w:val="15"/>
                <w:szCs w:val="15"/>
                <w:vertAlign w:val="subscript"/>
              </w:rPr>
              <w:t xml:space="preserve">3</w:t>
            </w:r>
            <w:r>
              <w:rPr>
                <w:rFonts w:eastAsia="Times New Roman" w:cs="Times New Roman"/>
                <w:sz w:val="15"/>
                <w:szCs w:val="15"/>
              </w:rPr>
              <w:t xml:space="preserve">; marginal effects</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θ</w:t>
            </w:r>
            <w:r>
              <w:rPr>
                <w:rFonts w:eastAsia="Times New Roman" w:cs="Times New Roman"/>
                <w:sz w:val="15"/>
                <w:szCs w:val="15"/>
                <w:vertAlign w:val="subscript"/>
              </w:rPr>
              <w:t xml:space="preserve">3</w:t>
            </w:r>
            <w:r>
              <w:rPr>
                <w:rFonts w:eastAsia="Times New Roman" w:cs="Times New Roman"/>
                <w:sz w:val="15"/>
                <w:szCs w:val="15"/>
              </w:rPr>
              <w:t xml:space="preserve"> &lt; 0, p &lt; 0.05</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As H5a</w:t>
            </w:r>
          </w:p>
        </w:tc>
      </w:tr>
      <w:tr>
        <w:trPr>
          <w:cantSplit/>
        </w:trPr>
        <w:tc>
          <w:tcPr>
            <w:tcW w:w="10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O5 / RQ5 (supporting)</w:t>
            </w:r>
          </w:p>
        </w:tc>
        <w:tc>
          <w:tcPr>
            <w:tcW w:w="6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H6</w:t>
            </w:r>
          </w:p>
        </w:tc>
        <w:tc>
          <w:tcPr>
            <w:tcW w:w="14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FA, LV, ID, FP (EXRV exogenous)</w:t>
            </w:r>
          </w:p>
        </w:tc>
        <w:tc>
          <w:tcPr>
            <w:tcW w:w="125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Model 6, Eq. (12); ARIMAX Eq. (13)</w:t>
            </w:r>
          </w:p>
        </w:tc>
        <w:tc>
          <w:tcPr>
            <w:tcW w:w="18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Orthogonalised IRFs; Granger Wald tests</w:t>
            </w:r>
          </w:p>
        </w:tc>
        <w:tc>
          <w:tcPr>
            <w:tcW w:w="170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IRF of FP to FA or LV shock: 95% band excludes zero within 1–8 quarters</w:t>
            </w:r>
          </w:p>
        </w:tc>
        <w:tc>
          <w:tcPr>
            <w:tcW w:w="1560" w:type="dxa"/>
            <w:tcBorders>
              <w:top w:val="single" w:sz="4" w:space="0" w:color="8EA9C8"/>
              <w:left w:val="single" w:sz="4" w:space="0" w:color="8EA9C8"/>
              <w:bottom w:val="single" w:sz="4" w:space="0" w:color="8EA9C8"/>
              <w:right w:val="single" w:sz="4" w:space="0" w:color="8EA9C8"/>
            </w:tcBorders>
          </w:tcPr>
          <w:p>
            <w:pPr>
              <w:spacing w:before="30" w:after="30"/>
              <w:jc w:val="left"/>
            </w:pPr>
            <w:r>
              <w:rPr>
                <w:rFonts w:eastAsia="Times New Roman" w:cs="Times New Roman"/>
                <w:sz w:val="15"/>
                <w:szCs w:val="15"/>
              </w:rPr>
              <w:t xml:space="preserve">Eigenvalue stability, Hansen, lag selection; ARIMAX Ljung–Box and out-of-sample RMSE</w:t>
            </w:r>
          </w:p>
        </w:tc>
      </w:tr>
    </w:tbl>
    <w:p w14:paraId="771CFF68" w14:textId="77777777" w:rsidR="002363FE" w:rsidRDefault="00CC0653">
      <w:pPr>
        <w:spacing w:before="60" w:after="240"/>
        <w:jc w:val="left"/>
      </w:pPr>
      <w:r>
        <w:rPr>
          <w:rFonts w:eastAsia="Times New Roman" w:cs="Times New Roman"/>
          <w:i/>
          <w:iCs/>
          <w:sz w:val="20"/>
          <w:szCs w:val="20"/>
        </w:rPr>
        <w:t>Source: Author's construct (2026).</w:t>
      </w:r>
    </w:p>
    <w:p w14:paraId="2E7F3CA8" w14:textId="77777777" w:rsidR="002363FE" w:rsidRDefault="00CC0653">
      <w:pPr>
        <w:pStyle w:val="Heading2"/>
      </w:pPr>
      <w:bookmarkStart w:id="94" w:name="_TocRev094"/>
      <w:r>
        <w:t>3.14 Ethical Considerations</w:t>
      </w:r>
      <w:bookmarkEnd w:id="94"/>
    </w:p>
    <w:p w14:paraId="6246C6E1" w14:textId="77777777" w:rsidR="00917642" w:rsidRPr="00917642" w:rsidRDefault="00917642" w:rsidP="00917642">
      <w:pPr>
        <w:spacing w:after="200" w:line="480" w:lineRule="auto"/>
        <w:rPr>
          <w:rFonts w:cs="Times New Roman"/>
          <w:color w:val="000000" w:themeColor="text1"/>
        </w:rPr>
      </w:pPr>
      <w:r>
        <w:rPr>
          <w:rFonts w:eastAsia="Times New Roman" w:cs="Times New Roman"/>
        </w:rPr>
        <w:t xml:space="preserve">This study relies on secondary data (published financial reports, records released by the National Petroleum Authority, records provided by firms with written consent and official statistics from the Bank of Ghana, the Ghana Statistical Service, the World Bank and the International Monetary Fund) and involves no surveys or interviews. The ethical considerations that typically arise in survey- or interview-based research therefore do not apply in their conventional form. The study nonetheless raises three ethical considerations specific to its use of firm-level financial data.</w:t>
      </w:r>
    </w:p>
    <w:p w14:paraId="50489B60" w14:textId="77777777" w:rsidR="00917642" w:rsidRPr="00917642" w:rsidRDefault="00917642" w:rsidP="00917642">
      <w:pPr>
        <w:spacing w:after="200" w:line="480" w:lineRule="auto"/>
        <w:rPr>
          <w:rFonts w:cs="Times New Roman"/>
          <w:color w:val="000000" w:themeColor="text1"/>
        </w:rPr>
      </w:pPr>
      <w:r>
        <w:rPr>
          <w:rFonts w:eastAsia="Times New Roman" w:cs="Times New Roman"/>
        </w:rPr>
        <w:t xml:space="preserve">First, data are used only from sources that are publicly available or for which documented permission has been obtained: a written data-access approval from the NPA for any non-public NPA records, and a signed consent letter from each firm that provides financial statements or foreign exchange records. Confidential tax records held by the Ghana Revenue Authority are not requested or used unless the GRA grants documented written permission under the Revenue Administration Act, 2016 (Act 915), and the design does not depend on them (Section 3.7.3). Copies of all approvals and consent letters are kept on the ethics file and provided to the Research Ethics Committee. All data are used solely for the academic purposes of this dissertation, and no data are obtained by any method that would circumvent an institution's access procedures or confidentiality policies.</w:t>
      </w:r>
    </w:p>
    <w:p w14:paraId="0C7D9276"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 xml:space="preserve">Second, some of the data are confidential firm records, and the relatively small population of licensed BIDECs, OMCs, and LPGMCs in Ghana (Section 3.6) means that firm-level financial results could, in principle, be identifiable even </w:t>
        <w:lastRenderedPageBreak/>
        <w:t>after aggregation, particularly for the smaller number of BIDECs. To mitigate this risk, individual firms are assigned anonymised alphanumeric identifiers for the duration of the analysis, and all results reported in the dissertation — including firm-category sub-sample findings — are presented at the level of statistical aggregates and coefficient estimates rather than as identifiable firm-level figures. This anonymisation protocol applies to all working data files, tables, and figures produced during the study and is maintained in any subsequent publication arising from this research, consistent with the data protection principles of Ghana's Data Protection Act, 2012 (Act 843), to the extent that Act's provisions apply to corporate financial data of this kind.</w:t>
      </w:r>
    </w:p>
    <w:p w14:paraId="48687183"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Third, given the study's explicit policy orientation — its findings are intended to inform NPA regulatory design and firm-level financial risk management practice — care is taken in the presentation and dissemination of results to avoid framing that could unfairly stigmatise specific firm categories or be used to justify punitive rather than supportive regulatory responses. Findings are reported with appropriate statistical caveats regarding sample representativeness and the interpretation of the estimates, and policy recommendations arising from the study (Chapter Five) are framed as evidence-informed options for regulatory consideration rather than as prescriptive conclusions. The study maintains full academic integrity throughout, including complete and accurate citation of all data sources, transparent reporting of all empirical results regardless of statistical significance, and disclosure of any limitations in data coverage or estimation validity identified during the analysis (Bryman, 2016; Saunders et al., 2019).</w:t>
      </w:r>
    </w:p>
    <w:p w14:paraId="69D794B7"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Institutional ethical clearance for the study is sought from Valley View University's Research Ethics Committee prior to the commencement of data collection, in accordance with standard doctoral research procedures, notwithstanding the study's reliance on secondary rather than primary data.</w:t>
      </w:r>
    </w:p>
    <w:p w14:paraId="0E71206D" w14:textId="77777777" w:rsidR="002363FE" w:rsidRDefault="00CC0653">
      <w:r>
        <w:lastRenderedPageBreak/>
        <w:br w:type="page"/>
      </w:r>
    </w:p>
    <w:p w14:paraId="24F5B750" w14:textId="77777777" w:rsidR="00A87C78" w:rsidRDefault="00A87C78" w:rsidP="00A87C78">
      <w:pPr>
        <w:pStyle w:val="Heading1"/>
      </w:pPr>
      <w:bookmarkStart w:id="95" w:name="_TocRev095"/>
      <w:r>
        <w:lastRenderedPageBreak/>
        <w:t>REFERENCES</w:t>
      </w:r>
      <w:bookmarkEnd w:id="95"/>
    </w:p>
    <w:p w14:paraId="01863702" w14:textId="77777777" w:rsidR="00A87C78" w:rsidRDefault="00A87C78" w:rsidP="00A87C78">
      <w:pPr>
        <w:spacing w:after="120" w:line="480" w:lineRule="auto"/>
        <w:ind w:left="720" w:hanging="720"/>
      </w:pPr>
      <w:r>
        <w:rPr>
          <w:rFonts w:eastAsia="Times New Roman" w:cs="Times New Roman"/>
        </w:rPr>
        <w:t>Abdul-Mumuni, A. (2016). Exchange rate variability and manufacturing sector performance in Ghana: Evidence from cointegration analysis. Issues in Economics and Business, 2(1), 1–14.</w:t>
      </w:r>
    </w:p>
    <w:p w14:paraId="2C5CE780" w14:textId="77777777" w:rsidR="00A87C78" w:rsidRDefault="00A87C78" w:rsidP="00A87C78">
      <w:pPr>
        <w:spacing w:after="120" w:line="480" w:lineRule="auto"/>
        <w:ind w:left="720" w:hanging="720"/>
      </w:pPr>
      <w:r>
        <w:rPr>
          <w:rFonts w:eastAsia="Times New Roman" w:cs="Times New Roman"/>
        </w:rPr>
        <w:t>Abor, J. (2005). The effect of capital structure on profitability: An empirical analysis of listed firms in Ghana. The Journal of Risk Finance, 6(5), 438–445.</w:t>
      </w:r>
    </w:p>
    <w:p w14:paraId="787C53F7" w14:textId="77777777" w:rsidR="00A87C78" w:rsidRDefault="00A87C78" w:rsidP="00A87C78">
      <w:pPr>
        <w:spacing w:after="120" w:line="480" w:lineRule="auto"/>
        <w:ind w:left="720" w:hanging="720"/>
      </w:pPr>
      <w:r>
        <w:t>Abor, J., &amp; Quartey, P. (2010). Issues in SME development in Ghana and South Africa. International Research Journal of Finance and Economics, 39(6), 218–228.</w:t>
      </w:r>
    </w:p>
    <w:p w14:paraId="54AE16AB" w14:textId="77777777" w:rsidR="00A87C78" w:rsidRDefault="00A87C78" w:rsidP="00A87C78">
      <w:pPr>
        <w:spacing w:after="120" w:line="480" w:lineRule="auto"/>
        <w:ind w:left="720" w:hanging="720"/>
      </w:pPr>
      <w:r>
        <w:t>Abrigo, M. R. M., &amp; Love, I. (2016). Estimation of panel vector autoregression in Stata. Stata Journal, 16(3), 778–804.</w:t>
      </w:r>
    </w:p>
    <w:p w14:paraId="19A4BA56" w14:textId="77777777" w:rsidR="00A87C78" w:rsidRDefault="00A87C78" w:rsidP="00A87C78">
      <w:pPr>
        <w:spacing w:after="120" w:line="480" w:lineRule="auto"/>
        <w:ind w:left="720" w:hanging="720"/>
      </w:pPr>
      <w:r>
        <w:t>Adler, M., &amp; Dumas, B. (1984). Exposure to currency risk: Definition and measurement. Financial Management, 13(2), 41–50.</w:t>
      </w:r>
    </w:p>
    <w:p w14:paraId="5F8D3CCC" w14:textId="77777777" w:rsidR="00A87C78" w:rsidRDefault="00A87C78" w:rsidP="00A87C78">
      <w:pPr>
        <w:spacing w:after="120" w:line="480" w:lineRule="auto"/>
        <w:ind w:left="720" w:hanging="720"/>
      </w:pPr>
      <w:r>
        <w:t>Adomako, S., Danso, A., &amp; Ofori Damoah, J. (2016). The moderating influence of financial literacy on the relationship between access to finance and firm growth in Ghana. Venture Capital, 18(1), 43–61.</w:t>
      </w:r>
    </w:p>
    <w:p w14:paraId="7DB83809" w14:textId="77777777" w:rsidR="00A87C78" w:rsidRDefault="00A87C78" w:rsidP="00A87C78">
      <w:pPr>
        <w:spacing w:after="120" w:line="480" w:lineRule="auto"/>
        <w:ind w:left="720" w:hanging="720"/>
      </w:pPr>
      <w:r>
        <w:t>Aghion, P., Bacchetta, P., Rancière, R., &amp; Rogoff, K. (2009). Exchange rate volatility and productivity growth: The role of financial development. Journal of Monetary Economics, 56(4), 494–513.</w:t>
      </w:r>
    </w:p>
    <w:p w14:paraId="1F4ABD8A" w14:textId="77777777" w:rsidR="00A87C78" w:rsidRDefault="00A87C78" w:rsidP="00A87C78">
      <w:pPr>
        <w:spacing w:after="120" w:line="480" w:lineRule="auto"/>
        <w:ind w:left="720" w:hanging="720"/>
      </w:pPr>
      <w:r>
        <w:t>Aiken, L. S., &amp; West, S. G. (1991). Multiple regression: Testing and interpreting interactions. Sage Publications.</w:t>
      </w:r>
    </w:p>
    <w:p w14:paraId="2D0FD247" w14:textId="77777777" w:rsidR="00A87C78" w:rsidRDefault="00A87C78" w:rsidP="00A87C78">
      <w:pPr>
        <w:spacing w:after="120" w:line="480" w:lineRule="auto"/>
        <w:ind w:left="720" w:hanging="720"/>
      </w:pPr>
      <w:r>
        <w:rPr>
          <w:rFonts w:eastAsia="Times New Roman" w:cs="Times New Roman"/>
        </w:rPr>
        <w:t>Akoto, R. K., Awunyo-Vitor, D., &amp; Angmor, P. L. (2013). Working capital management and profitability: Evidence from Ghanaian listed manufacturing firms. Journal of Economics and International Finance, 5(9), 373–379. https://doi.org/10.5897/JEIF2013.0539</w:t>
      </w:r>
    </w:p>
    <w:p w14:paraId="5302AB9C" w14:textId="77777777" w:rsidR="00A87C78" w:rsidRDefault="00A87C78" w:rsidP="00A87C78">
      <w:pPr>
        <w:spacing w:after="120" w:line="480" w:lineRule="auto"/>
        <w:ind w:left="720" w:hanging="720"/>
      </w:pPr>
      <w:r>
        <w:rPr>
          <w:rFonts w:eastAsia="Times New Roman" w:cs="Times New Roman"/>
        </w:rPr>
        <w:t>Alagbe, E. A., Jimoh, S. O., &amp; Jimoh, B. A. (2021). Effect of exchange rate changes on financial performance of listed oil and gas companies in Nigeria. African Multidisciplinary Journal of Development, 10(3), 74–89.</w:t>
      </w:r>
    </w:p>
    <w:p w14:paraId="287E53E5" w14:textId="77777777" w:rsidR="00A87C78" w:rsidRDefault="00A87C78" w:rsidP="00A87C78">
      <w:pPr>
        <w:spacing w:after="120" w:line="480" w:lineRule="auto"/>
        <w:ind w:left="720" w:hanging="720"/>
      </w:pPr>
      <w:r>
        <w:rPr>
          <w:rFonts w:eastAsia="Times New Roman" w:cs="Times New Roman"/>
        </w:rPr>
        <w:t>Alagidede, P., &amp; Ibrahim, M. (2017). On the causes and effects of exchange rate volatility on economic growth: Evidence from Ghana. Journal of African Business, 18(2), 169–193.</w:t>
      </w:r>
    </w:p>
    <w:p w14:paraId="116531F7" w14:textId="77777777" w:rsidR="00A87C78" w:rsidRDefault="00A87C78" w:rsidP="00A87C78">
      <w:pPr>
        <w:spacing w:after="120" w:line="480" w:lineRule="auto"/>
        <w:ind w:left="720" w:hanging="720"/>
      </w:pPr>
      <w:r>
        <w:t>Allayannis, G., &amp; Ofek, E. (2001). Exchange rate exposure, hedging, and the use of foreign currency derivatives. Journal of International Money and Finance, 20(2), 273–296.</w:t>
      </w:r>
    </w:p>
    <w:p w14:paraId="723A85ED" w14:textId="77777777" w:rsidR="00A87C78" w:rsidRDefault="00A87C78" w:rsidP="00A87C78">
      <w:pPr>
        <w:spacing w:after="120" w:line="480" w:lineRule="auto"/>
        <w:ind w:left="720" w:hanging="720"/>
      </w:pPr>
      <w:r>
        <w:t>Allayannis, G., &amp; Weston, J. P. (2001). The use of foreign currency derivatives and firm market value. Review of Financial Studies, 14(1), 243–276.</w:t>
      </w:r>
    </w:p>
    <w:p w14:paraId="4A30D3F3" w14:textId="77777777" w:rsidR="00A87C78" w:rsidRDefault="00A87C78" w:rsidP="00A87C78">
      <w:pPr>
        <w:spacing w:after="120" w:line="480" w:lineRule="auto"/>
        <w:ind w:left="720" w:hanging="720"/>
      </w:pPr>
      <w:r>
        <w:lastRenderedPageBreak/>
        <w:t>Allayannis, G., Lel, U., &amp; Miller, D. P. (2012). The use of foreign currency derivatives, corporate governance, and firm value around the world. Journal of International Economics, 87(1), 65–79.</w:t>
      </w:r>
    </w:p>
    <w:p w14:paraId="4E3FFF0C" w14:textId="77777777" w:rsidR="00A87C78" w:rsidRDefault="00A87C78" w:rsidP="00A87C78">
      <w:pPr>
        <w:spacing w:after="120" w:line="480" w:lineRule="auto"/>
        <w:ind w:left="720" w:hanging="720"/>
      </w:pPr>
      <w:r>
        <w:t>Almeida, H., Campello, M., &amp; Weisbach, M. S. (2004). The cash flow sensitivity of cash. Journal of Finance, 59(4), 1777–1804.</w:t>
      </w:r>
    </w:p>
    <w:p w14:paraId="08284D2C" w14:textId="77777777" w:rsidR="00A87C78" w:rsidRDefault="00A87C78" w:rsidP="00A87C78">
      <w:pPr>
        <w:spacing w:after="120" w:line="480" w:lineRule="auto"/>
        <w:ind w:left="720" w:hanging="720"/>
      </w:pPr>
      <w:r>
        <w:t>Altman, E. I. (1968). Financial ratios, discriminant analysis and the prediction of corporate bankruptcy. Journal of Finance, 23(4), 589–609.</w:t>
      </w:r>
    </w:p>
    <w:p w14:paraId="6C21991F" w14:textId="77777777" w:rsidR="00A87C78" w:rsidRDefault="00A87C78" w:rsidP="00A87C78">
      <w:pPr>
        <w:spacing w:after="120" w:line="480" w:lineRule="auto"/>
        <w:ind w:left="720" w:hanging="720"/>
      </w:pPr>
      <w:r>
        <w:rPr>
          <w:rFonts w:eastAsia="Times New Roman" w:cs="Times New Roman"/>
        </w:rPr>
        <w:t>Andrews, D. W. K., &amp; Lu, B. (2001). Consistent model and moment selection procedures for GMM estimation with application to dynamic panel data models. Journal of Econometrics, 101(1), 123–164.</w:t>
      </w:r>
    </w:p>
    <w:p w14:paraId="5FFC1C57" w14:textId="77777777" w:rsidR="00A87C78" w:rsidRDefault="00A87C78" w:rsidP="00A87C78">
      <w:pPr>
        <w:spacing w:after="120" w:line="480" w:lineRule="auto"/>
        <w:ind w:left="720" w:hanging="720"/>
      </w:pPr>
      <w:r>
        <w:t>Arellano, M., &amp; Bond, S. (1991). Some tests of specification for panel data: Monte Carlo evidence and an application to employment equations. Review of Economic Studies, 58(2), 277–297.</w:t>
      </w:r>
    </w:p>
    <w:p w14:paraId="65D82CF7" w14:textId="77777777" w:rsidR="00A87C78" w:rsidRDefault="00A87C78" w:rsidP="00A87C78">
      <w:pPr>
        <w:spacing w:after="120" w:line="480" w:lineRule="auto"/>
        <w:ind w:left="720" w:hanging="720"/>
      </w:pPr>
      <w:r>
        <w:t>Aryeetey, E., Osei, R., &amp; Twerefou, D. K. (2016). Oil revenue, public expenditure and growth in Ghana. Journal of African Development, 18(2), 1–24.</w:t>
      </w:r>
    </w:p>
    <w:p>
      <w:pPr>
        <w:spacing w:after="120" w:line="480" w:lineRule="auto"/>
        <w:ind w:left="720" w:hanging="720"/>
      </w:pPr>
      <w:r>
        <w:rPr>
          <w:rFonts w:eastAsia="Times New Roman" w:cs="Times New Roman"/>
        </w:rPr>
        <w:t xml:space="preserve">Bai, J., &amp; Perron, P. (2003). Computation and analysis of multiple structural change models. Journal of Applied Econometrics, 18(1), 1–22.</w:t>
      </w:r>
    </w:p>
    <w:p w14:paraId="3141E722" w14:textId="77777777" w:rsidR="00A87C78" w:rsidRDefault="00A87C78" w:rsidP="00A87C78">
      <w:pPr>
        <w:spacing w:after="120" w:line="480" w:lineRule="auto"/>
        <w:ind w:left="720" w:hanging="720"/>
      </w:pPr>
      <w:r>
        <w:t>Baltagi, B. H. (2021). Econometric analysis of panel data (6th ed.). Wiley.</w:t>
      </w:r>
    </w:p>
    <w:p>
      <w:pPr>
        <w:spacing w:after="120" w:line="480" w:lineRule="auto"/>
        <w:ind w:left="720" w:hanging="720"/>
      </w:pPr>
      <w:r>
        <w:rPr>
          <w:rFonts w:eastAsia="Times New Roman" w:cs="Times New Roman"/>
        </w:rPr>
        <w:t xml:space="preserve">Bank of Ghana. (2020). Annual report 2019. Bank of Ghana.</w:t>
      </w:r>
    </w:p>
    <w:p w14:paraId="484CD04E" w14:textId="77777777" w:rsidR="00A87C78" w:rsidRDefault="00A87C78" w:rsidP="00A87C78">
      <w:pPr>
        <w:spacing w:after="120" w:line="480" w:lineRule="auto"/>
        <w:ind w:left="720" w:hanging="720"/>
      </w:pPr>
      <w:r>
        <w:t>Baños-Caballero, S., García-Teruel, P. J., &amp; Martínez-Solano, P. (2010). Working capital management in SMEs. Accounting and Finance, 50(3), 511–527.</w:t>
      </w:r>
    </w:p>
    <w:p w14:paraId="45E008B7" w14:textId="77777777" w:rsidR="00A87C78" w:rsidRDefault="00A87C78" w:rsidP="00A87C78">
      <w:pPr>
        <w:spacing w:after="120" w:line="480" w:lineRule="auto"/>
        <w:ind w:left="720" w:hanging="720"/>
      </w:pPr>
      <w:r>
        <w:lastRenderedPageBreak/>
        <w:t>Baños-Caballero, S., García-Teruel, P. J., &amp; Martínez-Solano, P. (2014). Working capital management, corporate performance, and financial constraints. Journal of Business Research, 67(3), 332–338.</w:t>
      </w:r>
    </w:p>
    <w:p w14:paraId="3EBB4027" w14:textId="77777777" w:rsidR="00A87C78" w:rsidRDefault="00A87C78" w:rsidP="00A87C78">
      <w:pPr>
        <w:spacing w:after="120" w:line="480" w:lineRule="auto"/>
        <w:ind w:left="720" w:hanging="720"/>
      </w:pPr>
      <w:r>
        <w:rPr>
          <w:rFonts w:eastAsia="Times New Roman" w:cs="Times New Roman"/>
        </w:rPr>
        <w:t xml:space="preserve">Bank of Ghana. (2023). Annual report 2022. Bank of Ghana.</w:t>
      </w:r>
    </w:p>
    <w:p w14:paraId="3098F2AF" w14:textId="77777777" w:rsidR="00A87C78" w:rsidRDefault="00A87C78" w:rsidP="00A87C78">
      <w:pPr>
        <w:spacing w:after="120" w:line="480" w:lineRule="auto"/>
        <w:ind w:left="720" w:hanging="720"/>
      </w:pPr>
      <w:r>
        <w:t>Barney, J. (1991). Firm resources and sustained competitive advantage. Journal of Management, 17(1), 99–120.</w:t>
      </w:r>
    </w:p>
    <w:p w14:paraId="76A2E73B" w14:textId="77777777" w:rsidR="00A87C78" w:rsidRDefault="00A87C78" w:rsidP="00A87C78">
      <w:pPr>
        <w:spacing w:after="120" w:line="480" w:lineRule="auto"/>
        <w:ind w:left="720" w:hanging="720"/>
      </w:pPr>
      <w:r>
        <w:t>Baron, R. M., &amp; Kenny, D. A. (1986). The moderator–mediator variable distinction in social psychological research: Conceptual, strategic, and statistical considerations. Journal of Personality and Social Psychology, 51(6), 1173–1182.</w:t>
      </w:r>
    </w:p>
    <w:p w14:paraId="628DC375" w14:textId="77777777" w:rsidR="00A87C78" w:rsidRDefault="00A87C78" w:rsidP="00A87C78">
      <w:pPr>
        <w:spacing w:after="120" w:line="480" w:lineRule="auto"/>
        <w:ind w:left="720" w:hanging="720"/>
      </w:pPr>
      <w:r>
        <w:t>Bartram, S. M., Brown, G. W., &amp; Minton, B. A. (2010). Resolving the exposure puzzle: The many facets of exchange rate exposure. Journal of Financial Economics, 95(2), 148–173.</w:t>
      </w:r>
    </w:p>
    <w:p w14:paraId="7390579C" w14:textId="77777777" w:rsidR="00A87C78" w:rsidRDefault="00A87C78" w:rsidP="00A87C78">
      <w:pPr>
        <w:spacing w:after="120" w:line="480" w:lineRule="auto"/>
        <w:ind w:left="720" w:hanging="720"/>
      </w:pPr>
      <w:r>
        <w:t>Beck, T., Demirgüç-Kunt, A., &amp; Maksimovic, V. (2006). The influence of financial and legal institutions on firm size. Journal of Banking &amp; Finance, 30(11), 2995–3015.</w:t>
      </w:r>
    </w:p>
    <w:p w14:paraId="142EA6F3" w14:textId="77777777" w:rsidR="00A87C78" w:rsidRDefault="00A87C78" w:rsidP="00A87C78">
      <w:pPr>
        <w:spacing w:after="120" w:line="480" w:lineRule="auto"/>
        <w:ind w:left="720" w:hanging="720"/>
      </w:pPr>
      <w:r>
        <w:t>Blundell, R., &amp; Bond, S. (1998). Initial conditions and moment restrictions in dynamic panel data models. Journal of Econometrics, 87(1), 115–143.</w:t>
      </w:r>
    </w:p>
    <w:p w14:paraId="5CC76BFA" w14:textId="77777777" w:rsidR="00A87C78" w:rsidRDefault="00A87C78" w:rsidP="00A87C78">
      <w:pPr>
        <w:spacing w:after="120" w:line="480" w:lineRule="auto"/>
        <w:ind w:left="720" w:hanging="720"/>
      </w:pPr>
      <w:r>
        <w:t>Bodnar, G. M., Hayt, G. S., Marston, R. C., &amp; Smithson, C. W. (1995). Wharton survey of derivatives usage by US non-financial firms. Financial Management, 24(2), 104–114.</w:t>
      </w:r>
    </w:p>
    <w:p w14:paraId="69863C65" w14:textId="77777777" w:rsidR="00A87C78" w:rsidRDefault="00A87C78" w:rsidP="00A87C78">
      <w:pPr>
        <w:spacing w:after="120" w:line="480" w:lineRule="auto"/>
        <w:ind w:left="720" w:hanging="720"/>
      </w:pPr>
      <w:r>
        <w:t>Bollerslev, T. (1986). Generalized autoregressive conditional heteroskedasticity. Journal of Econometrics, 31(3), 307–327.</w:t>
      </w:r>
    </w:p>
    <w:p w14:paraId="5DC7E214" w14:textId="77777777" w:rsidR="00A87C78" w:rsidRDefault="00A87C78" w:rsidP="00A87C78">
      <w:pPr>
        <w:spacing w:after="120" w:line="480" w:lineRule="auto"/>
        <w:ind w:left="720" w:hanging="720"/>
      </w:pPr>
      <w:r>
        <w:lastRenderedPageBreak/>
        <w:t>Bollerslev, T., &amp; Wooldridge, J. M. (1992). Quasi-maximum likelihood estimation and inference in dynamic models with time-varying covariances. Econometric Reviews, 11(2), 143–172.</w:t>
      </w:r>
    </w:p>
    <w:p w14:paraId="58390EFA" w14:textId="77777777" w:rsidR="00A87C78" w:rsidRDefault="00A87C78" w:rsidP="00A87C78">
      <w:pPr>
        <w:spacing w:after="120" w:line="480" w:lineRule="auto"/>
        <w:ind w:left="720" w:hanging="720"/>
      </w:pPr>
      <w:r>
        <w:t>Box, G. E. P., Jenkins, G. M., Reinsel, G. C., &amp; Ljung, G. M. (2015). Time series analysis: Forecasting and control (5th ed.). Wiley.</w:t>
      </w:r>
    </w:p>
    <w:p w14:paraId="20007460" w14:textId="77777777" w:rsidR="00A87C78" w:rsidRDefault="00A87C78" w:rsidP="00A87C78">
      <w:pPr>
        <w:spacing w:after="120" w:line="480" w:lineRule="auto"/>
        <w:ind w:left="720" w:hanging="720"/>
      </w:pPr>
      <w:r>
        <w:rPr>
          <w:rFonts w:eastAsia="Times New Roman" w:cs="Times New Roman"/>
        </w:rPr>
        <w:t>Breusch, T. S., &amp; Pagan, A. R. (1979). A simple test for heteroscedasticity and random coefficient variation. Econometrica, 47(5), 1287–1294.</w:t>
      </w:r>
    </w:p>
    <w:p>
      <w:pPr>
        <w:spacing w:after="120" w:line="480" w:lineRule="auto"/>
        <w:ind w:left="720" w:hanging="720"/>
      </w:pPr>
      <w:r>
        <w:rPr>
          <w:rFonts w:eastAsia="Times New Roman" w:cs="Times New Roman"/>
        </w:rPr>
        <w:t xml:space="preserve">Bruno, G. S. F. (2005). Approximating the bias of the LSDV estimator for dynamic unbalanced panel data models. Economics Letters, 87(3), 361–366.</w:t>
      </w:r>
    </w:p>
    <w:p w14:paraId="4C7D3B66" w14:textId="77777777" w:rsidR="00A87C78" w:rsidRDefault="00A87C78" w:rsidP="00A87C78">
      <w:pPr>
        <w:spacing w:after="120" w:line="480" w:lineRule="auto"/>
        <w:ind w:left="720" w:hanging="720"/>
      </w:pPr>
      <w:r>
        <w:t>Bryman, A. (2016). Social research methods (5th ed.). Oxford University Press.</w:t>
      </w:r>
    </w:p>
    <w:p w14:paraId="7B5C9E8E" w14:textId="77777777" w:rsidR="00A87C78" w:rsidRDefault="00A87C78" w:rsidP="00A87C78">
      <w:pPr>
        <w:spacing w:after="120" w:line="480" w:lineRule="auto"/>
        <w:ind w:left="720" w:hanging="720"/>
      </w:pPr>
      <w:r>
        <w:t>Campello, M., Graham, J. R., &amp; Harvey, C. R. (2010). The real effects of financial constraints: Evidence from a financial crisis. Journal of Financial Economics, 97(3), 470–487.</w:t>
      </w:r>
    </w:p>
    <w:p w14:paraId="2B3B9A02" w14:textId="77777777" w:rsidR="00A87C78" w:rsidRDefault="00A87C78" w:rsidP="00A87C78">
      <w:pPr>
        <w:spacing w:after="120" w:line="480" w:lineRule="auto"/>
        <w:ind w:left="720" w:hanging="720"/>
      </w:pPr>
      <w:r>
        <w:t>Chow, G. C., &amp; Lin, A. L. (1971). Best linear unbiased interpolation, distribution, and extrapolation of time series by related series. Review of Economics and Statistics, 53(4), 372–375.</w:t>
      </w:r>
    </w:p>
    <w:p w14:paraId="28901246" w14:textId="77777777" w:rsidR="00A87C78" w:rsidRDefault="00A87C78" w:rsidP="00A87C78">
      <w:pPr>
        <w:spacing w:after="120" w:line="480" w:lineRule="auto"/>
        <w:ind w:left="720" w:hanging="720"/>
      </w:pPr>
      <w:r>
        <w:t>Cleary, S. (1999). The relationship between firm investment and financial status. Journal of Finance, 54(2), 673–692.</w:t>
      </w:r>
    </w:p>
    <w:p w14:paraId="3A19CF36" w14:textId="77777777" w:rsidR="00A87C78" w:rsidRDefault="00A87C78" w:rsidP="00A87C78">
      <w:pPr>
        <w:spacing w:after="120" w:line="480" w:lineRule="auto"/>
        <w:ind w:left="720" w:hanging="720"/>
      </w:pPr>
      <w:r>
        <w:t>Creswell, J. W., &amp; Creswell, J. D. (2018). Research design: Qualitative, quantitative, and mixed methods approaches (5th ed.). Sage Publications.</w:t>
      </w:r>
    </w:p>
    <w:p w14:paraId="0B2F24E9" w14:textId="77777777" w:rsidR="00A87C78" w:rsidRDefault="00A87C78" w:rsidP="00A87C78">
      <w:pPr>
        <w:spacing w:after="120" w:line="480" w:lineRule="auto"/>
        <w:ind w:left="720" w:hanging="720"/>
      </w:pPr>
      <w:r>
        <w:t>Croissant, Y., &amp; Millo, G. (2019). Panel data econometrics with R. Wiley.</w:t>
      </w:r>
    </w:p>
    <w:p w14:paraId="2AA7AD67" w14:textId="77777777" w:rsidR="00A87C78" w:rsidRDefault="00A87C78" w:rsidP="00A87C78">
      <w:pPr>
        <w:spacing w:after="120" w:line="480" w:lineRule="auto"/>
        <w:ind w:left="720" w:hanging="720"/>
      </w:pPr>
      <w:r>
        <w:t>Damodaran, A. (2022). Applied corporate finance (5th ed.). Wiley.</w:t>
      </w:r>
    </w:p>
    <w:p>
      <w:pPr>
        <w:spacing w:after="120" w:line="480" w:lineRule="auto"/>
        <w:ind w:left="720" w:hanging="720"/>
      </w:pPr>
      <w:r>
        <w:rPr>
          <w:rFonts w:eastAsia="Times New Roman" w:cs="Times New Roman"/>
        </w:rPr>
        <w:t xml:space="preserve">Data Protection Act, 2012 (Act 843). Republic of Ghana.</w:t>
      </w:r>
    </w:p>
    <w:p w14:paraId="7DB40914" w14:textId="77777777" w:rsidR="00A87C78" w:rsidRDefault="00A87C78" w:rsidP="00A87C78">
      <w:pPr>
        <w:spacing w:after="120" w:line="480" w:lineRule="auto"/>
        <w:ind w:left="720" w:hanging="720"/>
      </w:pPr>
      <w:r>
        <w:t>Davidson, R., &amp; MacKinnon, J. G. (2004). Econometric theory and methods. Oxford University Press.</w:t>
      </w:r>
    </w:p>
    <w:p w14:paraId="7ECD3B19" w14:textId="77777777" w:rsidR="00A87C78" w:rsidRDefault="00A87C78" w:rsidP="00A87C78">
      <w:pPr>
        <w:spacing w:after="120" w:line="480" w:lineRule="auto"/>
        <w:ind w:left="720" w:hanging="720"/>
      </w:pPr>
      <w:r>
        <w:lastRenderedPageBreak/>
        <w:t>Deloof, M. (2003). Does working capital management affect profitability of Belgian firms? Journal of Business Finance &amp; Accounting, 30(3–4), 573–587.</w:t>
      </w:r>
    </w:p>
    <w:p w14:paraId="05B7F294" w14:textId="77777777" w:rsidR="00A87C78" w:rsidRDefault="00A87C78" w:rsidP="00A87C78">
      <w:pPr>
        <w:spacing w:after="120" w:line="480" w:lineRule="auto"/>
        <w:ind w:left="720" w:hanging="720"/>
      </w:pPr>
      <w:r>
        <w:t>Demsetz, H., &amp; Villalonga, B. (2001). Ownership structure and corporate performance. Journal of Corporate Finance, 7(3), 209–233.</w:t>
      </w:r>
    </w:p>
    <w:p w14:paraId="7CE1DC3F" w14:textId="77777777" w:rsidR="00A87C78" w:rsidRDefault="00A87C78" w:rsidP="00A87C78">
      <w:pPr>
        <w:spacing w:after="120" w:line="480" w:lineRule="auto"/>
        <w:ind w:left="720" w:hanging="720"/>
      </w:pPr>
      <w:r>
        <w:t>Diamond, D. W. (1991). Monitoring and reputation: The choice between bank loans and directly placed debt. Journal of Political Economy, 99(4), 689–721.</w:t>
      </w:r>
    </w:p>
    <w:p w14:paraId="7FCB5DD6" w14:textId="77777777" w:rsidR="00A87C78" w:rsidRDefault="00A87C78" w:rsidP="00A87C78">
      <w:pPr>
        <w:spacing w:after="120" w:line="480" w:lineRule="auto"/>
        <w:ind w:left="720" w:hanging="720"/>
      </w:pPr>
      <w:r>
        <w:t>Diamond, D. W., &amp; Dybvig, P. H. (1983). Bank runs, deposit insurance, and liquidity. Journal of Political Economy, 91(3), 401–419.</w:t>
      </w:r>
    </w:p>
    <w:p w14:paraId="37DBCBCF" w14:textId="77777777" w:rsidR="00A87C78" w:rsidRDefault="00A87C78" w:rsidP="00A87C78">
      <w:pPr>
        <w:spacing w:after="120" w:line="480" w:lineRule="auto"/>
        <w:ind w:left="720" w:hanging="720"/>
      </w:pPr>
      <w:r>
        <w:t>Dixit, A. K., &amp; Pindyck, R. S. (1994). Investment under uncertainty. Princeton University Press.</w:t>
      </w:r>
    </w:p>
    <w:p w14:paraId="0626A1CA" w14:textId="77777777" w:rsidR="00A87C78" w:rsidRDefault="00A87C78" w:rsidP="00A87C78">
      <w:pPr>
        <w:spacing w:after="120" w:line="480" w:lineRule="auto"/>
        <w:ind w:left="720" w:hanging="720"/>
      </w:pPr>
      <w:r>
        <w:t>Dornbusch, R., Fischer, S., &amp; Startz, R. (2021). Macroeconomics (13th ed.). McGraw-Hill Education.</w:t>
      </w:r>
    </w:p>
    <w:p w14:paraId="131970D7" w14:textId="77777777" w:rsidR="00A87C78" w:rsidRDefault="00A87C78" w:rsidP="00A87C78">
      <w:pPr>
        <w:spacing w:after="120" w:line="480" w:lineRule="auto"/>
        <w:ind w:left="720" w:hanging="720"/>
      </w:pPr>
      <w:r>
        <w:t>Driscoll, J. C., &amp; Kraay, A. C. (1998). Consistent covariance matrix estimation with spatially dependent panel data. Review of Economics and Statistics, 80(4), 549–560.</w:t>
      </w:r>
    </w:p>
    <w:p w14:paraId="520AB342" w14:textId="77777777" w:rsidR="00A87C78" w:rsidRDefault="00A87C78" w:rsidP="00A87C78">
      <w:pPr>
        <w:spacing w:after="120" w:line="480" w:lineRule="auto"/>
        <w:ind w:left="720" w:hanging="720"/>
      </w:pPr>
      <w:r>
        <w:t>Duchin, R., Ozbas, O., &amp; Sensoy, B. A. (2010). Costly external finance, corporate investment, and the subprime mortgage credit crisis. Journal of Financial Economics, 97(3), 418–435.</w:t>
      </w:r>
    </w:p>
    <w:p w14:paraId="7F8BCBEE" w14:textId="77777777" w:rsidR="00A87C78" w:rsidRDefault="00A87C78" w:rsidP="00A87C78">
      <w:pPr>
        <w:spacing w:after="120" w:line="480" w:lineRule="auto"/>
        <w:ind w:left="720" w:hanging="720"/>
      </w:pPr>
      <w:r>
        <w:t>Eisenhardt, K. M., &amp; Martin, J. A. (2000). Dynamic capabilities: What are they? Strategic Management Journal, 21(10–11), 1105–1121.</w:t>
      </w:r>
    </w:p>
    <w:p w14:paraId="311B6B50" w14:textId="77777777" w:rsidR="00A87C78" w:rsidRDefault="00A87C78" w:rsidP="00A87C78">
      <w:pPr>
        <w:spacing w:after="120" w:line="480" w:lineRule="auto"/>
        <w:ind w:left="720" w:hanging="720"/>
      </w:pPr>
      <w:r>
        <w:t>Engle, R. F. (1982). Autoregressive conditional heteroscedasticity with estimates of the variance of United Kingdom inflation. Econometrica, 50(4), 987–1007.</w:t>
      </w:r>
    </w:p>
    <w:p w14:paraId="03F0ADAA" w14:textId="77777777" w:rsidR="00A87C78" w:rsidRDefault="00A87C78" w:rsidP="00A87C78">
      <w:pPr>
        <w:spacing w:after="120" w:line="480" w:lineRule="auto"/>
        <w:ind w:left="720" w:hanging="720"/>
      </w:pPr>
      <w:r>
        <w:lastRenderedPageBreak/>
        <w:t>Engle, R. F., &amp; Ng, V. K. (1993). Measuring and testing the impact of news on volatility. Journal of Finance, 48(5), 1749–1778.</w:t>
      </w:r>
    </w:p>
    <w:p w14:paraId="4342FED1" w14:textId="77777777" w:rsidR="00A87C78" w:rsidRDefault="00A87C78" w:rsidP="00A87C78">
      <w:pPr>
        <w:spacing w:after="120" w:line="480" w:lineRule="auto"/>
        <w:ind w:left="720" w:hanging="720"/>
      </w:pPr>
      <w:r>
        <w:t>Engle, R. F., &amp; Patton, A. J. (2001). What good is a volatility model? Quantitative Finance, 1(2), 237–245.</w:t>
      </w:r>
    </w:p>
    <w:p w14:paraId="7C366A45" w14:textId="77777777" w:rsidR="00A87C78" w:rsidRDefault="00A87C78" w:rsidP="00A87C78">
      <w:pPr>
        <w:spacing w:after="120" w:line="480" w:lineRule="auto"/>
        <w:ind w:left="720" w:hanging="720"/>
      </w:pPr>
      <w:r>
        <w:t>Fainshmidt, S., Pezeshkan, A., Lance Frazier, M., Nair, A., &amp; Markowski, E. (2016). Dynamic capabilities and organizational performance: A meta-analytic evaluation and extension. Journal of Management Studies, 53(8), 1348–1380.</w:t>
      </w:r>
    </w:p>
    <w:p w14:paraId="4E97CACF" w14:textId="77777777" w:rsidR="00A87C78" w:rsidRDefault="00A87C78" w:rsidP="00A87C78">
      <w:pPr>
        <w:spacing w:after="120" w:line="480" w:lineRule="auto"/>
        <w:ind w:left="720" w:hanging="720"/>
      </w:pPr>
      <w:r>
        <w:t>Fazzari, S. M., Hubbard, R. G., &amp; Petersen, B. C. (1988). Financing constraints and corporate investment. Brookings Papers on Economic Activity, 1988(1), 141–206.</w:t>
      </w:r>
    </w:p>
    <w:p w14:paraId="304C36D9" w14:textId="77777777" w:rsidR="00A87C78" w:rsidRDefault="00A87C78" w:rsidP="00A87C78">
      <w:pPr>
        <w:spacing w:after="120" w:line="480" w:lineRule="auto"/>
        <w:ind w:left="720" w:hanging="720"/>
      </w:pPr>
      <w:r>
        <w:t>Fosu, S. (2013). Capital structure, product market competition and firm performance: Evidence from South Africa. Quarterly Review of Economics and Finance, 53(2), 140–151.</w:t>
      </w:r>
    </w:p>
    <w:p>
      <w:pPr>
        <w:spacing w:after="120" w:line="480" w:lineRule="auto"/>
        <w:ind w:left="720" w:hanging="720"/>
      </w:pPr>
      <w:r>
        <w:rPr>
          <w:rFonts w:eastAsia="Times New Roman" w:cs="Times New Roman"/>
        </w:rPr>
        <w:t xml:space="preserve">Fritz, M. S., Taylor, A. B., &amp; MacKinnon, D. P. (2012). Explanation of two anomalous results in statistical mediation analysis. Multivariate Behavioral Research, 47(1), 61–87.</w:t>
      </w:r>
    </w:p>
    <w:p w14:paraId="4A7661E0" w14:textId="77777777" w:rsidR="00A87C78" w:rsidRDefault="00A87C78" w:rsidP="00A87C78">
      <w:pPr>
        <w:spacing w:after="120" w:line="480" w:lineRule="auto"/>
        <w:ind w:left="720" w:hanging="720"/>
      </w:pPr>
      <w:r>
        <w:t>Ghalanos, A. (2022). rugarch: Univariate GARCH models. R package version 1.4-9. https://cran.r-project.org/package=rugarch</w:t>
      </w:r>
    </w:p>
    <w:p w14:paraId="3A95BD6B" w14:textId="77777777" w:rsidR="00A87C78" w:rsidRDefault="00A87C78" w:rsidP="00A87C78">
      <w:pPr>
        <w:spacing w:after="120" w:line="480" w:lineRule="auto"/>
        <w:ind w:left="720" w:hanging="720"/>
      </w:pPr>
      <w:r>
        <w:rPr>
          <w:rFonts w:eastAsia="Times New Roman" w:cs="Times New Roman"/>
        </w:rPr>
        <w:lastRenderedPageBreak/>
        <w:t>Gitman, L. J. (1974). Estimating corporate liquidity requirements: A simplified approach. The Financial Review, 9(1), 79–88.</w:t>
      </w:r>
    </w:p>
    <w:p w14:paraId="1D90930E" w14:textId="77777777" w:rsidR="00A87C78" w:rsidRDefault="00A87C78" w:rsidP="00A87C78">
      <w:pPr>
        <w:spacing w:after="120" w:line="480" w:lineRule="auto"/>
        <w:ind w:left="720" w:hanging="720"/>
      </w:pPr>
      <w:r>
        <w:rPr>
          <w:rFonts w:eastAsia="Times New Roman" w:cs="Times New Roman"/>
        </w:rPr>
        <w:t>Granger, C. W. J. (1969). Investigating causal relations by econometric models and cross-spectral methods. Econometrica, 37(3), 424–438.</w:t>
      </w:r>
    </w:p>
    <w:p w14:paraId="4536260F" w14:textId="77777777" w:rsidR="00A87C78" w:rsidRDefault="00A87C78" w:rsidP="00A87C78">
      <w:pPr>
        <w:spacing w:after="120" w:line="480" w:lineRule="auto"/>
        <w:ind w:left="720" w:hanging="720"/>
      </w:pPr>
      <w:r>
        <w:t>Gyimah-Boadi, E., &amp; Prempeh, H. K. (2012). Oil, politics, and Ghana’s democracy. Journal of Democracy, 23(3), 94–108.</w:t>
      </w:r>
    </w:p>
    <w:p w14:paraId="56DF0A72" w14:textId="77777777" w:rsidR="00A87C78" w:rsidRDefault="00A87C78" w:rsidP="00A87C78">
      <w:pPr>
        <w:spacing w:after="120" w:line="480" w:lineRule="auto"/>
        <w:ind w:left="720" w:hanging="720"/>
      </w:pPr>
      <w:r>
        <w:rPr>
          <w:rFonts w:eastAsia="Times New Roman" w:cs="Times New Roman"/>
        </w:rPr>
        <w:t>Hansen, L. P. (1982). Large sample properties of generalized method of moments estimators. Econometrica, 50(4), 1029–1054.</w:t>
      </w:r>
    </w:p>
    <w:p w14:paraId="45A09154" w14:textId="77777777" w:rsidR="00A87C78" w:rsidRDefault="00A87C78" w:rsidP="00A87C78">
      <w:pPr>
        <w:spacing w:after="120" w:line="480" w:lineRule="auto"/>
        <w:ind w:left="720" w:hanging="720"/>
      </w:pPr>
      <w:r>
        <w:t>Hausman, J. A. (1978). Specification tests in econometrics. Econometrica, 46(6), 1251–1271.</w:t>
      </w:r>
    </w:p>
    <w:p w14:paraId="3BF41C28" w14:textId="77777777" w:rsidR="00A87C78" w:rsidRDefault="00A87C78" w:rsidP="00A87C78">
      <w:pPr>
        <w:spacing w:after="120" w:line="480" w:lineRule="auto"/>
        <w:ind w:left="720" w:hanging="720"/>
      </w:pPr>
      <w:r>
        <w:rPr>
          <w:rFonts w:eastAsia="Times New Roman" w:cs="Times New Roman"/>
        </w:rPr>
        <w:t>Hayes, A. F. (2015). An index and test of linear moderated mediation. Multivariate Behavioral Research, 50(1), 1–22.</w:t>
      </w:r>
    </w:p>
    <w:p w14:paraId="1EE8FFCD" w14:textId="77777777" w:rsidR="00A87C78" w:rsidRDefault="00A87C78" w:rsidP="00A87C78">
      <w:pPr>
        <w:spacing w:after="120" w:line="480" w:lineRule="auto"/>
        <w:ind w:left="720" w:hanging="720"/>
      </w:pPr>
      <w:r>
        <w:t>Hayes, A. F. (2018). Introduction to mediation, moderation, and conditional process analysis: A regression-based approach (2nd ed.). Guilford Press.</w:t>
      </w:r>
    </w:p>
    <w:p w14:paraId="7A1CE321" w14:textId="77777777" w:rsidR="00A87C78" w:rsidRDefault="00A87C78" w:rsidP="00A87C78">
      <w:pPr>
        <w:spacing w:after="120" w:line="480" w:lineRule="auto"/>
        <w:ind w:left="720" w:hanging="720"/>
      </w:pPr>
      <w:r>
        <w:t>Hendry, D. F. (1995). Dynamic econometrics. Oxford University Press.</w:t>
      </w:r>
    </w:p>
    <w:p w14:paraId="41426D16" w14:textId="77777777" w:rsidR="00A87C78" w:rsidRDefault="00A87C78" w:rsidP="00A87C78">
      <w:pPr>
        <w:spacing w:after="120" w:line="480" w:lineRule="auto"/>
        <w:ind w:left="720" w:hanging="720"/>
      </w:pPr>
      <w:r>
        <w:rPr>
          <w:rFonts w:eastAsia="Times New Roman" w:cs="Times New Roman"/>
        </w:rPr>
        <w:lastRenderedPageBreak/>
        <w:t>Héricourt, J., &amp; Poncet, S. (2015). Exchange rate volatility, financial constraints, and trade: Empirical evidence from Chinese firms. The World Bank Economic Review, 29(3), 550–578.</w:t>
      </w:r>
    </w:p>
    <w:p w14:paraId="2C5FC7D3" w14:textId="77777777" w:rsidR="00A87C78" w:rsidRDefault="00A87C78" w:rsidP="00A87C78">
      <w:pPr>
        <w:spacing w:after="120" w:line="480" w:lineRule="auto"/>
        <w:ind w:left="720" w:hanging="720"/>
      </w:pPr>
      <w:r>
        <w:t>Holmström, B., &amp; Tirole, J. (1998). Private and public supply of liquidity. Journal of Political Economy, 106(1), 1–40.</w:t>
      </w:r>
    </w:p>
    <w:p>
      <w:pPr>
        <w:spacing w:after="120" w:line="480" w:lineRule="auto"/>
        <w:ind w:left="720" w:hanging="720"/>
      </w:pPr>
      <w:r>
        <w:rPr>
          <w:rFonts w:eastAsia="Times New Roman" w:cs="Times New Roman"/>
        </w:rPr>
        <w:t xml:space="preserve">Honaker, J., &amp; King, G. (2010). What to do about missing values in time-series cross-section data. American Journal of Political Science, 54(2), 561–581.</w:t>
      </w:r>
    </w:p>
    <w:p w14:paraId="7181B387" w14:textId="77777777" w:rsidR="00A87C78" w:rsidRDefault="00A87C78" w:rsidP="00A87C78">
      <w:pPr>
        <w:spacing w:after="120" w:line="480" w:lineRule="auto"/>
        <w:ind w:left="720" w:hanging="720"/>
      </w:pPr>
      <w:r>
        <w:t>Hsiao, C. (2014). Analysis of panel data (3rd ed.). Cambridge University Press.</w:t>
      </w:r>
    </w:p>
    <w:p w14:paraId="17D145FF" w14:textId="77777777" w:rsidR="00A87C78" w:rsidRDefault="00A87C78" w:rsidP="00A87C78">
      <w:pPr>
        <w:spacing w:after="120" w:line="480" w:lineRule="auto"/>
        <w:ind w:left="720" w:hanging="720"/>
      </w:pPr>
      <w:r>
        <w:t>Hyndman, R. J., &amp; Khandakar, Y. (2008). Automatic time series forecasting: The forecast package for R. Journal of Statistical Software, 27(3), 1–22.</w:t>
      </w:r>
    </w:p>
    <w:p w14:paraId="5276F62B" w14:textId="77777777" w:rsidR="00A87C78" w:rsidRDefault="00A87C78" w:rsidP="00A87C78">
      <w:pPr>
        <w:spacing w:after="120" w:line="480" w:lineRule="auto"/>
        <w:ind w:left="720" w:hanging="720"/>
      </w:pPr>
      <w:r>
        <w:rPr>
          <w:rFonts w:eastAsia="Times New Roman" w:cs="Times New Roman"/>
        </w:rPr>
        <w:t>Im, K. S., Pesaran, M. H., &amp; Shin, Y. (2003). Testing for unit roots in heterogeneous panels. Journal of Econometrics, 115(1), 53–74.</w:t>
      </w:r>
    </w:p>
    <w:p w14:paraId="38CEA1BE" w14:textId="77777777" w:rsidR="00A87C78" w:rsidRDefault="00A87C78" w:rsidP="00A87C78">
      <w:pPr>
        <w:spacing w:after="120" w:line="480" w:lineRule="auto"/>
        <w:ind w:left="720" w:hanging="720"/>
      </w:pPr>
      <w:r>
        <w:rPr>
          <w:rFonts w:eastAsia="Times New Roman" w:cs="Times New Roman"/>
        </w:rPr>
        <w:t>Imai, K., Keele, L., &amp; Tingley, D. (2010). A general approach to causal mediation analysis. Psychological Methods, 15(4), 309–334.</w:t>
      </w:r>
    </w:p>
    <w:p>
      <w:pPr>
        <w:spacing w:after="120" w:line="480" w:lineRule="auto"/>
        <w:ind w:left="720" w:hanging="720"/>
      </w:pPr>
      <w:r>
        <w:rPr>
          <w:rFonts w:eastAsia="Times New Roman" w:cs="Times New Roman"/>
        </w:rPr>
        <w:t xml:space="preserve">Inclán, C., &amp; Tiao, G. C. (1994). Use of cumulative sums of squares for retrospective detection of changes of variance. Journal of the American Statistical Association, 89(427), 913–923.</w:t>
      </w:r>
    </w:p>
    <w:p w14:paraId="6A1FD2DB" w14:textId="77777777" w:rsidR="00A87C78" w:rsidRDefault="00A87C78" w:rsidP="00A87C78">
      <w:pPr>
        <w:spacing w:after="120" w:line="480" w:lineRule="auto"/>
        <w:ind w:left="720" w:hanging="720"/>
      </w:pPr>
      <w:r>
        <w:t>International Energy Agency. (2022). Africa energy outlook 2022: World energy outlook special report. IEA Publications.</w:t>
      </w:r>
    </w:p>
    <w:p w14:paraId="61E91DC8" w14:textId="77777777" w:rsidR="00A87C78" w:rsidRDefault="00A87C78" w:rsidP="00A87C78">
      <w:pPr>
        <w:spacing w:after="120" w:line="480" w:lineRule="auto"/>
        <w:ind w:left="720" w:hanging="720"/>
      </w:pPr>
      <w:r>
        <w:rPr>
          <w:rFonts w:eastAsia="Times New Roman" w:cs="Times New Roman"/>
        </w:rPr>
        <w:t xml:space="preserve">International Monetary Fund. (2023). Ghana: Request for an arrangement under the Extended Credit Facility—Press release; staff report; and statement by the Executive Director for Ghana (IMF Country Report No. 23/168). International Monetary Fund.</w:t>
      </w:r>
    </w:p>
    <w:p w14:paraId="3C3093E2" w14:textId="77777777" w:rsidR="00A87C78" w:rsidRDefault="00A87C78" w:rsidP="00A87C78">
      <w:pPr>
        <w:spacing w:after="120" w:line="480" w:lineRule="auto"/>
        <w:ind w:left="720" w:hanging="720"/>
      </w:pPr>
      <w:r>
        <w:lastRenderedPageBreak/>
        <w:t>Jensen, M. C., &amp; Meckling, W. H. (1976). Theory of the firm: Managerial behavior, agency costs and ownership structure. Journal of Financial Economics, 3(4), 305–360.</w:t>
      </w:r>
    </w:p>
    <w:p w14:paraId="36E3CAE1" w14:textId="77777777" w:rsidR="00A87C78" w:rsidRDefault="00A87C78" w:rsidP="00A87C78">
      <w:pPr>
        <w:spacing w:after="120" w:line="480" w:lineRule="auto"/>
        <w:ind w:left="720" w:hanging="720"/>
      </w:pPr>
      <w:r>
        <w:rPr>
          <w:rFonts w:eastAsia="Times New Roman" w:cs="Times New Roman"/>
        </w:rPr>
        <w:t>Jolliffe, I. T., &amp; Cadima, J. (2016). Principal component analysis: A review and recent developments. Philosophical Transactions of the Royal Society A, 374(2065), 20150202.</w:t>
      </w:r>
    </w:p>
    <w:p>
      <w:pPr>
        <w:spacing w:after="120" w:line="480" w:lineRule="auto"/>
        <w:ind w:left="720" w:hanging="720"/>
      </w:pPr>
      <w:r>
        <w:rPr>
          <w:rFonts w:eastAsia="Times New Roman" w:cs="Times New Roman"/>
        </w:rPr>
        <w:t xml:space="preserve">Jordà, Ò. (2005). Estimation and inference of impulse responses by local projections. American Economic Review, 95(1), 161–182.</w:t>
      </w:r>
    </w:p>
    <w:p w14:paraId="5BEADC59" w14:textId="77777777" w:rsidR="00A87C78" w:rsidRDefault="00A87C78" w:rsidP="00A87C78">
      <w:pPr>
        <w:spacing w:after="120" w:line="480" w:lineRule="auto"/>
        <w:ind w:left="720" w:hanging="720"/>
      </w:pPr>
      <w:r>
        <w:t>Jorion, P. (1990). The exchange-rate exposure of US multinationals. Journal of Business, 63(3), 331–345.</w:t>
      </w:r>
    </w:p>
    <w:p w14:paraId="5C142E87" w14:textId="77777777" w:rsidR="00A87C78" w:rsidRDefault="00A87C78" w:rsidP="00A87C78">
      <w:pPr>
        <w:spacing w:after="120" w:line="480" w:lineRule="auto"/>
        <w:ind w:left="720" w:hanging="720"/>
      </w:pPr>
      <w:r>
        <w:rPr>
          <w:rFonts w:eastAsia="Times New Roman" w:cs="Times New Roman"/>
        </w:rPr>
        <w:t>Kaiser, H. F. (1974). An index of factorial simplicity. Psychometrika, 39(1), 31–36.</w:t>
      </w:r>
    </w:p>
    <w:p w14:paraId="0D49D5FA" w14:textId="77777777" w:rsidR="00A87C78" w:rsidRDefault="00A87C78" w:rsidP="00A87C78">
      <w:pPr>
        <w:spacing w:after="120" w:line="480" w:lineRule="auto"/>
        <w:ind w:left="720" w:hanging="720"/>
      </w:pPr>
      <w:r>
        <w:t>Kaplan, S. N., &amp; Zingales, L. (1997). Do investment-cash flow sensitivities provide useful measures of financing constraints? Quarterly Journal of Economics, 112(1), 169–215.</w:t>
      </w:r>
    </w:p>
    <w:p w14:paraId="64A27EA2" w14:textId="77777777" w:rsidR="00A87C78" w:rsidRDefault="00A87C78" w:rsidP="00A87C78">
      <w:pPr>
        <w:spacing w:after="120" w:line="480" w:lineRule="auto"/>
        <w:ind w:left="720" w:hanging="720"/>
      </w:pPr>
      <w:r>
        <w:t>Keynes, J. M. (1936). The general theory of employment, interest, and money. Macmillan.</w:t>
      </w:r>
    </w:p>
    <w:p w14:paraId="48E0EA23" w14:textId="77777777" w:rsidR="00A87C78" w:rsidRDefault="00A87C78" w:rsidP="00A87C78">
      <w:pPr>
        <w:spacing w:after="120" w:line="480" w:lineRule="auto"/>
        <w:ind w:left="720" w:hanging="720"/>
      </w:pPr>
      <w:r>
        <w:rPr>
          <w:rFonts w:eastAsia="Times New Roman" w:cs="Times New Roman"/>
        </w:rPr>
        <w:t>Kikanga, F. M., Njoroge, C., &amp; Mathuva, E. (2024). Effect of fuel price controls on the financial performance of oil marketing companies in Kenya. Journal of African Interdisciplinary Studies, 8(6), 152–162.</w:t>
      </w:r>
    </w:p>
    <w:p>
      <w:pPr>
        <w:spacing w:after="120" w:line="480" w:lineRule="auto"/>
        <w:ind w:left="720" w:hanging="720"/>
      </w:pPr>
      <w:r>
        <w:rPr>
          <w:rFonts w:eastAsia="Times New Roman" w:cs="Times New Roman"/>
        </w:rPr>
        <w:t xml:space="preserve">Kiviet, J. F. (1995). On bias, inconsistency, and efficiency of various estimators in dynamic panel data models. Journal of Econometrics, 68(1), 53–78.</w:t>
      </w:r>
    </w:p>
    <w:p w14:paraId="7E656E75" w14:textId="77777777" w:rsidR="00A87C78" w:rsidRDefault="00A87C78" w:rsidP="00A87C78">
      <w:pPr>
        <w:spacing w:after="120" w:line="480" w:lineRule="auto"/>
        <w:ind w:left="720" w:hanging="720"/>
      </w:pPr>
      <w:r>
        <w:t>Krugman, P. R. (1989). Exchange-rate instability. MIT Press.</w:t>
      </w:r>
    </w:p>
    <w:p w14:paraId="144B6F20" w14:textId="77777777" w:rsidR="00A87C78" w:rsidRDefault="00A87C78" w:rsidP="00A87C78">
      <w:pPr>
        <w:spacing w:after="120" w:line="480" w:lineRule="auto"/>
        <w:ind w:left="720" w:hanging="720"/>
      </w:pPr>
      <w:r>
        <w:lastRenderedPageBreak/>
        <w:t>Krugman, P. R., &amp; Obstfeld, M. (2022). International economics: Theory and policy (12th ed.). Pearson.</w:t>
      </w:r>
    </w:p>
    <w:p w14:paraId="2CF2D267" w14:textId="77777777" w:rsidR="00A87C78" w:rsidRDefault="00A87C78" w:rsidP="00A87C78">
      <w:pPr>
        <w:spacing w:after="120" w:line="480" w:lineRule="auto"/>
        <w:ind w:left="720" w:hanging="720"/>
      </w:pPr>
      <w:r>
        <w:t>Kwiatkowski, D., Phillips, P. C. B., Schmidt, P., &amp; Shin, Y. (1992). Testing the null hypothesis of stationarity against the alternative of a unit root: How sure are we that economic time series have a unit root? Journal of Econometrics, 54(1–3), 159–178.</w:t>
      </w:r>
    </w:p>
    <w:p w14:paraId="7A7E8099" w14:textId="77777777" w:rsidR="00A87C78" w:rsidRDefault="00A87C78" w:rsidP="00A87C78">
      <w:pPr>
        <w:spacing w:after="120" w:line="480" w:lineRule="auto"/>
        <w:ind w:left="720" w:hanging="720"/>
      </w:pPr>
      <w:r>
        <w:rPr>
          <w:rFonts w:eastAsia="Times New Roman" w:cs="Times New Roman"/>
        </w:rPr>
        <w:t>Kydland, F. E., &amp; Prescott, E. C. (1982). Time to build and aggregate fluctuations. Econometrica, 50(6), 1345–1370.</w:t>
      </w:r>
    </w:p>
    <w:p>
      <w:pPr>
        <w:spacing w:after="120" w:line="480" w:lineRule="auto"/>
        <w:ind w:left="720" w:hanging="720"/>
      </w:pPr>
      <w:r>
        <w:rPr>
          <w:rFonts w:eastAsia="Times New Roman" w:cs="Times New Roman"/>
        </w:rPr>
        <w:t xml:space="preserve">Lamoureux, C. G., &amp; Lastrapes, W. D. (1990). Persistence in variance, structural change, and the GARCH model. Journal of Business &amp; Economic Statistics, 8(2), 225–234.</w:t>
      </w:r>
    </w:p>
    <w:p w14:paraId="62185CD9" w14:textId="77777777" w:rsidR="00A87C78" w:rsidRDefault="00A87C78" w:rsidP="00A87C78">
      <w:pPr>
        <w:spacing w:after="120" w:line="480" w:lineRule="auto"/>
        <w:ind w:left="720" w:hanging="720"/>
      </w:pPr>
      <w:r>
        <w:rPr>
          <w:rFonts w:eastAsia="Times New Roman" w:cs="Times New Roman"/>
        </w:rPr>
        <w:t>Levin, A., Lin, C.-F., &amp; Chu, C.-S. J. (2002). Unit root tests in panel data: Asymptotic and finite-sample properties. Journal of Econometrics, 108(1), 1–24.</w:t>
      </w:r>
    </w:p>
    <w:p w14:paraId="5BAEE6FE" w14:textId="77777777" w:rsidR="00A87C78" w:rsidRDefault="00A87C78" w:rsidP="00A87C78">
      <w:pPr>
        <w:spacing w:after="120" w:line="480" w:lineRule="auto"/>
        <w:ind w:left="720" w:hanging="720"/>
      </w:pPr>
      <w:r>
        <w:rPr>
          <w:rFonts w:eastAsia="Times New Roman" w:cs="Times New Roman"/>
        </w:rPr>
        <w:t>Li, K., Musah, M., Kong, Y., Mensah, I. A., Antwi, S. K., Bawuah, J., Donkor, M., Coffie, C. P. K., &amp; Osei, A. A. (2020). Liquidity and firms' financial performance nexus: Panel evidence from non-financial firms listed on the Ghana Stock Exchange. SAGE Open, 10(3). https://doi.org/10.1177/2158244020950363</w:t>
      </w:r>
    </w:p>
    <w:p>
      <w:pPr>
        <w:spacing w:after="120" w:line="480" w:lineRule="auto"/>
        <w:ind w:left="720" w:hanging="720"/>
      </w:pPr>
      <w:r>
        <w:rPr>
          <w:rFonts w:eastAsia="Times New Roman" w:cs="Times New Roman"/>
        </w:rPr>
        <w:t xml:space="preserve">Lind, J. T., &amp; Mehlum, H. (2010). With or without U? The appropriate test for a U-shaped relationship. Oxford Bulletin of Economics and Statistics, 72(1), 109–118.</w:t>
      </w:r>
    </w:p>
    <w:p w14:paraId="43FF0497" w14:textId="77777777" w:rsidR="00A87C78" w:rsidRDefault="00A87C78" w:rsidP="00A87C78">
      <w:pPr>
        <w:spacing w:after="120" w:line="480" w:lineRule="auto"/>
        <w:ind w:left="720" w:hanging="720"/>
      </w:pPr>
      <w:r>
        <w:t>Long, J. A., &amp; Malloy, L. C. (2022). interactions: Comprehensive, user-friendly toolkit for probing interactions. R package version 1.1.5. https://cran.r-project.org/package=interactions</w:t>
      </w:r>
    </w:p>
    <w:p w14:paraId="295FFD9B" w14:textId="77777777" w:rsidR="00A87C78" w:rsidRDefault="00A87C78" w:rsidP="00A87C78">
      <w:pPr>
        <w:spacing w:after="120" w:line="480" w:lineRule="auto"/>
        <w:ind w:left="720" w:hanging="720"/>
      </w:pPr>
      <w:r>
        <w:t>Love, I. (2003). Financial development and financing constraints: International evidence from the structural investment model. Review of Financial Studies, 16(3), 765–791.</w:t>
      </w:r>
    </w:p>
    <w:p w14:paraId="6290FA99" w14:textId="77777777" w:rsidR="00A87C78" w:rsidRDefault="00A87C78" w:rsidP="00A87C78">
      <w:pPr>
        <w:spacing w:after="120" w:line="480" w:lineRule="auto"/>
        <w:ind w:left="720" w:hanging="720"/>
      </w:pPr>
      <w:r>
        <w:t>Love, I., &amp; Zicchino, L. (2006). Financial development and dynamic investment behavior: Evidence from panel VAR. Quarterly Review of Economics and Finance, 46(2), 190–210.</w:t>
      </w:r>
    </w:p>
    <w:p w14:paraId="6EEAB0DF" w14:textId="77777777" w:rsidR="00A87C78" w:rsidRDefault="00A87C78" w:rsidP="00A87C78">
      <w:pPr>
        <w:spacing w:after="120" w:line="480" w:lineRule="auto"/>
        <w:ind w:left="720" w:hanging="720"/>
      </w:pPr>
      <w:r>
        <w:lastRenderedPageBreak/>
        <w:t>MacKinnon, D. P., Lockwood, C. M., Hoffman, J. M., West, S. G., &amp; Sheets, V. (2002). A comparison of methods to test mediation and other intervening variable effects. Psychological Methods, 7(1), 83–104.</w:t>
      </w:r>
    </w:p>
    <w:p>
      <w:pPr>
        <w:spacing w:after="120" w:line="480" w:lineRule="auto"/>
        <w:ind w:left="720" w:hanging="720"/>
      </w:pPr>
      <w:r>
        <w:rPr>
          <w:rFonts w:eastAsia="Times New Roman" w:cs="Times New Roman"/>
        </w:rPr>
        <w:t xml:space="preserve">Ministry of Finance. (2021). The budget statement and economic policy of the Government of Ghana for the 2021 financial year. Ministry of Finance.</w:t>
      </w:r>
    </w:p>
    <w:p w14:paraId="1E03C042" w14:textId="77777777" w:rsidR="00A87C78" w:rsidRDefault="00A87C78" w:rsidP="00A87C78">
      <w:pPr>
        <w:spacing w:after="120" w:line="480" w:lineRule="auto"/>
        <w:ind w:left="720" w:hanging="720"/>
      </w:pPr>
      <w:r>
        <w:t>Modigliani, F., &amp; Miller, M. H. (1958). The cost of capital, corporation finance and the theory of investment. American Economic Review, 48(3), 261–297.</w:t>
      </w:r>
    </w:p>
    <w:p w14:paraId="657F8B81" w14:textId="77777777" w:rsidR="00A87C78" w:rsidRDefault="00A87C78" w:rsidP="00A87C78">
      <w:pPr>
        <w:spacing w:after="120" w:line="480" w:lineRule="auto"/>
        <w:ind w:left="720" w:hanging="720"/>
      </w:pPr>
      <w:r>
        <w:t>Myers, S. C. (1977). Determinants of corporate borrowing. Journal of Financial Economics, 5(2), 147–175.</w:t>
      </w:r>
    </w:p>
    <w:p w14:paraId="6917C71A" w14:textId="77777777" w:rsidR="00A87C78" w:rsidRDefault="00A87C78" w:rsidP="00A87C78">
      <w:pPr>
        <w:spacing w:after="120" w:line="480" w:lineRule="auto"/>
        <w:ind w:left="720" w:hanging="720"/>
      </w:pPr>
      <w:r>
        <w:t>Myers, S. C., &amp; Majluf, N. S. (1984). Corporate financing and investment decisions when firms have information that investors do not have. Journal of Financial Economics, 13(2), 187–221.</w:t>
      </w:r>
    </w:p>
    <w:p w14:paraId="503E1838" w14:textId="77777777" w:rsidR="00A87C78" w:rsidRDefault="00A87C78" w:rsidP="00A87C78">
      <w:pPr>
        <w:spacing w:after="120" w:line="480" w:lineRule="auto"/>
        <w:ind w:left="720" w:hanging="720"/>
      </w:pPr>
      <w:r>
        <w:rPr>
          <w:rFonts w:eastAsia="Times New Roman" w:cs="Times New Roman"/>
        </w:rPr>
        <w:t>Najimu, A., &amp; Mahama, A. S. (2022). The effect of exchange rate and crude oil price volatility on the performance of the petroleum downstream industry in Ghana. Oil &amp; Gas Research, 8(6).</w:t>
      </w:r>
    </w:p>
    <w:p w14:paraId="79340C22" w14:textId="77777777" w:rsidR="00A87C78" w:rsidRDefault="00A87C78" w:rsidP="00A87C78">
      <w:pPr>
        <w:spacing w:after="120" w:line="480" w:lineRule="auto"/>
        <w:ind w:left="720" w:hanging="720"/>
      </w:pPr>
      <w:r>
        <w:lastRenderedPageBreak/>
        <w:t>Nance, D. R., Smith, C. W., Jr., &amp; Smithson, C. W. (1993). On the determinants of corporate hedging. Journal of Finance, 48(1), 267–284.</w:t>
      </w:r>
    </w:p>
    <w:p w14:paraId="2B09BCD1" w14:textId="77777777" w:rsidR="00A87C78" w:rsidRDefault="00A87C78" w:rsidP="00A87C78">
      <w:pPr>
        <w:spacing w:after="120" w:line="480" w:lineRule="auto"/>
        <w:ind w:left="720" w:hanging="720"/>
      </w:pPr>
      <w:r>
        <w:t>National Petroleum Authority. (2022). Annual petroleum industry report: Downstream sector performance and regulatory overview. NPA Publications.</w:t>
      </w:r>
    </w:p>
    <w:p>
      <w:pPr>
        <w:spacing w:after="120" w:line="480" w:lineRule="auto"/>
        <w:ind w:left="720" w:hanging="720"/>
      </w:pPr>
      <w:r>
        <w:rPr>
          <w:rFonts w:eastAsia="Times New Roman" w:cs="Times New Roman"/>
        </w:rPr>
        <w:t xml:space="preserve">National Petroleum Authority Act, 2005 (Act 691). Republic of Ghana.</w:t>
      </w:r>
    </w:p>
    <w:p w14:paraId="458A1D13" w14:textId="77777777" w:rsidR="00A87C78" w:rsidRDefault="00A87C78" w:rsidP="00A87C78">
      <w:pPr>
        <w:spacing w:after="120" w:line="480" w:lineRule="auto"/>
        <w:ind w:left="720" w:hanging="720"/>
      </w:pPr>
      <w:r>
        <w:t>Nelson, D. B. (1991). Conditional heteroskedasticity in asset returns: A new approach. Econometrica, 59(2), 347–370.</w:t>
      </w:r>
    </w:p>
    <w:p w14:paraId="5E8A464E" w14:textId="77777777" w:rsidR="00A87C78" w:rsidRDefault="00A87C78" w:rsidP="00A87C78">
      <w:pPr>
        <w:spacing w:after="120" w:line="480" w:lineRule="auto"/>
        <w:ind w:left="720" w:hanging="720"/>
      </w:pPr>
      <w:r>
        <w:t>Nickell, S. (1981). Biases in dynamic models with fixed effects. Econometrica, 49(6), 1417–1426.</w:t>
      </w:r>
    </w:p>
    <w:p w14:paraId="79B80775" w14:textId="77777777" w:rsidR="00A87C78" w:rsidRDefault="00A87C78" w:rsidP="00A87C78">
      <w:pPr>
        <w:spacing w:after="120" w:line="480" w:lineRule="auto"/>
        <w:ind w:left="720" w:hanging="720"/>
      </w:pPr>
      <w:r>
        <w:t>Pagan, A. R., &amp; Schwert, G. W. (1990). Alternative models for conditional stock volatility. Journal of Econometrics, 45(1–2), 267–290.</w:t>
      </w:r>
    </w:p>
    <w:p w14:paraId="24030DA4" w14:textId="77777777" w:rsidR="00A87C78" w:rsidRDefault="00A87C78" w:rsidP="00A87C78">
      <w:pPr>
        <w:spacing w:after="120" w:line="480" w:lineRule="auto"/>
        <w:ind w:left="720" w:hanging="720"/>
      </w:pPr>
      <w:r>
        <w:t>Penrose, E. T. (1959). The theory of the growth of the firm. Oxford University Press.</w:t>
      </w:r>
    </w:p>
    <w:p w14:paraId="242F030E" w14:textId="77777777" w:rsidR="00A87C78" w:rsidRDefault="00A87C78" w:rsidP="00A87C78">
      <w:pPr>
        <w:spacing w:after="120" w:line="480" w:lineRule="auto"/>
        <w:ind w:left="720" w:hanging="720"/>
      </w:pPr>
      <w:r>
        <w:rPr>
          <w:rFonts w:eastAsia="Times New Roman" w:cs="Times New Roman"/>
        </w:rPr>
        <w:t>Pesaran, M. H. (2004). General diagnostic tests for cross section dependence in panels (CESifo Working Paper No. 1229). CESifo Group.</w:t>
      </w:r>
    </w:p>
    <w:p w14:paraId="759AA2E2" w14:textId="77777777" w:rsidR="00A87C78" w:rsidRDefault="00A87C78" w:rsidP="00A87C78">
      <w:pPr>
        <w:spacing w:after="120" w:line="480" w:lineRule="auto"/>
        <w:ind w:left="720" w:hanging="720"/>
      </w:pPr>
      <w:r>
        <w:t>Petersen, M. A., &amp; Rajan, R. G. (1994). The benefits of lending relationships: Evidence from small business data. Journal of Finance, 49(1), 3–37.</w:t>
      </w:r>
    </w:p>
    <w:p>
      <w:pPr>
        <w:spacing w:after="120" w:line="480" w:lineRule="auto"/>
        <w:ind w:left="720" w:hanging="720"/>
      </w:pPr>
      <w:r>
        <w:rPr>
          <w:rFonts w:eastAsia="Times New Roman" w:cs="Times New Roman"/>
        </w:rPr>
        <w:t xml:space="preserve">Petroleum Revenue Management Act, 2011 (Act 815). Republic of Ghana.</w:t>
      </w:r>
    </w:p>
    <w:p w14:paraId="408BCF3D" w14:textId="77777777" w:rsidR="00A87C78" w:rsidRDefault="00A87C78" w:rsidP="00A87C78">
      <w:pPr>
        <w:spacing w:after="120" w:line="480" w:lineRule="auto"/>
        <w:ind w:left="720" w:hanging="720"/>
      </w:pPr>
      <w:r>
        <w:t>Preacher, K. J., &amp; Hayes, A. F. (2008). Asymptotic and resampling strategies for assessing and comparing indirect effects in multiple mediator models. Behavior Research Methods, 40(3), 879–891.</w:t>
      </w:r>
    </w:p>
    <w:p w14:paraId="4E9A3F3C" w14:textId="77777777" w:rsidR="00A87C78" w:rsidRDefault="00A87C78" w:rsidP="00A87C78">
      <w:pPr>
        <w:spacing w:after="120" w:line="480" w:lineRule="auto"/>
        <w:ind w:left="720" w:hanging="720"/>
      </w:pPr>
      <w:r>
        <w:t>Rajan, R. G., &amp; Zingales, L. (1995). What do we know about capital structure? Some evidence from international data. Journal of Finance, 50(5), 1421–1460.</w:t>
      </w:r>
    </w:p>
    <w:p>
      <w:pPr>
        <w:spacing w:after="120" w:line="480" w:lineRule="auto"/>
        <w:ind w:left="720" w:hanging="720"/>
      </w:pPr>
      <w:r>
        <w:rPr>
          <w:rFonts w:eastAsia="Times New Roman" w:cs="Times New Roman"/>
        </w:rPr>
        <w:t xml:space="preserve">Rajan, R. G., &amp; Zingales, L. (1998). Financial dependence and growth. American Economic Review, 88(3), 559–586.</w:t>
      </w:r>
    </w:p>
    <w:p>
      <w:pPr>
        <w:spacing w:after="120" w:line="480" w:lineRule="auto"/>
        <w:ind w:left="720" w:hanging="720"/>
      </w:pPr>
      <w:r>
        <w:rPr>
          <w:rFonts w:eastAsia="Times New Roman" w:cs="Times New Roman"/>
        </w:rPr>
        <w:t xml:space="preserve">Revenue Administration Act, 2016 (Act 915). Republic of Ghana.</w:t>
      </w:r>
    </w:p>
    <w:p>
      <w:pPr>
        <w:spacing w:after="120" w:line="480" w:lineRule="auto"/>
        <w:ind w:left="720" w:hanging="720"/>
      </w:pPr>
      <w:r>
        <w:rPr>
          <w:rFonts w:eastAsia="Times New Roman" w:cs="Times New Roman"/>
        </w:rPr>
        <w:t xml:space="preserve">Right to Information Act, 2019 (Act 989). Republic of Ghana.</w:t>
      </w:r>
    </w:p>
    <w:p w14:paraId="0E78C61A" w14:textId="77777777" w:rsidR="00A87C78" w:rsidRDefault="00A87C78" w:rsidP="00A87C78">
      <w:pPr>
        <w:spacing w:after="120" w:line="480" w:lineRule="auto"/>
        <w:ind w:left="720" w:hanging="720"/>
      </w:pPr>
      <w:r>
        <w:t>Roodman, D. (2009). A note on the theme of too many instruments. Oxford Bulletin of Economics and Statistics, 71(1), 135–158.</w:t>
      </w:r>
    </w:p>
    <w:p w14:paraId="4A549D19" w14:textId="77777777" w:rsidR="00A87C78" w:rsidRDefault="00A87C78" w:rsidP="00A87C78">
      <w:pPr>
        <w:spacing w:after="120" w:line="480" w:lineRule="auto"/>
        <w:ind w:left="720" w:hanging="720"/>
      </w:pPr>
      <w:r>
        <w:t>Said, S. E., &amp; Dickey, D. A. (1984). Testing for unit roots in autoregressive-moving average models of unknown order. Biometrika, 71(3), 599–607.</w:t>
      </w:r>
    </w:p>
    <w:p>
      <w:pPr>
        <w:spacing w:after="120" w:line="480" w:lineRule="auto"/>
        <w:ind w:left="720" w:hanging="720"/>
      </w:pPr>
      <w:r>
        <w:rPr>
          <w:rFonts w:eastAsia="Times New Roman" w:cs="Times New Roman"/>
        </w:rPr>
        <w:t xml:space="preserve">Sansó, A., Aragó, V., &amp; Carrion, J. L. (2004). Testing for changes in the unconditional variance of financial time series. Revista de Economía Financiera, 4, 32–53.</w:t>
      </w:r>
    </w:p>
    <w:p w14:paraId="2B1BB721" w14:textId="77777777" w:rsidR="00A87C78" w:rsidRDefault="00A87C78" w:rsidP="00A87C78">
      <w:pPr>
        <w:spacing w:after="120" w:line="480" w:lineRule="auto"/>
        <w:ind w:left="720" w:hanging="720"/>
      </w:pPr>
      <w:r>
        <w:t>Saunders, M., Lewis, P., &amp; Thornhill, A. (2019). Research methods for business students (8th ed.). Pearson Education.</w:t>
      </w:r>
    </w:p>
    <w:p w14:paraId="614D27CE" w14:textId="77777777" w:rsidR="00A87C78" w:rsidRDefault="00A87C78" w:rsidP="00A87C78">
      <w:pPr>
        <w:spacing w:after="120" w:line="480" w:lineRule="auto"/>
        <w:ind w:left="720" w:hanging="720"/>
      </w:pPr>
      <w:r>
        <w:t>Sax, C., &amp; Steiner, P. (2013). Temporal disaggregation of time series. R Journal, 5(2), 80–87.</w:t>
      </w:r>
    </w:p>
    <w:p w14:paraId="67FCFA3A" w14:textId="77777777" w:rsidR="00A87C78" w:rsidRDefault="00A87C78" w:rsidP="00A87C78">
      <w:pPr>
        <w:spacing w:after="120" w:line="480" w:lineRule="auto"/>
        <w:ind w:left="720" w:hanging="720"/>
      </w:pPr>
      <w:r>
        <w:lastRenderedPageBreak/>
        <w:t>Schilke, O., Hu, S., &amp; Helfat, C. E. (2018). Quo vadis, dynamic capabilities? A content-analytic review of the current state of knowledge and recommendations for future research. Academy of Management Annals, 12(1), 390–439.</w:t>
      </w:r>
    </w:p>
    <w:p w14:paraId="6F186E97" w14:textId="77777777" w:rsidR="00A87C78" w:rsidRDefault="00A87C78" w:rsidP="00A87C78">
      <w:pPr>
        <w:spacing w:after="120" w:line="480" w:lineRule="auto"/>
        <w:ind w:left="720" w:hanging="720"/>
      </w:pPr>
      <w:r>
        <w:t>Servén, L. (2003). Real-exchange-rate uncertainty and private investment in developing countries. Review of Economics and Statistics, 85(1), 212–218.</w:t>
      </w:r>
    </w:p>
    <w:p w14:paraId="175789CC" w14:textId="77777777" w:rsidR="00A87C78" w:rsidRDefault="00A87C78" w:rsidP="00A87C78">
      <w:pPr>
        <w:spacing w:after="120" w:line="480" w:lineRule="auto"/>
        <w:ind w:left="720" w:hanging="720"/>
      </w:pPr>
      <w:r>
        <w:t>Shin, H. H., &amp; Soenen, L. (1998). Efficiency of working capital management and corporate profitability. Financial Practice and Education, 8(2), 37–45.</w:t>
      </w:r>
    </w:p>
    <w:p w14:paraId="144E232A" w14:textId="77777777" w:rsidR="00A87C78" w:rsidRDefault="00A87C78" w:rsidP="00A87C78">
      <w:pPr>
        <w:spacing w:after="120" w:line="480" w:lineRule="auto"/>
        <w:ind w:left="720" w:hanging="720"/>
      </w:pPr>
      <w:r>
        <w:rPr>
          <w:rFonts w:eastAsia="Times New Roman" w:cs="Times New Roman"/>
        </w:rPr>
        <w:t>Sigmund, M., &amp; Ferstl, R. (2021). Panel vector autoregression in R with the package panelvar. The Quarterly Review of Economics and Finance, 80, 693–720.</w:t>
      </w:r>
    </w:p>
    <w:p w14:paraId="14A7C3C0" w14:textId="77777777" w:rsidR="00A87C78" w:rsidRDefault="00A87C78" w:rsidP="00A87C78">
      <w:pPr>
        <w:spacing w:after="120" w:line="480" w:lineRule="auto"/>
        <w:ind w:left="720" w:hanging="720"/>
      </w:pPr>
      <w:r>
        <w:t>Sims, C. A. (1980). Macroeconomics and reality. Econometrica, 48(1), 1–48.</w:t>
      </w:r>
    </w:p>
    <w:p w14:paraId="030D46CA" w14:textId="77777777" w:rsidR="00A87C78" w:rsidRDefault="00A87C78" w:rsidP="00A87C78">
      <w:pPr>
        <w:spacing w:after="120" w:line="480" w:lineRule="auto"/>
        <w:ind w:left="720" w:hanging="720"/>
      </w:pPr>
      <w:r>
        <w:t>Smith, K. V. (1980). Profitability versus liquidity tradeoffs in working capital management. In K. V. Smith (Ed.), Readings on the management of working capital (pp. 549–562). West Publishing.</w:t>
      </w:r>
    </w:p>
    <w:p w14:paraId="2F61630A" w14:textId="77777777" w:rsidR="00A87C78" w:rsidRDefault="00A87C78" w:rsidP="00A87C78">
      <w:pPr>
        <w:spacing w:after="120" w:line="480" w:lineRule="auto"/>
        <w:ind w:left="720" w:hanging="720"/>
      </w:pPr>
      <w:r>
        <w:t>Sobel, M. E. (1982). Asymptotic confidence intervals for indirect effects in structural equation models. Sociological Methodology, 13, 290–312.</w:t>
      </w:r>
    </w:p>
    <w:p w14:paraId="46213E31" w14:textId="77777777" w:rsidR="00A87C78" w:rsidRDefault="00A87C78" w:rsidP="00A87C78">
      <w:pPr>
        <w:spacing w:after="120" w:line="480" w:lineRule="auto"/>
        <w:ind w:left="720" w:hanging="720"/>
      </w:pPr>
      <w:r>
        <w:t>Stulz, R. M. (1990). Managerial discretion and optimal financing policies. Journal of Financial Economics, 26(1), 3–27.</w:t>
      </w:r>
    </w:p>
    <w:p w14:paraId="4E029BDA" w14:textId="77777777" w:rsidR="00A87C78" w:rsidRDefault="00A87C78" w:rsidP="00A87C78">
      <w:pPr>
        <w:spacing w:after="120" w:line="480" w:lineRule="auto"/>
        <w:ind w:left="720" w:hanging="720"/>
      </w:pPr>
      <w:r>
        <w:t>Teece, D. J. (2007). Explicating dynamic capabilities: The nature and microfoundations of (sustainable) enterprise performance. Strategic Management Journal, 28(13), 1319–1350.</w:t>
      </w:r>
    </w:p>
    <w:p w14:paraId="5521E0EC" w14:textId="77777777" w:rsidR="00A87C78" w:rsidRDefault="00A87C78" w:rsidP="00A87C78">
      <w:pPr>
        <w:spacing w:after="120" w:line="480" w:lineRule="auto"/>
        <w:ind w:left="720" w:hanging="720"/>
      </w:pPr>
      <w:r>
        <w:lastRenderedPageBreak/>
        <w:t>Teece, D. J., Pisano, G., &amp; Shuen, A. (1997). Dynamic capabilities and strategic management. Strategic Management Journal, 18(7), 509–533.</w:t>
      </w:r>
    </w:p>
    <w:p w14:paraId="0FBE98B3" w14:textId="77777777" w:rsidR="00A87C78" w:rsidRDefault="00A87C78" w:rsidP="00A87C78">
      <w:pPr>
        <w:spacing w:after="120" w:line="480" w:lineRule="auto"/>
        <w:ind w:left="720" w:hanging="720"/>
      </w:pPr>
      <w:r>
        <w:t>Tingley, D., Yamamoto, T., Hirose, K., Keele, L., &amp; Imai, K. (2014). mediation: R package for causal mediation analysis. Journal of Statistical Software, 59(5), 1–38.</w:t>
      </w:r>
    </w:p>
    <w:p w14:paraId="542E4AA7" w14:textId="77777777" w:rsidR="00A87C78" w:rsidRDefault="00A87C78" w:rsidP="00A87C78">
      <w:pPr>
        <w:spacing w:after="120" w:line="480" w:lineRule="auto"/>
        <w:ind w:left="720" w:hanging="720"/>
      </w:pPr>
      <w:r>
        <w:rPr>
          <w:rFonts w:eastAsia="Times New Roman" w:cs="Times New Roman"/>
        </w:rPr>
        <w:t>Windmeijer, F. (2005). A finite sample correction for the variance of linear efficient two-step GMM estimators. Journal of Econometrics, 126(1), 25–51.</w:t>
      </w:r>
    </w:p>
    <w:p w14:paraId="0EF2BC84" w14:textId="77777777" w:rsidR="00A87C78" w:rsidRDefault="00A87C78" w:rsidP="00A87C78">
      <w:pPr>
        <w:spacing w:after="120" w:line="480" w:lineRule="auto"/>
        <w:ind w:left="720" w:hanging="720"/>
      </w:pPr>
      <w:r>
        <w:rPr>
          <w:rFonts w:eastAsia="Times New Roman" w:cs="Times New Roman"/>
        </w:rPr>
        <w:t>Wooldridge, J. M. (2002). Econometric analysis of cross section and panel data. MIT Press.</w:t>
      </w:r>
    </w:p>
    <w:p w14:paraId="1136D13F" w14:textId="77777777" w:rsidR="00A87C78" w:rsidRDefault="00A87C78" w:rsidP="00A87C78">
      <w:pPr>
        <w:spacing w:after="120" w:line="480" w:lineRule="auto"/>
        <w:ind w:left="720" w:hanging="720"/>
      </w:pPr>
      <w:r>
        <w:t>Wooldridge, J. M. (2019). Introductory econometrics: A modern approach (7th ed.). Cengage Learning.</w:t>
      </w:r>
    </w:p>
    <w:p w14:paraId="7F0627B0" w14:textId="77777777" w:rsidR="00A87C78" w:rsidRDefault="00A87C78" w:rsidP="00A87C78">
      <w:pPr>
        <w:spacing w:after="120" w:line="480" w:lineRule="auto"/>
        <w:ind w:left="720" w:hanging="720"/>
      </w:pPr>
      <w:r>
        <w:t>World Bank. (2021). World development indicators: Ghana country data. World Bank Open Data. https://data.worldbank.org</w:t>
      </w:r>
    </w:p>
    <w:p w14:paraId="2A2D87EB" w14:textId="77777777" w:rsidR="000164E4" w:rsidRPr="00FF0FE9" w:rsidRDefault="000164E4" w:rsidP="00A87C78">
      <w:pPr>
        <w:spacing w:line="480" w:lineRule="auto"/>
      </w:pPr>
    </w:p>
    <w:sectPr w:rsidR="000164E4" w:rsidRPr="00FF0FE9" w:rsidSect="009867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C43DD" w14:textId="77777777" w:rsidR="00CC0653" w:rsidRDefault="00CC0653" w:rsidP="009867EB">
      <w:pPr>
        <w:spacing w:after="0" w:line="240" w:lineRule="auto"/>
      </w:pPr>
      <w:r>
        <w:separator/>
      </w:r>
    </w:p>
  </w:endnote>
  <w:endnote w:type="continuationSeparator" w:id="0">
    <w:p w14:paraId="0035C17D" w14:textId="77777777" w:rsidR="00CC0653" w:rsidRDefault="00CC0653" w:rsidP="00986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544434"/>
      <w:docPartObj>
        <w:docPartGallery w:val="Page Numbers (Bottom of Page)"/>
        <w:docPartUnique/>
      </w:docPartObj>
    </w:sdtPr>
    <w:sdtEndPr>
      <w:rPr>
        <w:noProof/>
      </w:rPr>
    </w:sdtEndPr>
    <w:sdtContent>
      <w:p w14:paraId="05E369F8" w14:textId="77777777" w:rsidR="009867EB" w:rsidRDefault="009867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651275" w14:textId="77777777" w:rsidR="009867EB" w:rsidRDefault="00986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1C2AF" w14:textId="77777777" w:rsidR="00CC0653" w:rsidRDefault="00CC0653" w:rsidP="009867EB">
      <w:pPr>
        <w:spacing w:after="0" w:line="240" w:lineRule="auto"/>
      </w:pPr>
      <w:r>
        <w:separator/>
      </w:r>
    </w:p>
  </w:footnote>
  <w:footnote w:type="continuationSeparator" w:id="0">
    <w:p w14:paraId="2BE673E8" w14:textId="77777777" w:rsidR="00CC0653" w:rsidRDefault="00CC0653" w:rsidP="00986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6614"/>
    <w:multiLevelType w:val="multilevel"/>
    <w:tmpl w:val="960A72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39D214D"/>
    <w:multiLevelType w:val="multilevel"/>
    <w:tmpl w:val="806E6C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6A903A8"/>
    <w:multiLevelType w:val="multilevel"/>
    <w:tmpl w:val="960A72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4D80ECE"/>
    <w:multiLevelType w:val="multilevel"/>
    <w:tmpl w:val="960A72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53154616">
    <w:abstractNumId w:val="0"/>
  </w:num>
  <w:num w:numId="2" w16cid:durableId="1915703990">
    <w:abstractNumId w:val="3"/>
  </w:num>
  <w:num w:numId="3" w16cid:durableId="291328790">
    <w:abstractNumId w:val="2"/>
  </w:num>
  <w:num w:numId="4" w16cid:durableId="191080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309"/>
    <w:rsid w:val="00005609"/>
    <w:rsid w:val="000164E4"/>
    <w:rsid w:val="00052C30"/>
    <w:rsid w:val="000C4207"/>
    <w:rsid w:val="000E3669"/>
    <w:rsid w:val="000E7025"/>
    <w:rsid w:val="001110D3"/>
    <w:rsid w:val="00116495"/>
    <w:rsid w:val="00142EAF"/>
    <w:rsid w:val="001710F7"/>
    <w:rsid w:val="002238C0"/>
    <w:rsid w:val="002326D6"/>
    <w:rsid w:val="002363FE"/>
    <w:rsid w:val="00263A1F"/>
    <w:rsid w:val="002D2AD4"/>
    <w:rsid w:val="002F21A0"/>
    <w:rsid w:val="002F5412"/>
    <w:rsid w:val="00327E79"/>
    <w:rsid w:val="00374F09"/>
    <w:rsid w:val="00381BF2"/>
    <w:rsid w:val="003F3EA2"/>
    <w:rsid w:val="004564CB"/>
    <w:rsid w:val="00474B7E"/>
    <w:rsid w:val="004D7396"/>
    <w:rsid w:val="004D7763"/>
    <w:rsid w:val="004F4309"/>
    <w:rsid w:val="00500B2F"/>
    <w:rsid w:val="00530CD3"/>
    <w:rsid w:val="00607B9F"/>
    <w:rsid w:val="00611540"/>
    <w:rsid w:val="006447A4"/>
    <w:rsid w:val="00660D95"/>
    <w:rsid w:val="006D16D8"/>
    <w:rsid w:val="006D4405"/>
    <w:rsid w:val="0072328E"/>
    <w:rsid w:val="0073017E"/>
    <w:rsid w:val="00754637"/>
    <w:rsid w:val="00767ADB"/>
    <w:rsid w:val="007C475D"/>
    <w:rsid w:val="008424DF"/>
    <w:rsid w:val="008A782D"/>
    <w:rsid w:val="008E24CD"/>
    <w:rsid w:val="00917642"/>
    <w:rsid w:val="00977E1A"/>
    <w:rsid w:val="009867EB"/>
    <w:rsid w:val="009F2ACB"/>
    <w:rsid w:val="009F7B8F"/>
    <w:rsid w:val="00A02EC2"/>
    <w:rsid w:val="00A05175"/>
    <w:rsid w:val="00A87C78"/>
    <w:rsid w:val="00B06979"/>
    <w:rsid w:val="00B07880"/>
    <w:rsid w:val="00B32D44"/>
    <w:rsid w:val="00B442E3"/>
    <w:rsid w:val="00B817BB"/>
    <w:rsid w:val="00C11DC2"/>
    <w:rsid w:val="00C157F3"/>
    <w:rsid w:val="00C67E05"/>
    <w:rsid w:val="00C72DF1"/>
    <w:rsid w:val="00C927A3"/>
    <w:rsid w:val="00CC0653"/>
    <w:rsid w:val="00CC7818"/>
    <w:rsid w:val="00D60ADD"/>
    <w:rsid w:val="00D64AC7"/>
    <w:rsid w:val="00DD0065"/>
    <w:rsid w:val="00DD66E9"/>
    <w:rsid w:val="00E35CB6"/>
    <w:rsid w:val="00E550E8"/>
    <w:rsid w:val="00ED7A1B"/>
    <w:rsid w:val="00EE36AC"/>
    <w:rsid w:val="00EF2780"/>
    <w:rsid w:val="00F12AA8"/>
    <w:rsid w:val="00F204DA"/>
    <w:rsid w:val="00F226A0"/>
    <w:rsid w:val="00F26580"/>
    <w:rsid w:val="00F74BA7"/>
    <w:rsid w:val="00F87F2B"/>
    <w:rsid w:val="00FD2D80"/>
    <w:rsid w:val="00FF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983D"/>
  <w15:chartTrackingRefBased/>
  <w15:docId w15:val="{CA5BBFCD-9E0F-4EE0-9220-E50ABDF6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309"/>
    <w:pPr>
      <w:jc w:val="both"/>
    </w:pPr>
    <w:rPr>
      <w:rFonts w:ascii="Times New Roman" w:hAnsi="Times New Roman"/>
    </w:rPr>
  </w:style>
  <w:style w:type="paragraph" w:styleId="Heading1">
    <w:name w:val="heading 1"/>
    <w:basedOn w:val="Normal"/>
    <w:next w:val="Normal"/>
    <w:link w:val="Heading1Char"/>
    <w:autoRedefine/>
    <w:uiPriority w:val="9"/>
    <w:qFormat/>
    <w:rsid w:val="004F430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F204DA"/>
    <w:pPr>
      <w:keepNext/>
      <w:keepLines/>
      <w:spacing w:before="280" w:line="480" w:lineRule="auto"/>
      <w:outlineLvl w:val="1"/>
    </w:pPr>
    <w:rPr>
      <w:rFonts w:ascii="Calibri" w:eastAsia="Calibri" w:hAnsi="Calibri" w:cs="Calibri"/>
      <w:b/>
      <w:bCs/>
      <w:color w:val="000000" w:themeColor="text1"/>
      <w:sz w:val="26"/>
      <w:szCs w:val="26"/>
    </w:rPr>
  </w:style>
  <w:style w:type="paragraph" w:styleId="Heading3">
    <w:name w:val="heading 3"/>
    <w:basedOn w:val="Normal"/>
    <w:next w:val="Normal"/>
    <w:link w:val="Heading3Char"/>
    <w:autoRedefine/>
    <w:uiPriority w:val="9"/>
    <w:unhideWhenUsed/>
    <w:qFormat/>
    <w:rsid w:val="00B07880"/>
    <w:pPr>
      <w:keepNext/>
      <w:keepLines/>
      <w:spacing w:before="240" w:after="140" w:line="480" w:lineRule="auto"/>
      <w:outlineLvl w:val="2"/>
    </w:pPr>
    <w:rPr>
      <w:rFonts w:eastAsia="Calibri" w:cs="Times New Roman"/>
      <w:b/>
      <w:bCs/>
      <w:i/>
      <w:iCs/>
      <w:color w:val="000000" w:themeColor="text1"/>
    </w:rPr>
  </w:style>
  <w:style w:type="paragraph" w:styleId="Heading4">
    <w:name w:val="heading 4"/>
    <w:basedOn w:val="Normal"/>
    <w:next w:val="Normal"/>
    <w:link w:val="Heading4Char"/>
    <w:uiPriority w:val="9"/>
    <w:semiHidden/>
    <w:unhideWhenUsed/>
    <w:qFormat/>
    <w:rsid w:val="004F4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30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204DA"/>
    <w:rPr>
      <w:rFonts w:ascii="Calibri" w:eastAsia="Calibri" w:hAnsi="Calibri" w:cs="Calibri"/>
      <w:b/>
      <w:bCs/>
      <w:color w:val="000000" w:themeColor="text1"/>
      <w:sz w:val="26"/>
      <w:szCs w:val="26"/>
    </w:rPr>
  </w:style>
  <w:style w:type="character" w:customStyle="1" w:styleId="Heading3Char">
    <w:name w:val="Heading 3 Char"/>
    <w:basedOn w:val="DefaultParagraphFont"/>
    <w:link w:val="Heading3"/>
    <w:uiPriority w:val="9"/>
    <w:rsid w:val="00B07880"/>
    <w:rPr>
      <w:rFonts w:ascii="Times New Roman" w:eastAsia="Calibri" w:hAnsi="Times New Roman" w:cs="Times New Roman"/>
      <w:b/>
      <w:bCs/>
      <w:i/>
      <w:iCs/>
      <w:color w:val="000000" w:themeColor="text1"/>
    </w:rPr>
  </w:style>
  <w:style w:type="character" w:customStyle="1" w:styleId="Heading4Char">
    <w:name w:val="Heading 4 Char"/>
    <w:basedOn w:val="DefaultParagraphFont"/>
    <w:link w:val="Heading4"/>
    <w:uiPriority w:val="9"/>
    <w:semiHidden/>
    <w:rsid w:val="004F4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309"/>
    <w:rPr>
      <w:rFonts w:eastAsiaTheme="majorEastAsia" w:cstheme="majorBidi"/>
      <w:color w:val="272727" w:themeColor="text1" w:themeTint="D8"/>
    </w:rPr>
  </w:style>
  <w:style w:type="paragraph" w:styleId="Title">
    <w:name w:val="Title"/>
    <w:basedOn w:val="Normal"/>
    <w:next w:val="Normal"/>
    <w:link w:val="TitleChar"/>
    <w:uiPriority w:val="10"/>
    <w:qFormat/>
    <w:rsid w:val="004F4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309"/>
    <w:pPr>
      <w:spacing w:before="160"/>
      <w:jc w:val="center"/>
    </w:pPr>
    <w:rPr>
      <w:i/>
      <w:iCs/>
      <w:color w:val="404040" w:themeColor="text1" w:themeTint="BF"/>
    </w:rPr>
  </w:style>
  <w:style w:type="character" w:customStyle="1" w:styleId="QuoteChar">
    <w:name w:val="Quote Char"/>
    <w:basedOn w:val="DefaultParagraphFont"/>
    <w:link w:val="Quote"/>
    <w:uiPriority w:val="29"/>
    <w:rsid w:val="004F4309"/>
    <w:rPr>
      <w:i/>
      <w:iCs/>
      <w:color w:val="404040" w:themeColor="text1" w:themeTint="BF"/>
    </w:rPr>
  </w:style>
  <w:style w:type="paragraph" w:styleId="ListParagraph">
    <w:name w:val="List Paragraph"/>
    <w:basedOn w:val="Normal"/>
    <w:uiPriority w:val="34"/>
    <w:qFormat/>
    <w:rsid w:val="004F4309"/>
    <w:pPr>
      <w:ind w:left="720"/>
      <w:contextualSpacing/>
    </w:pPr>
  </w:style>
  <w:style w:type="character" w:styleId="IntenseEmphasis">
    <w:name w:val="Intense Emphasis"/>
    <w:basedOn w:val="DefaultParagraphFont"/>
    <w:uiPriority w:val="21"/>
    <w:qFormat/>
    <w:rsid w:val="004F4309"/>
    <w:rPr>
      <w:i/>
      <w:iCs/>
      <w:color w:val="2F5496" w:themeColor="accent1" w:themeShade="BF"/>
    </w:rPr>
  </w:style>
  <w:style w:type="paragraph" w:styleId="IntenseQuote">
    <w:name w:val="Intense Quote"/>
    <w:basedOn w:val="Normal"/>
    <w:next w:val="Normal"/>
    <w:link w:val="IntenseQuoteChar"/>
    <w:uiPriority w:val="30"/>
    <w:qFormat/>
    <w:rsid w:val="004F4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309"/>
    <w:rPr>
      <w:i/>
      <w:iCs/>
      <w:color w:val="2F5496" w:themeColor="accent1" w:themeShade="BF"/>
    </w:rPr>
  </w:style>
  <w:style w:type="character" w:styleId="IntenseReference">
    <w:name w:val="Intense Reference"/>
    <w:basedOn w:val="DefaultParagraphFont"/>
    <w:uiPriority w:val="32"/>
    <w:qFormat/>
    <w:rsid w:val="004F4309"/>
    <w:rPr>
      <w:b/>
      <w:bCs/>
      <w:smallCaps/>
      <w:color w:val="2F5496" w:themeColor="accent1" w:themeShade="BF"/>
      <w:spacing w:val="5"/>
    </w:rPr>
  </w:style>
  <w:style w:type="table" w:styleId="TableGrid">
    <w:name w:val="Table Grid"/>
    <w:basedOn w:val="TableNormal"/>
    <w:uiPriority w:val="59"/>
    <w:rsid w:val="00500B2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0B2F"/>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00B2F"/>
    <w:pPr>
      <w:spacing w:after="100"/>
    </w:pPr>
  </w:style>
  <w:style w:type="paragraph" w:styleId="TOC2">
    <w:name w:val="toc 2"/>
    <w:basedOn w:val="Normal"/>
    <w:next w:val="Normal"/>
    <w:autoRedefine/>
    <w:uiPriority w:val="39"/>
    <w:unhideWhenUsed/>
    <w:rsid w:val="00500B2F"/>
    <w:pPr>
      <w:spacing w:after="100"/>
      <w:ind w:left="240"/>
    </w:pPr>
  </w:style>
  <w:style w:type="paragraph" w:styleId="TOC3">
    <w:name w:val="toc 3"/>
    <w:basedOn w:val="Normal"/>
    <w:next w:val="Normal"/>
    <w:autoRedefine/>
    <w:uiPriority w:val="39"/>
    <w:unhideWhenUsed/>
    <w:rsid w:val="00500B2F"/>
    <w:pPr>
      <w:spacing w:after="100"/>
      <w:ind w:left="480"/>
    </w:pPr>
  </w:style>
  <w:style w:type="character" w:styleId="Hyperlink">
    <w:name w:val="Hyperlink"/>
    <w:basedOn w:val="DefaultParagraphFont"/>
    <w:uiPriority w:val="99"/>
    <w:unhideWhenUsed/>
    <w:rsid w:val="00500B2F"/>
    <w:rPr>
      <w:color w:val="0563C1" w:themeColor="hyperlink"/>
      <w:u w:val="single"/>
    </w:rPr>
  </w:style>
  <w:style w:type="paragraph" w:styleId="Header">
    <w:name w:val="header"/>
    <w:basedOn w:val="Normal"/>
    <w:link w:val="HeaderChar"/>
    <w:uiPriority w:val="99"/>
    <w:unhideWhenUsed/>
    <w:rsid w:val="00986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7EB"/>
    <w:rPr>
      <w:rFonts w:ascii="Times New Roman" w:hAnsi="Times New Roman"/>
    </w:rPr>
  </w:style>
  <w:style w:type="paragraph" w:styleId="Footer">
    <w:name w:val="footer"/>
    <w:basedOn w:val="Normal"/>
    <w:link w:val="FooterChar"/>
    <w:uiPriority w:val="99"/>
    <w:unhideWhenUsed/>
    <w:rsid w:val="00986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7EB"/>
    <w:rPr>
      <w:rFonts w:ascii="Times New Roman" w:hAnsi="Times New Roman"/>
    </w:rPr>
  </w:style>
  <w:style w:type="paragraph" w:styleId="Revision">
    <w:name w:val="Revision"/>
    <w:hidden/>
    <w:uiPriority w:val="99"/>
    <w:semiHidden/>
    <w:rsid w:val="00DD66E9"/>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474B7E"/>
    <w:rPr>
      <w:sz w:val="16"/>
      <w:szCs w:val="16"/>
    </w:rPr>
  </w:style>
  <w:style w:type="paragraph" w:styleId="CommentText">
    <w:name w:val="annotation text"/>
    <w:basedOn w:val="Normal"/>
    <w:link w:val="CommentTextChar"/>
    <w:uiPriority w:val="99"/>
    <w:semiHidden/>
    <w:unhideWhenUsed/>
    <w:rsid w:val="00474B7E"/>
    <w:pPr>
      <w:spacing w:line="240" w:lineRule="auto"/>
    </w:pPr>
    <w:rPr>
      <w:sz w:val="20"/>
      <w:szCs w:val="20"/>
    </w:rPr>
  </w:style>
  <w:style w:type="character" w:customStyle="1" w:styleId="CommentTextChar">
    <w:name w:val="Comment Text Char"/>
    <w:basedOn w:val="DefaultParagraphFont"/>
    <w:link w:val="CommentText"/>
    <w:uiPriority w:val="99"/>
    <w:semiHidden/>
    <w:rsid w:val="00474B7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74B7E"/>
    <w:rPr>
      <w:b/>
      <w:bCs/>
    </w:rPr>
  </w:style>
  <w:style w:type="character" w:customStyle="1" w:styleId="CommentSubjectChar">
    <w:name w:val="Comment Subject Char"/>
    <w:basedOn w:val="CommentTextChar"/>
    <w:link w:val="CommentSubject"/>
    <w:uiPriority w:val="99"/>
    <w:semiHidden/>
    <w:rsid w:val="00474B7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C73FD-2A54-4766-83D9-66E17464A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119</Pages>
  <Words>31100</Words>
  <Characters>177275</Characters>
  <Application>Microsoft Office Word</Application>
  <DocSecurity>0</DocSecurity>
  <Lines>1477</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ANTWI</dc:creator>
  <cp:keywords/>
  <dc:description/>
  <cp:lastModifiedBy>PASCAL ANTWI</cp:lastModifiedBy>
  <cp:revision>2</cp:revision>
  <dcterms:created xsi:type="dcterms:W3CDTF">2026-10-02T00:06:00Z</dcterms:created>
  <dcterms:modified xsi:type="dcterms:W3CDTF">2026-10-02T00:06:00Z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ef7f623b-336a-4643-9ea2-2257d8f4a3b5</vt:lpwstr>
  </property>
</Properties>
</file>