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Response to Supervisor Comments on the Final Proposal</w:t>
      </w:r>
    </w:p>
    <w:p>
      <w:pPr>
        <w:spacing w:after="240"/>
        <w:jc w:val="center"/>
      </w:pPr>
      <w:r>
        <w:rPr>
          <w:rFonts w:ascii="Times New Roman" w:cs="Times New Roman" w:eastAsia="Times New Roman" w:hAnsi="Times New Roman"/>
          <w:sz w:val="22"/>
          <w:szCs w:val="22"/>
        </w:rPr>
        <w:t xml:space="preserve">Michael Ofosu Antwi (224PHD0201030) — revised proposal: MICHAEL_OFOSU_ANTWI_Proposal_Revised.docx</w:t>
      </w:r>
    </w:p>
    <w:p>
      <w:pPr>
        <w:spacing w:after="120" w:line="300"/>
      </w:pPr>
      <w:r>
        <w:rPr>
          <w:rFonts w:ascii="Times New Roman" w:cs="Times New Roman" w:eastAsia="Times New Roman" w:hAnsi="Times New Roman"/>
          <w:sz w:val="22"/>
          <w:szCs w:val="22"/>
        </w:rPr>
        <w:t xml:space="preserve">The strengths noted in the review (the mechanism-based problem statement, the sectoral distinction, attention to endogeneity and survivorship, and the alignment of objectives and hypotheses) have been kept. The table below records how each of the nine critical revisions has been addressed and where the changes are. Section numbers refer to the revised proposal.</w:t>
      </w:r>
    </w:p>
    <w:p>
      <w:pPr>
        <w:pStyle w:val="Heading1"/>
        <w:spacing w:after="120" w:before="240"/>
      </w:pPr>
      <w:r>
        <w:rPr>
          <w:rFonts w:ascii="Times New Roman" w:cs="Times New Roman" w:eastAsia="Times New Roman" w:hAnsi="Times New Roman"/>
          <w:b/>
          <w:bCs/>
          <w:sz w:val="28"/>
          <w:szCs w:val="28"/>
        </w:rPr>
        <w:t xml:space="preserve">A. How each comment has been addressed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00"/>
        <w:gridCol w:w="8780"/>
        <w:gridCol w:w="2600"/>
      </w:tblGrid>
      <w:tr>
        <w:trPr>
          <w:tblHeader/>
        </w:trPr>
        <w:tc>
          <w:tcPr>
            <w:tcW w:type="dxa" w:w="2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Comment</w:t>
            </w:r>
          </w:p>
        </w:tc>
        <w:tc>
          <w:tcPr>
            <w:tcW w:type="dxa" w:w="878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Revision made</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Where (sections / tables)</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 A defensible core</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New Section 3.9.4 and Table 3.5 separate the core (Models 2–5, with GARCH/EGARCH as a measurement step) from supporting analyses (Panel VAR, ARIMAX, Monte Carlo). For every method the table states the question it answers and the specific result that causes it to be dropped or replaced (e.g. realised volatility if GARCH fails diagnostics; local projections if Panel VAR fails stability; ARIMAX dropped under an annual design or if it does not beat a benchmark ARIMA out of sample). Objective 5 and H6 are now explicitly supporting.</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1.3.1, 1.5, 1.7, 2.4.3, 3.5, 3.9.1, 3.9.4 (Table 3.5), 3.10.1, 3.10.7, 3.10.8</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 Common-shock identification</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core model (Eq. 4) now includes full quarter fixed effects; EXRV_t is absorbed and no separate common volatility effect is claimed. H3 is restated as an exposure hypothesis identified by EXRV_t × FXE_i. FXE_i is defined precisely: net USD monetary liabilities / total assets from the IFRS 7 currency-risk note in the first available year, which is excluded from the estimation sample (predetermined); alternative: USD share of purchases. A secondary specification (Eq. 4a) reports β4 only as an aggregate association, with the confounding stated. Lag and depreciation/appreciation tests now use exposure interactions; mediation and moderation equations, marginal effects and Panel VAR/ARIMAX interpretation updated to match.</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 1.5, 1.7, 2.1.3, 2.6, 3.8.5, 3.10.3 (Eqs. 4, 4a, 6), 3.10.5, 3.10.6, 3.10.7, 3.11.4</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 Realistic System GMM case</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New discussion of N and T in 3.11.2: GMM is designed for large N / small T; with T ≈ 40, instruments proliferate and Nickell bias is small, so GMM is not assumed. Rule D4 fixes in advance when GMM is used (N ≥ 40; instrument count ≤ N/2 with collapsed instruments; AR(2) and Hansen/Difference-in-Hansen conditions), when Difference GMM is used, and the fallback (two-way FE with Driscoll–Kraay errors, lagged regressors, bias-corrected LSDV) with weaker wording of conclusions. Table 3.7 classifies every regressor as strictly exogenous, predetermined or endogenous with its justification and exact instrument lag window (t−2 to t−3, collapsed), and gives the expected instrument count (~20). Reporting now includes AR(1), AR(2), Hansen, Difference-in-Hansen, instrument count, N and observations, with a warning rule for Hansen p-values near 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2.4.1, 3.9.2, 3.11.1 (Table 3.7), 3.11.2, 3.11.3</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 Population and data-access plan</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 "to be reported" table has been replaced. Table 3.1 now gives the population source, eligibility and selection rule for each category; eligibility thresholds harmonised (12 consecutive quarters). The census no longer silently turns into a sample: Rules S1–S4 fix in advance when (and only when) stratified sampling is used, minimum category sizes and a selection check with inverse-probability weights. New Section 3.7.6 and Table 3.2 set out a pilot data audit protocol and decision rules D1–D5 (including the quarterly-vs-annual rule D2 and the forex-measure rule D3). Interpolation removed from the primary analysis; missing-data handling specified (unbalanced estimation, missingness reporting, multiple imputation as robustness). GRA tax records are now explicitly confidential (Act 915), used only with documented written permission, and the design does not depend on them; NPA access is via formal request (Right to Information Act, 2019 if needed). Ethics section updated accordingly.</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 3.6.1 (Table 3.1), 3.6.2, 3.7, 3.7.1, 3.7.3, 3.7.5, 3.7.6 (Table 3.2), 3.14</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 Volatility frequency</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Volatility is estimated on daily data (≈2,500 obs.) and the text now says why quarterly GARCH (40 obs.) is not used. Specified: exact series (BoG daily interbank GHS/USD mid-rate, 2 Jan 2015–31 Dec 2024), return definition (100 × log change, positive = depreciation, non-trading days excluded, weekly returns if &gt;20% zero returns), aggregation (within-quarter mean of daily conditional variance; end-of-quarter and realised variance as robustness), and structural breaks (ICSS with Sansó et al. correction, Bai–Perron, break dummies in the variance equation, persistence reported with and without). The incorrect statement that firm continuity is needed for GARCH estimation was removed.</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 3.6, 3.7.2, 3.10.2, Table 3.5</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 Forex accessibility and financial risk measures</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FA index: five components defined in Table 3.4 (delay, rejection rate, allocation ratio, premium paid, formal-funding share) with direction, scaling, PCA weights with KMO/Bartlett conditions and an equal-weight fallback, a missing-component rule (≥3 of 5), and validation (Cronbach's alpha, event validity in 2015–16 and 2022, convergent validity with the retail–interbank spread). The table states honestly that these are not published and need firm records; Rule D3 gives a pre-specified fallback (sector tightness × predetermined formal-FX dependence). FR index: now leverage (debt/assets), debt maturity and lagged cash-flow volatility; interest coverage (EBIT-based), debt-to-equity (ROE denominator) and short/long-term liabilities (overlaps current ratio) are excluded from the core index with reasons; weights justified and alternatives tested; FR enters interactions at t−1.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 2.1.1, 2.1.6, 3.8.1 (Table 3.3), 3.8.2 (Table 3.4), 3.8.3</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 Mediation claim</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H4, Objective 3 and RQ3 now speak of an "indirect association through investment". Section 3.10.5 gives path equations with lag lengths (FA_t → ID_t+1 → FP_t+2, with alternatives), the estimator (a1 × b1), CI method (firm-cluster percentile bootstrap, 5,000 reps; BC only as sensitivity), discussion of mediator–outcome confounding including treatment-induced confounders, the sequential ignorability assumptions (Table 3.6), an Imai et al. sensitivity analysis, and an explicit rule for when causal "mediation" wording is permitted. Full/partial mediation language removed.</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1.3.1, 1.4.1, 1.5, 1.7, 2.3.5, 2.6, 3.10.5 (Table 3.6)</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 Objective–hypothesis–model mapping</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H1a, H2a and H3a are now stated and tested separately (distinct joint Wald tests; H2a covers linear and squared terms). New one-page matrix (Table 3.8) links every objective, question, hypothesis, variable, model/equation, coefficient of interest, decision rule and diagnostics. H2 requires joint significance, the Lind–Mehlum slope test at the 5th/95th percentiles and the turning point (delta and Fieller CIs) inside the observed range.</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 2.6, 3.10.3, 3.10.4, 3.13 (Table 3.8)</w:t>
            </w:r>
          </w:p>
        </w:tc>
      </w:tr>
      <w:tr>
        <w:trPr>
          <w:cantSplit/>
        </w:trPr>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 Facts and references</w:t>
            </w:r>
          </w:p>
        </w:tc>
        <w:tc>
          <w:tcPr>
            <w:tcW w:type="dxa" w:w="87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Specific claims were checked against primary or official sources where possible; unverifiable figures were removed or reworded and several errors corrected (see fact-check log below). Every in-text citation was checked against the reference list and vice versa: 34 uncited references removed, 18 added for new methods and legislation, author-name spellings standardised.</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Throughout; References</w:t>
            </w:r>
          </w:p>
        </w:tc>
      </w:tr>
    </w:tbl>
    <w:p>
      <w:pPr>
        <w:pStyle w:val="Heading1"/>
        <w:spacing w:after="120" w:before="240"/>
      </w:pPr>
      <w:r>
        <w:rPr>
          <w:rFonts w:ascii="Times New Roman" w:cs="Times New Roman" w:eastAsia="Times New Roman" w:hAnsi="Times New Roman"/>
          <w:b/>
          <w:bCs/>
          <w:sz w:val="28"/>
          <w:szCs w:val="28"/>
        </w:rPr>
        <w:t xml:space="preserve">B. Fact-check log (comment 9)</w:t>
      </w:r>
    </w:p>
    <w:p>
      <w:pPr>
        <w:spacing w:after="120" w:line="300"/>
      </w:pPr>
      <w:r>
        <w:rPr>
          <w:rFonts w:ascii="Times New Roman" w:cs="Times New Roman" w:eastAsia="Times New Roman" w:hAnsi="Times New Roman"/>
          <w:sz w:val="22"/>
          <w:szCs w:val="22"/>
        </w:rPr>
        <w:t xml:space="preserve">Claims in the previous draft that were checked, what was found, and the action taken.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gridCol w:w="4280"/>
      </w:tblGrid>
      <w:tr>
        <w:trPr>
          <w:tblHeader/>
        </w:trPr>
        <w:tc>
          <w:tcPr>
            <w:tcW w:type="dxa" w:w="4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Claim in previous draft</w:t>
            </w:r>
          </w:p>
        </w:tc>
        <w:tc>
          <w:tcPr>
            <w:tcW w:type="dxa" w:w="5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Finding</w:t>
            </w:r>
          </w:p>
        </w:tc>
        <w:tc>
          <w:tcPr>
            <w:tcW w:type="dxa" w:w="428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r>
              <w:rPr>
                <w:rFonts w:ascii="Times New Roman" w:cs="Times New Roman" w:eastAsia="Times New Roman" w:hAnsi="Times New Roman"/>
                <w:b/>
                <w:bCs/>
                <w:color w:val="FFFFFF"/>
                <w:sz w:val="18"/>
                <w:szCs w:val="18"/>
              </w:rPr>
              <w:t xml:space="preserve">Action</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"Approximately 12 BIDECs, 180 OMCs and 65 LPGMCs as of 2023 (NPA, 2022)"</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 dated NPA source found; press reports of NPA figures give quite different counts (e.g. 41 bulk distribution, 102 OMC and 41 LPGMC licences in 2017). A 2022 source cannot support a 2023 count.</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Removed. Population now taken from dated NPA register extracts for each year (pilot audit).</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Cedi "depreciated by approximately 54 percent ... within a single calendar year" (2022)</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Bank of Ghana figures put the full-year 2022 interbank depreciation at about 30%; the larger fall was intra-year, before the December recovery.</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Corrected to about 30% over 2022, with the intra-year decline noted.</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"Waiting periods of 15 to 45 days for forex allocation" (NPA, 2022)</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 primary source located.</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Removed; allocation delay is now measured from firm records.</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"Nine commercial banks ... Bank of Ghana funded bailout of approximately GHS 21 billion"</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Nine universal banks lost licences 2017–2018 (consistent). The cost was borne by government (bonds), reported as over GHS 21bn in the 2021 Budget Statement.</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Reworded; cited Ministry of Finance (2021).</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Petroleum is "the largest single source of foreign exchange"; 25–40% of exports; 4.8% / 6.2% of GDP</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Gold is Ghana's largest export; the specific percentages were not traceable to the cited sources.</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Reworded (oil among leading exports with gold and cocoa); specific figures removed.</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"Inflation differentials exceeding 8 percentage points"; "current account deficits averaging 3.1 percent of GDP"</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Not traceable to the cited sources.</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Figures removed; statement made general and cited to IMF (2023).</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"Engle (1982) shows that exchange rate return series in developing economies typically display ARCH"</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Engle (1982) introduced ARCH using UK inflation, not developing-economy exchange rates.</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Corrected.</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IMF (2022), "2022 Article IV consultation and request for an ECF", Country Report 23/168</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IMF Country Report 23/168 is the May 2023 Request for an Arrangement under the ECF.</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Reference and all in-text dates corrected to IMF (2023).</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Bank of Ghana (2023), "Annual report on exchange rate volatility and financial markets"</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 Bank of Ghana publication with this title identified.</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Replaced with Bank of Ghana Annual Report 2022 (please confirm).</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Ghana Revenue Authority (2023), "Corporate tax and financial reporting guidelines for petroleum marketing firms"</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 such publication identified.</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Removed; Revenue Administration Act, 2016 (Act 915) cited instead.</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Deloitte (2023); Ghana Statistical Service (2020, 2022)</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Could not be verified / supported claims that were removed.</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Citations and references removed.</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BoG "forex allocation reports published quarterly as part of the External Sector Statistics"; BoG "interbank-to-parallel market spread data"</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 such regular publications identified.</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Removed; sector-level indicators used only for validation/fallback, where published.</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NPA database holds "mandatory annual financial reports submitted by all licensed" firms</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Not verified.</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Now treated as something the pilot audit must establish; no access assumed.</w:t>
            </w:r>
          </w:p>
        </w:tc>
      </w:tr>
      <w:tr>
        <w:trPr>
          <w:cantSplit/>
        </w:trPr>
        <w:tc>
          <w:tcPr>
            <w:tcW w:type="dxa" w:w="4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World Bank WDI provides "quarterly macroeconomic series"</w:t>
            </w:r>
          </w:p>
        </w:tc>
        <w:tc>
          <w:tcPr>
            <w:tcW w:type="dxa" w:w="520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WDI is annual.</w:t>
            </w:r>
          </w:p>
        </w:tc>
        <w:tc>
          <w:tcPr>
            <w:tcW w:type="dxa" w:w="4280"/>
            <w:tcBorders>
              <w:top w:val="single" w:color="8EA9C8" w:sz="4"/>
              <w:left w:val="single" w:color="8EA9C8" w:sz="4"/>
              <w:bottom w:val="single" w:color="8EA9C8" w:sz="4"/>
              <w:right w:val="single" w:color="8EA9C8" w:sz="4"/>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Quarterly series now from IMF IFS and Ghana Statistical Service.</w:t>
            </w:r>
          </w:p>
        </w:tc>
      </w:tr>
    </w:tbl>
    <w:p>
      <w:pPr>
        <w:spacing w:after="200" w:line="300"/>
      </w:pPr>
      <w:r>
        <w:rPr>
          <w:rFonts w:ascii="Times New Roman" w:cs="Times New Roman" w:eastAsia="Times New Roman" w:hAnsi="Times New Roman"/>
          <w:sz w:val="22"/>
          <w:szCs w:val="22"/>
        </w:rPr>
        <w:t xml:space="preserve">References: 34 entries that were not cited in the text were removed, 18 entries were added (new methods and the Ghanaian statutes now cited), and spellings were standardised (Baños-Caballero, Holmström, Gyimah-Boadi). Every in-text citation was checked programmatically against the reference list and vice versa.</w:t>
      </w:r>
    </w:p>
    <w:p>
      <w:pPr>
        <w:pStyle w:val="Heading1"/>
        <w:spacing w:after="120" w:before="240"/>
      </w:pPr>
      <w:r>
        <w:rPr>
          <w:rFonts w:ascii="Times New Roman" w:cs="Times New Roman" w:eastAsia="Times New Roman" w:hAnsi="Times New Roman"/>
          <w:b/>
          <w:bCs/>
          <w:sz w:val="28"/>
          <w:szCs w:val="28"/>
        </w:rPr>
        <w:t xml:space="preserve">C. Items for the student to complete before submission</w:t>
      </w:r>
    </w:p>
    <w:p>
      <w:pPr>
        <w:pStyle w:val="ListParagraph"/>
        <w:numPr>
          <w:ilvl w:val="0"/>
          <w:numId w:val="2"/>
        </w:numPr>
        <w:spacing w:after="80" w:line="300"/>
      </w:pPr>
      <w:r>
        <w:rPr>
          <w:rFonts w:ascii="Times New Roman" w:cs="Times New Roman" w:eastAsia="Times New Roman" w:hAnsi="Times New Roman"/>
          <w:b/>
          <w:bCs/>
          <w:sz w:val="22"/>
          <w:szCs w:val="22"/>
        </w:rPr>
        <w:t xml:space="preserve">Run the pilot data audit and add its numbers.</w:t>
      </w:r>
      <w:r>
        <w:rPr>
          <w:rFonts w:ascii="Times New Roman" w:cs="Times New Roman" w:eastAsia="Times New Roman" w:hAnsi="Times New Roman"/>
          <w:sz w:val="22"/>
          <w:szCs w:val="22"/>
        </w:rPr>
        <w:t xml:space="preserve"> The supervisor asked for a pilot audit. The revised proposal sets out the protocol (Table 3.2) and the decision rules, but the actual counts (registered, eligible and usable firms by category; which variables are observed quarterly) can only come from you contacting the NPA and firms. If you can obtain them before submission, add a short results table after Table 3.2. Do not insert estimated numbers.</w:t>
      </w:r>
    </w:p>
    <w:p>
      <w:pPr>
        <w:pStyle w:val="ListParagraph"/>
        <w:numPr>
          <w:ilvl w:val="0"/>
          <w:numId w:val="2"/>
        </w:numPr>
        <w:spacing w:after="80" w:line="300"/>
      </w:pPr>
      <w:r>
        <w:rPr>
          <w:rFonts w:ascii="Times New Roman" w:cs="Times New Roman" w:eastAsia="Times New Roman" w:hAnsi="Times New Roman"/>
          <w:b/>
          <w:bCs/>
          <w:sz w:val="22"/>
          <w:szCs w:val="22"/>
        </w:rPr>
        <w:t xml:space="preserve">Confirm the remaining institutional references.</w:t>
      </w:r>
      <w:r>
        <w:rPr>
          <w:rFonts w:ascii="Times New Roman" w:cs="Times New Roman" w:eastAsia="Times New Roman" w:hAnsi="Times New Roman"/>
          <w:sz w:val="22"/>
          <w:szCs w:val="22"/>
        </w:rPr>
        <w:t xml:space="preserve"> Check the exact title and year of National Petroleum Authority (2022) (it is still cited for sector descriptions), and confirm Bank of Ghana (2020) and (2023) annual reports and the Ministry of Finance (2021) budget statement against the documents you hold. Add page numbers if your department requires them.</w:t>
      </w:r>
    </w:p>
    <w:p>
      <w:pPr>
        <w:pStyle w:val="ListParagraph"/>
        <w:numPr>
          <w:ilvl w:val="0"/>
          <w:numId w:val="2"/>
        </w:numPr>
        <w:spacing w:after="80" w:line="300"/>
      </w:pPr>
      <w:r>
        <w:rPr>
          <w:rFonts w:ascii="Times New Roman" w:cs="Times New Roman" w:eastAsia="Times New Roman" w:hAnsi="Times New Roman"/>
          <w:b/>
          <w:bCs/>
          <w:sz w:val="22"/>
          <w:szCs w:val="22"/>
        </w:rPr>
        <w:t xml:space="preserve">Check the thresholds you will defend.</w:t>
      </w:r>
      <w:r>
        <w:rPr>
          <w:rFonts w:ascii="Times New Roman" w:cs="Times New Roman" w:eastAsia="Times New Roman" w:hAnsi="Times New Roman"/>
          <w:sz w:val="22"/>
          <w:szCs w:val="22"/>
        </w:rPr>
        <w:t xml:space="preserve"> The pre-specified numbers (40 firms for GMM/quarterly design, 15 firms per category, 120/60 processing limits, 60% and 80% availability rules, 12 consecutive quarters) are reasoned defaults. Adjust them if your supervisor or the pilot suggests otherwise, but keep them fixed before analysis.</w:t>
      </w:r>
    </w:p>
    <w:p>
      <w:pPr>
        <w:pStyle w:val="ListParagraph"/>
        <w:numPr>
          <w:ilvl w:val="0"/>
          <w:numId w:val="2"/>
        </w:numPr>
        <w:spacing w:after="80" w:line="300"/>
      </w:pPr>
      <w:r>
        <w:rPr>
          <w:rFonts w:ascii="Times New Roman" w:cs="Times New Roman" w:eastAsia="Times New Roman" w:hAnsi="Times New Roman"/>
          <w:b/>
          <w:bCs/>
          <w:sz w:val="22"/>
          <w:szCs w:val="22"/>
        </w:rPr>
        <w:t xml:space="preserve">Refresh the Table of Contents in Word.</w:t>
      </w:r>
      <w:r>
        <w:rPr>
          <w:rFonts w:ascii="Times New Roman" w:cs="Times New Roman" w:eastAsia="Times New Roman" w:hAnsi="Times New Roman"/>
          <w:sz w:val="22"/>
          <w:szCs w:val="22"/>
        </w:rPr>
        <w:t xml:space="preserve"> The file asks Word to update fields when opened; click Yes (or right-click the contents list and choose Update Field → Update entire table) so page numbers match Word's layout.</w:t>
      </w:r>
    </w:p>
    <w:p>
      <w:pPr>
        <w:pStyle w:val="ListParagraph"/>
        <w:numPr>
          <w:ilvl w:val="0"/>
          <w:numId w:val="2"/>
        </w:numPr>
        <w:spacing w:after="80" w:line="300"/>
      </w:pPr>
      <w:r>
        <w:rPr>
          <w:rFonts w:ascii="Times New Roman" w:cs="Times New Roman" w:eastAsia="Times New Roman" w:hAnsi="Times New Roman"/>
          <w:b/>
          <w:bCs/>
          <w:sz w:val="22"/>
          <w:szCs w:val="22"/>
        </w:rPr>
        <w:t xml:space="preserve">Cover page and title.</w:t>
      </w:r>
      <w:r>
        <w:rPr>
          <w:rFonts w:ascii="Times New Roman" w:cs="Times New Roman" w:eastAsia="Times New Roman" w:hAnsi="Times New Roman"/>
          <w:sz w:val="22"/>
          <w:szCs w:val="22"/>
        </w:rPr>
        <w:t xml:space="preserve"> The cover still says SEPTEMBER 2026; update if needed. The title still says "the mediating role of investment"; the text now uses "indirect association" language, which is consistent with a mediation title, but you may wish to discuss the wording with your supervisor.</w:t>
      </w:r>
    </w:p>
    <w:p>
      <w:pPr>
        <w:pStyle w:val="ListParagraph"/>
        <w:numPr>
          <w:ilvl w:val="0"/>
          <w:numId w:val="2"/>
        </w:numPr>
        <w:spacing w:after="80" w:line="300"/>
      </w:pPr>
      <w:r>
        <w:rPr>
          <w:rFonts w:ascii="Times New Roman" w:cs="Times New Roman" w:eastAsia="Times New Roman" w:hAnsi="Times New Roman"/>
          <w:b/>
          <w:bCs/>
          <w:sz w:val="22"/>
          <w:szCs w:val="22"/>
        </w:rPr>
        <w:t xml:space="preserve">Track Changes is switched on in the original file's settings</w:t>
      </w:r>
      <w:r>
        <w:rPr>
          <w:rFonts w:ascii="Times New Roman" w:cs="Times New Roman" w:eastAsia="Times New Roman" w:hAnsi="Times New Roman"/>
          <w:sz w:val="22"/>
          <w:szCs w:val="22"/>
        </w:rPr>
        <w:t xml:space="preserve">, so any further edits you make in Word will be tracked. Turn it off (Review → Track Changes) if you want a clean copy.</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2026-10-28T04:27:21.946Z</dcterms:created>
  <dcterms:modified xsi:type="dcterms:W3CDTF">2026-10-28T04:27:21.947Z</dcterms:modified>
</cp:coreProperties>
</file>

<file path=docProps/custom.xml><?xml version="1.0" encoding="utf-8"?>
<Properties xmlns="http://schemas.openxmlformats.org/officeDocument/2006/custom-properties" xmlns:vt="http://schemas.openxmlformats.org/officeDocument/2006/docPropsVTypes"/>
</file>