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Candidate Methodological Directions for the Master’s Thesis</w:t>
      </w:r>
      <w:r>
        <w:br/>
      </w:r>
      <w:r>
        <w:t xml:space="preserve">Application: Opioid Distribution in ARCOS ZIP–Month Data</w:t>
      </w:r>
      <w:r>
        <w:br/>
      </w:r>
      <w:r>
        <w:t xml:space="preserve">Fafa Tchorly</w:t>
      </w:r>
      <w:r>
        <w:br/>
      </w:r>
      <w:r>
        <w:t xml:space="preserve">Department of Mathematics and Statistics, University of North Florida</w:t>
      </w:r>
      <w:r>
        <w:br/>
      </w:r>
      <w:r>
        <w:t xml:space="preserve">Prepared for Dr. Michelle DeDeo, 19 October 2026</w:t>
      </w:r>
    </w:p>
    <w:p>
      <w:pPr>
        <w:pStyle w:val="BodyText"/>
      </w:pPr>
      <w:r>
        <w:t xml:space="preserve">Following your guidance, I have narrowed the thesis to two methodological directions. Each starts from a classroom topic, asks a statistical question that simulation can answer where the truth is known, and uses the opioid data as the application. Section 3 proposes combining them.</w:t>
      </w:r>
    </w:p>
    <w:p>
      <w:pPr>
        <w:pStyle w:val="BodyText"/>
      </w:pPr>
      <w:r>
        <w:rPr>
          <w:bCs/>
          <w:b/>
        </w:rPr>
        <w:t xml:space="preserve">Common setting.</w:t>
      </w:r>
      <w:r>
        <w:t xml:space="preserve">  Let</w:t>
      </w:r>
      <w:r>
        <w:t xml:space="preserve"> </w:t>
      </w:r>
      <m:oMath>
        <m:sSub>
          <m:e>
            <m:r>
              <m:t>y</m:t>
            </m:r>
          </m:e>
          <m:sub>
            <m:r>
              <m:t>t</m:t>
            </m:r>
            <m:r>
              <m:t>j</m:t>
            </m:r>
            <m:r>
              <m:t>k</m:t>
            </m:r>
            <m:r>
              <m:t>l</m:t>
            </m:r>
          </m:sub>
        </m:sSub>
      </m:oMath>
      <w:r>
        <w:t xml:space="preserve"> </w:t>
      </w:r>
      <w:r>
        <w:t xml:space="preserve">denote log morphine milligram equivalents (MME) per 1</w:t>
      </w:r>
      <w:r>
        <w:t xml:space="preserve">,</w:t>
      </w:r>
      <w:r>
        <w:t xml:space="preserve">000 residents in month</w:t>
      </w:r>
      <w:r>
        <w:t xml:space="preserve"> </w:t>
      </w:r>
      <m:oMath>
        <m:r>
          <m:t>t</m:t>
        </m:r>
      </m:oMath>
      <w:r>
        <w:t xml:space="preserve">, ZIP code</w:t>
      </w:r>
      <w:r>
        <w:t xml:space="preserve"> </w:t>
      </w:r>
      <m:oMath>
        <m:r>
          <m:t>j</m:t>
        </m:r>
      </m:oMath>
      <w:r>
        <w:t xml:space="preserve">, county</w:t>
      </w:r>
      <w:r>
        <w:t xml:space="preserve"> </w:t>
      </w:r>
      <m:oMath>
        <m:r>
          <m:t>k</m:t>
        </m:r>
      </m:oMath>
      <w:r>
        <w:t xml:space="preserve"> </w:t>
      </w:r>
      <w:r>
        <w:t xml:space="preserve">and region</w:t>
      </w:r>
      <w:r>
        <w:t xml:space="preserve"> </w:t>
      </w:r>
      <m:oMath>
        <m:r>
          <m:t>l</m:t>
        </m:r>
      </m:oMath>
      <w:r>
        <w:t xml:space="preserve">. The baseline four-level model is</w:t>
      </w:r>
    </w:p>
    <w:p>
      <w:pPr>
        <w:pStyle w:val="BodyText"/>
      </w:pPr>
      <m:oMathPara>
        <m:oMathParaPr>
          <m:jc m:val="center"/>
        </m:oMathParaPr>
        <m:oMath>
          <m:sSub>
            <m:e>
              <m:r>
                <m:t>y</m:t>
              </m:r>
            </m:e>
            <m:sub>
              <m:r>
                <m:t>t</m:t>
              </m:r>
              <m:r>
                <m:t>j</m:t>
              </m:r>
              <m:r>
                <m:t>k</m:t>
              </m:r>
              <m:r>
                <m:t>l</m:t>
              </m:r>
            </m:sub>
          </m:sSub>
          <m:r>
            <m:rPr>
              <m:sty m:val="p"/>
            </m:rPr>
            <m:t>=</m:t>
          </m:r>
          <m:sSubSup>
            <m:e>
              <m:r>
                <m:rPr>
                  <m:sty m:val="b"/>
                </m:rPr>
                <m:t>x</m:t>
              </m:r>
            </m:e>
            <m:sub>
              <m:r>
                <m:t>t</m:t>
              </m:r>
              <m:r>
                <m:t>j</m:t>
              </m:r>
              <m:r>
                <m:t>k</m:t>
              </m:r>
              <m:r>
                <m:t>l</m:t>
              </m:r>
            </m:sub>
            <m:sup>
              <m:r>
                <m:rPr>
                  <m:sty m:val="p"/>
                </m:rPr>
                <m:t>⊤</m:t>
              </m:r>
            </m:sup>
          </m:sSubSup>
          <m:r>
            <m:rPr>
              <m:sty m:val="b"/>
            </m:rPr>
            <m:t>β</m:t>
          </m:r>
          <m:r>
            <m:rPr>
              <m:sty m:val="p"/>
            </m:rPr>
            <m:t>+</m:t>
          </m:r>
          <m:sSub>
            <m:e>
              <m:r>
                <m:t>v</m:t>
              </m:r>
            </m:e>
            <m:sub>
              <m:r>
                <m:t>l</m:t>
              </m:r>
            </m:sub>
          </m:sSub>
          <m:r>
            <m:rPr>
              <m:sty m:val="p"/>
            </m:rPr>
            <m:t>+</m:t>
          </m:r>
          <m:sSub>
            <m:e>
              <m:r>
                <m:t>u</m:t>
              </m:r>
            </m:e>
            <m:sub>
              <m:r>
                <m:t>k</m:t>
              </m:r>
              <m:r>
                <m:t>l</m:t>
              </m:r>
            </m:sub>
          </m:sSub>
          <m:r>
            <m:rPr>
              <m:sty m:val="p"/>
            </m:rPr>
            <m:t>+</m:t>
          </m:r>
          <m:sSub>
            <m:e>
              <m:r>
                <m:t>w</m:t>
              </m:r>
            </m:e>
            <m:sub>
              <m:r>
                <m:t>j</m:t>
              </m:r>
              <m:r>
                <m:t>k</m:t>
              </m:r>
              <m:r>
                <m:t>l</m:t>
              </m:r>
            </m:sub>
          </m:sSub>
          <m:r>
            <m:rPr>
              <m:sty m:val="p"/>
            </m:rPr>
            <m:t>+</m:t>
          </m:r>
          <m:sSub>
            <m:e>
              <m:r>
                <m:t>ε</m:t>
              </m:r>
            </m:e>
            <m:sub>
              <m:r>
                <m:t>t</m:t>
              </m:r>
              <m:r>
                <m:t>j</m:t>
              </m:r>
              <m:r>
                <m:t>k</m:t>
              </m:r>
              <m:r>
                <m:t>l</m:t>
              </m:r>
            </m:sub>
          </m:sSub>
          <m:r>
            <m:rPr>
              <m:sty m:val="p"/>
            </m:rPr>
            <m:t>,</m:t>
          </m:r>
        </m:oMath>
      </m:oMathPara>
    </w:p>
    <w:p>
      <w:pPr>
        <w:pStyle w:val="FirstParagraph"/>
      </w:pPr>
      <w:r>
        <w:t xml:space="preserve">with independent</w:t>
      </w:r>
      <w:r>
        <w:t xml:space="preserve"> </w:t>
      </w:r>
      <m:oMath>
        <m:sSub>
          <m:e>
            <m:r>
              <m:t>v</m:t>
            </m:r>
          </m:e>
          <m:sub>
            <m:r>
              <m:t>l</m:t>
            </m:r>
          </m:sub>
        </m:sSub>
        <m:r>
          <m:rPr>
            <m:sty m:val="p"/>
          </m:rPr>
          <m:t>∼</m:t>
        </m:r>
        <m:r>
          <m:t>N</m:t>
        </m:r>
        <m:d>
          <m:dPr>
            <m:begChr m:val="("/>
            <m:endChr m:val=")"/>
            <m:sepChr m:val=""/>
            <m:grow/>
          </m:dPr>
          <m:e>
            <m:r>
              <m:t>0</m:t>
            </m:r>
            <m:r>
              <m:rPr>
                <m:sty m:val="p"/>
              </m:rPr>
              <m:t>,</m:t>
            </m:r>
            <m:sSubSup>
              <m:e>
                <m:r>
                  <m:t>σ</m:t>
                </m:r>
              </m:e>
              <m:sub>
                <m:r>
                  <m:t>R</m:t>
                </m:r>
              </m:sub>
              <m:sup>
                <m:r>
                  <m:t>2</m:t>
                </m:r>
              </m:sup>
            </m:sSubSup>
          </m:e>
        </m:d>
      </m:oMath>
      <w:r>
        <w:t xml:space="preserve">,</w:t>
      </w:r>
      <w:r>
        <w:t xml:space="preserve"> </w:t>
      </w:r>
      <m:oMath>
        <m:sSub>
          <m:e>
            <m:r>
              <m:t>u</m:t>
            </m:r>
          </m:e>
          <m:sub>
            <m:r>
              <m:t>k</m:t>
            </m:r>
            <m:r>
              <m:t>l</m:t>
            </m:r>
          </m:sub>
        </m:sSub>
        <m:r>
          <m:rPr>
            <m:sty m:val="p"/>
          </m:rPr>
          <m:t>∼</m:t>
        </m:r>
        <m:r>
          <m:t>N</m:t>
        </m:r>
        <m:d>
          <m:dPr>
            <m:begChr m:val="("/>
            <m:endChr m:val=")"/>
            <m:sepChr m:val=""/>
            <m:grow/>
          </m:dPr>
          <m:e>
            <m:r>
              <m:t>0</m:t>
            </m:r>
            <m:r>
              <m:rPr>
                <m:sty m:val="p"/>
              </m:rPr>
              <m:t>,</m:t>
            </m:r>
            <m:sSubSup>
              <m:e>
                <m:r>
                  <m:t>σ</m:t>
                </m:r>
              </m:e>
              <m:sub>
                <m:r>
                  <m:t>C</m:t>
                </m:r>
              </m:sub>
              <m:sup>
                <m:r>
                  <m:t>2</m:t>
                </m:r>
              </m:sup>
            </m:sSubSup>
          </m:e>
        </m:d>
      </m:oMath>
      <w:r>
        <w:t xml:space="preserve">,</w:t>
      </w:r>
      <w:r>
        <w:t xml:space="preserve"> </w:t>
      </w:r>
      <m:oMath>
        <m:sSub>
          <m:e>
            <m:r>
              <m:t>w</m:t>
            </m:r>
          </m:e>
          <m:sub>
            <m:r>
              <m:t>j</m:t>
            </m:r>
            <m:r>
              <m:t>k</m:t>
            </m:r>
            <m:r>
              <m:t>l</m:t>
            </m:r>
          </m:sub>
        </m:sSub>
        <m:r>
          <m:rPr>
            <m:sty m:val="p"/>
          </m:rPr>
          <m:t>∼</m:t>
        </m:r>
        <m:r>
          <m:t>N</m:t>
        </m:r>
        <m:d>
          <m:dPr>
            <m:begChr m:val="("/>
            <m:endChr m:val=")"/>
            <m:sepChr m:val=""/>
            <m:grow/>
          </m:dPr>
          <m:e>
            <m:r>
              <m:t>0</m:t>
            </m:r>
            <m:r>
              <m:rPr>
                <m:sty m:val="p"/>
              </m:rPr>
              <m:t>,</m:t>
            </m:r>
            <m:sSubSup>
              <m:e>
                <m:r>
                  <m:t>σ</m:t>
                </m:r>
              </m:e>
              <m:sub>
                <m:r>
                  <m:t>Z</m:t>
                </m:r>
              </m:sub>
              <m:sup>
                <m:r>
                  <m:t>2</m:t>
                </m:r>
              </m:sup>
            </m:sSubSup>
          </m:e>
        </m:d>
      </m:oMath>
      <w:r>
        <w:t xml:space="preserve"> </w:t>
      </w:r>
      <w:r>
        <w:t xml:space="preserve">and</w:t>
      </w:r>
      <w:r>
        <w:t xml:space="preserve"> </w:t>
      </w:r>
      <m:oMath>
        <m:sSub>
          <m:e>
            <m:r>
              <m:t>ε</m:t>
            </m:r>
          </m:e>
          <m:sub>
            <m:r>
              <m:t>t</m:t>
            </m:r>
            <m:r>
              <m:t>j</m:t>
            </m:r>
            <m:r>
              <m:t>k</m:t>
            </m:r>
            <m:r>
              <m:t>l</m:t>
            </m:r>
          </m:sub>
        </m:sSub>
        <m:r>
          <m:rPr>
            <m:sty m:val="p"/>
          </m:rPr>
          <m:t>∼</m:t>
        </m:r>
        <m:r>
          <m:t>N</m:t>
        </m:r>
        <m:d>
          <m:dPr>
            <m:begChr m:val="("/>
            <m:endChr m:val=")"/>
            <m:sepChr m:val=""/>
            <m:grow/>
          </m:dPr>
          <m:e>
            <m:r>
              <m:t>0</m:t>
            </m:r>
            <m:r>
              <m:rPr>
                <m:sty m:val="p"/>
              </m:rPr>
              <m:t>,</m:t>
            </m:r>
            <m:sSubSup>
              <m:e>
                <m:r>
                  <m:t>σ</m:t>
                </m:r>
              </m:e>
              <m:sub>
                <m:r>
                  <m:t>ε</m:t>
                </m:r>
              </m:sub>
              <m:sup>
                <m:r>
                  <m:t>2</m:t>
                </m:r>
              </m:sup>
            </m:sSubSup>
          </m:e>
        </m:d>
      </m:oMath>
      <w:r>
        <w:t xml:space="preserve">, where</w:t>
      </w:r>
      <w:r>
        <w:t xml:space="preserve"> </w:t>
      </w:r>
      <m:oMath>
        <m:sSub>
          <m:e>
            <m:r>
              <m:rPr>
                <m:sty m:val="b"/>
              </m:rPr>
              <m:t>x</m:t>
            </m:r>
          </m:e>
          <m:sub>
            <m:r>
              <m:t>t</m:t>
            </m:r>
            <m:r>
              <m:t>j</m:t>
            </m:r>
            <m:r>
              <m:t>k</m:t>
            </m:r>
            <m:r>
              <m:t>l</m:t>
            </m:r>
          </m:sub>
        </m:sSub>
      </m:oMath>
      <w:r>
        <w:t xml:space="preserve"> </w:t>
      </w:r>
      <w:r>
        <w:t xml:space="preserve">may contain covariates measured at any level (for example income and rurality at the ZIP level).</w:t>
      </w:r>
    </w:p>
    <w:bookmarkStart w:id="20" w:name="Xcf9754cae990e4811ddc414c16fb2f9507c76a2"/>
    <w:p>
      <w:pPr>
        <w:pStyle w:val="Heading1"/>
      </w:pPr>
      <w:r>
        <w:t xml:space="preserve">Direction 1: BIC for Multilevel Models with Three or More Levels</w:t>
      </w:r>
    </w:p>
    <w:p>
      <w:pPr>
        <w:pStyle w:val="FirstParagraph"/>
      </w:pPr>
      <w:r>
        <w:rPr>
          <w:bCs/>
          <w:b/>
        </w:rPr>
        <w:t xml:space="preserve">Classroom starting point.</w:t>
      </w:r>
      <w:r>
        <w:t xml:space="preserve">  Linear mixed models (ML/REML) and model selection with AIC and BIC.</w:t>
      </w:r>
    </w:p>
    <w:p>
      <w:pPr>
        <w:pStyle w:val="BodyText"/>
      </w:pPr>
      <w:r>
        <w:rPr>
          <w:bCs/>
          <w:b/>
        </w:rPr>
        <w:t xml:space="preserve">Statistical question.</w:t>
      </w:r>
      <w:r>
        <w:t xml:space="preserve">  The Bayesian information criterion</w:t>
      </w:r>
      <w:r>
        <w:t xml:space="preserve"> </w:t>
      </w:r>
      <m:oMath>
        <m:r>
          <m:rPr>
            <m:sty m:val="p"/>
          </m:rPr>
          <m:t>B</m:t>
        </m:r>
        <m:r>
          <m:rPr>
            <m:sty m:val="p"/>
          </m:rPr>
          <m:t>I</m:t>
        </m:r>
        <m:r>
          <m:rPr>
            <m:sty m:val="p"/>
          </m:rPr>
          <m:t>C</m:t>
        </m:r>
        <m:r>
          <m:rPr>
            <m:sty m:val="p"/>
          </m:rPr>
          <m:t>=</m:t>
        </m:r>
        <m:r>
          <m:rPr>
            <m:sty m:val="p"/>
          </m:rPr>
          <m:t>−</m:t>
        </m:r>
        <m:r>
          <m:t>2</m:t>
        </m:r>
        <m:r>
          <m:t> </m:t>
        </m:r>
        <m:r>
          <m:rPr>
            <m:sty m:val="p"/>
          </m:rPr>
          <m:t>ℓ</m:t>
        </m:r>
        <m:d>
          <m:dPr>
            <m:begChr m:val="("/>
            <m:endChr m:val=")"/>
            <m:sepChr m:val=""/>
            <m:grow/>
          </m:dPr>
          <m:e>
            <m:acc>
              <m:accPr>
                <m:chr m:val="̂"/>
              </m:accPr>
              <m:e>
                <m:r>
                  <m:rPr>
                    <m:sty m:val="b"/>
                  </m:rPr>
                  <m:t>θ</m:t>
                </m:r>
              </m:e>
            </m:acc>
          </m:e>
        </m:d>
        <m:r>
          <m:rPr>
            <m:sty m:val="p"/>
          </m:rPr>
          <m:t>+</m:t>
        </m:r>
        <m:r>
          <m:t>k</m:t>
        </m:r>
        <m:r>
          <m:rPr>
            <m:sty m:val="p"/>
          </m:rPr>
          <m:t>log</m:t>
        </m:r>
        <m:r>
          <m:t>n</m:t>
        </m:r>
      </m:oMath>
      <w:r>
        <w:t xml:space="preserve"> </w:t>
      </w:r>
      <w:r>
        <w:t xml:space="preserve">comes from a Laplace approximation to the marginal likelihood,</w:t>
      </w:r>
    </w:p>
    <w:p>
      <w:pPr>
        <w:pStyle w:val="BodyText"/>
      </w:pPr>
      <m:oMathPara>
        <m:oMathParaPr>
          <m:jc m:val="center"/>
        </m:oMathParaPr>
        <m:oMath>
          <m:r>
            <m:rPr>
              <m:sty m:val="p"/>
            </m:rPr>
            <m:t>log</m:t>
          </m:r>
          <m:r>
            <m:t>p</m:t>
          </m:r>
          <m:d>
            <m:dPr>
              <m:begChr m:val="("/>
              <m:endChr m:val=")"/>
              <m:sepChr m:val=""/>
              <m:grow/>
            </m:dPr>
            <m:e>
              <m:r>
                <m:rPr>
                  <m:sty m:val="b"/>
                </m:rPr>
                <m:t>y</m:t>
              </m:r>
              <m:r>
                <m:rPr>
                  <m:sty m:val="p"/>
                </m:rPr>
                <m:t>∣</m:t>
              </m:r>
              <m:r>
                <m:t>M</m:t>
              </m:r>
            </m:e>
          </m:d>
          <m:r>
            <m:rPr>
              <m:sty m:val="p"/>
            </m:rPr>
            <m:t>=</m:t>
          </m:r>
          <m:r>
            <m:rPr>
              <m:sty m:val="p"/>
            </m:rPr>
            <m:t>ℓ</m:t>
          </m:r>
          <m:d>
            <m:dPr>
              <m:begChr m:val="("/>
              <m:endChr m:val=")"/>
              <m:sepChr m:val=""/>
              <m:grow/>
            </m:dPr>
            <m:e>
              <m:acc>
                <m:accPr>
                  <m:chr m:val="̂"/>
                </m:accPr>
                <m:e>
                  <m:r>
                    <m:rPr>
                      <m:sty m:val="b"/>
                    </m:rPr>
                    <m:t>θ</m:t>
                  </m:r>
                </m:e>
              </m:acc>
            </m:e>
          </m:d>
          <m:r>
            <m:rPr>
              <m:sty m:val="p"/>
            </m:rPr>
            <m:t>−</m:t>
          </m:r>
          <m:f>
            <m:fPr>
              <m:type m:val="lin"/>
            </m:fPr>
            <m:num>
              <m:r>
                <m:t>1</m:t>
              </m:r>
            </m:num>
            <m:den>
              <m:r>
                <m:t>2</m:t>
              </m:r>
            </m:den>
          </m:f>
          <m:r>
            <m:rPr>
              <m:sty m:val="p"/>
            </m:rPr>
            <m:t>log</m:t>
          </m:r>
          <m:r>
            <m:rPr>
              <m:sty m:val="p"/>
            </m:rPr>
            <m:t>det</m:t>
          </m:r>
          <m:r>
            <m:rPr>
              <m:sty m:val="p"/>
              <m:scr m:val="script"/>
            </m:rPr>
            <m:t>I</m:t>
          </m:r>
          <m:d>
            <m:dPr>
              <m:begChr m:val="("/>
              <m:endChr m:val=")"/>
              <m:sepChr m:val=""/>
              <m:grow/>
            </m:dPr>
            <m:e>
              <m:acc>
                <m:accPr>
                  <m:chr m:val="̂"/>
                </m:accPr>
                <m:e>
                  <m:r>
                    <m:rPr>
                      <m:sty m:val="b"/>
                    </m:rPr>
                    <m:t>θ</m:t>
                  </m:r>
                </m:e>
              </m:acc>
            </m:e>
          </m:d>
          <m:r>
            <m:rPr>
              <m:sty m:val="p"/>
            </m:rPr>
            <m:t>+</m:t>
          </m:r>
          <m:sSub>
            <m:e>
              <m:r>
                <m:t>O</m:t>
              </m:r>
            </m:e>
            <m:sub>
              <m:r>
                <m:t>p</m:t>
              </m:r>
            </m:sub>
          </m:sSub>
          <m:d>
            <m:dPr>
              <m:begChr m:val="("/>
              <m:endChr m:val=")"/>
              <m:sepChr m:val=""/>
              <m:grow/>
            </m:dPr>
            <m:e>
              <m:r>
                <m:t>1</m:t>
              </m:r>
            </m:e>
          </m:d>
          <m:r>
            <m:rPr>
              <m:sty m:val="p"/>
            </m:rPr>
            <m:t>,</m:t>
          </m:r>
        </m:oMath>
      </m:oMathPara>
    </w:p>
    <w:p>
      <w:pPr>
        <w:pStyle w:val="FirstParagraph"/>
      </w:pPr>
      <w:r>
        <w:t xml:space="preserve">where</w:t>
      </w:r>
      <w:r>
        <w:t xml:space="preserve"> </w:t>
      </w:r>
      <m:oMath>
        <m:r>
          <m:rPr>
            <m:sty m:val="p"/>
            <m:scr m:val="script"/>
          </m:rPr>
          <m:t>I</m:t>
        </m:r>
      </m:oMath>
      <w:r>
        <w:t xml:space="preserve"> </w:t>
      </w:r>
      <w:r>
        <w:t xml:space="preserve">is the Fisher information. Replacing</w:t>
      </w:r>
      <w:r>
        <w:t xml:space="preserve"> </w:t>
      </w:r>
      <m:oMath>
        <m:r>
          <m:rPr>
            <m:sty m:val="p"/>
          </m:rPr>
          <m:t>log</m:t>
        </m:r>
        <m:r>
          <m:rPr>
            <m:sty m:val="p"/>
          </m:rPr>
          <m:t>det</m:t>
        </m:r>
        <m:r>
          <m:rPr>
            <m:sty m:val="p"/>
            <m:scr m:val="script"/>
          </m:rPr>
          <m:t>I</m:t>
        </m:r>
      </m:oMath>
      <w:r>
        <w:t xml:space="preserve"> </w:t>
      </w:r>
      <w:r>
        <w:t xml:space="preserve">by</w:t>
      </w:r>
      <w:r>
        <w:t xml:space="preserve"> </w:t>
      </w:r>
      <m:oMath>
        <m:r>
          <m:t>k</m:t>
        </m:r>
        <m:r>
          <m:rPr>
            <m:sty m:val="p"/>
          </m:rPr>
          <m:t>log</m:t>
        </m:r>
        <m:r>
          <m:t>n</m:t>
        </m:r>
      </m:oMath>
      <w:r>
        <w:t xml:space="preserve"> </w:t>
      </w:r>
      <w:r>
        <w:t xml:space="preserve">is justified only if the information about</w:t>
      </w:r>
      <w:r>
        <w:t xml:space="preserve"> </w:t>
      </w:r>
      <w:r>
        <w:rPr>
          <w:iCs/>
          <w:i/>
        </w:rPr>
        <w:t xml:space="preserve">every</w:t>
      </w:r>
      <w:r>
        <w:t xml:space="preserve"> </w:t>
      </w:r>
      <w:r>
        <w:t xml:space="preserve">parameter grows at the same rate </w:t>
      </w:r>
      <m:oMath>
        <m:r>
          <m:t>n</m:t>
        </m:r>
      </m:oMath>
      <w:r>
        <w:t xml:space="preserve">. In model </w:t>
      </w:r>
      <w:hyperlink w:anchor="eq:model">
        <w:r>
          <w:rPr>
            <w:rStyle w:val="Hyperlink"/>
          </w:rPr>
          <w:t xml:space="preserve">[eq:model]</w:t>
        </w:r>
      </w:hyperlink>
      <w:r>
        <w:t xml:space="preserve"> </w:t>
      </w:r>
      <w:r>
        <w:t xml:space="preserve">it does not: information about a parameter grows with the number of units at its own level, and software packages disagree on whether</w:t>
      </w:r>
      <w:r>
        <w:t xml:space="preserve"> </w:t>
      </w:r>
      <m:oMath>
        <m:r>
          <m:t>n</m:t>
        </m:r>
      </m:oMath>
      <w:r>
        <w:t xml:space="preserve"> </w:t>
      </w:r>
      <w:r>
        <w:t xml:space="preserve">should be the number of observations or of clusters.</w:t>
      </w:r>
      <w:r>
        <w:t xml:space="preserve"> </w:t>
      </w:r>
      <w:r>
        <w:rPr>
          <w:iCs/>
          <w:i/>
        </w:rPr>
        <w:t xml:space="preserve">What is the correct penalty for three- and four-level nested models, and does it select the right levels when the top level has few units?</w:t>
      </w:r>
    </w:p>
    <w:p>
      <w:pPr>
        <w:pStyle w:val="BodyText"/>
      </w:pPr>
      <w:r>
        <w:rPr>
          <w:bCs/>
          <w:b/>
        </w:rPr>
        <w:t xml:space="preserve">Related work.</w:t>
      </w:r>
      <w:r>
        <w:t xml:space="preserve"> </w:t>
      </w:r>
      <w:r>
        <w:t xml:space="preserve"> </w:t>
      </w:r>
      <w:r>
        <w:t xml:space="preserve">Jones (2011)</w:t>
      </w:r>
      <w:r>
        <w:t xml:space="preserve"> </w:t>
      </w:r>
      <w:r>
        <w:t xml:space="preserve">replaced</w:t>
      </w:r>
      <w:r>
        <w:t xml:space="preserve"> </w:t>
      </w:r>
      <m:oMath>
        <m:r>
          <m:t>n</m:t>
        </m:r>
      </m:oMath>
      <w:r>
        <w:t xml:space="preserve"> </w:t>
      </w:r>
      <w:r>
        <w:t xml:space="preserve">by an effective sample size for correlated data;</w:t>
      </w:r>
      <w:r>
        <w:t xml:space="preserve"> </w:t>
      </w:r>
      <w:r>
        <w:t xml:space="preserve">Delattre, Lavielle, and Poursat (2014)</w:t>
      </w:r>
      <w:r>
        <w:t xml:space="preserve"> </w:t>
      </w:r>
      <w:r>
        <w:t xml:space="preserve">used the number of clusters for random effects and the total sample size for fixed effects;</w:t>
      </w:r>
      <w:r>
        <w:t xml:space="preserve"> </w:t>
      </w:r>
      <w:r>
        <w:t xml:space="preserve">Lorah and Womack (2019)</w:t>
      </w:r>
      <w:r>
        <w:t xml:space="preserve"> </w:t>
      </w:r>
      <w:r>
        <w:t xml:space="preserve">compared choices of</w:t>
      </w:r>
      <w:r>
        <w:t xml:space="preserve"> </w:t>
      </w:r>
      <m:oMath>
        <m:r>
          <m:t>n</m:t>
        </m:r>
      </m:oMath>
      <w:r>
        <w:t xml:space="preserve"> </w:t>
      </w:r>
      <w:r>
        <w:t xml:space="preserve">by simulation for two-level models and conjectured, without derivation, a level-specific penalty for three levels;</w:t>
      </w:r>
      <w:r>
        <w:t xml:space="preserve"> </w:t>
      </w:r>
      <w:r>
        <w:t xml:space="preserve">Cho, Wu, and Naveiras (2024)</w:t>
      </w:r>
      <w:r>
        <w:t xml:space="preserve"> </w:t>
      </w:r>
      <w:r>
        <w:t xml:space="preserve">derived the penalty for level-specific selection in a</w:t>
      </w:r>
      <w:r>
        <w:t xml:space="preserve"> </w:t>
      </w:r>
      <w:r>
        <w:rPr>
          <w:iCs/>
          <w:i/>
        </w:rPr>
        <w:t xml:space="preserve">two-level</w:t>
      </w:r>
      <w:r>
        <w:t xml:space="preserve"> </w:t>
      </w:r>
      <w:r>
        <w:t xml:space="preserve">nested model and leave higher-level designs for future study; and</w:t>
      </w:r>
      <w:r>
        <w:t xml:space="preserve"> </w:t>
      </w:r>
      <w:r>
        <w:t xml:space="preserve">Greven and Kneib (2010)</w:t>
      </w:r>
      <w:r>
        <w:t xml:space="preserve"> </w:t>
      </w:r>
      <w:r>
        <w:t xml:space="preserve">showed that marginal AIC favours dropping random effects. I found no derivation for three or more levels.</w:t>
      </w:r>
    </w:p>
    <w:p>
      <w:pPr>
        <w:pStyle w:val="BodyText"/>
      </w:pPr>
      <w:r>
        <w:rPr>
          <w:bCs/>
          <w:b/>
        </w:rPr>
        <w:t xml:space="preserve">Preliminary result.</w:t>
      </w:r>
      <w:r>
        <w:t xml:space="preserve">  Consider the balanced three-level case (months within</w:t>
      </w:r>
      <w:r>
        <w:t xml:space="preserve"> </w:t>
      </w:r>
      <m:oMath>
        <m:r>
          <m:t>Z</m:t>
        </m:r>
      </m:oMath>
      <w:r>
        <w:t xml:space="preserve"> </w:t>
      </w:r>
      <w:r>
        <w:t xml:space="preserve">ZIP codes within each of</w:t>
      </w:r>
      <w:r>
        <w:t xml:space="preserve"> </w:t>
      </w:r>
      <m:oMath>
        <m:r>
          <m:t>C</m:t>
        </m:r>
      </m:oMath>
      <w:r>
        <w:t xml:space="preserve"> </w:t>
      </w:r>
      <w:r>
        <w:t xml:space="preserve">counties,</w:t>
      </w:r>
      <w:r>
        <w:t xml:space="preserve"> </w:t>
      </w:r>
      <m:oMath>
        <m:r>
          <m:t>T</m:t>
        </m:r>
      </m:oMath>
      <w:r>
        <w:t xml:space="preserve"> </w:t>
      </w:r>
      <w:r>
        <w:t xml:space="preserve">months,</w:t>
      </w:r>
      <w:r>
        <w:t xml:space="preserve"> </w:t>
      </w:r>
      <m:oMath>
        <m:r>
          <m:t>N</m:t>
        </m:r>
        <m:r>
          <m:rPr>
            <m:sty m:val="p"/>
          </m:rPr>
          <m:t>=</m:t>
        </m:r>
        <m:r>
          <m:t>C</m:t>
        </m:r>
        <m:r>
          <m:t>Z</m:t>
        </m:r>
        <m:r>
          <m:t>T</m:t>
        </m:r>
      </m:oMath>
      <w:r>
        <w:t xml:space="preserve">). Each county’s covariance matrix is</w:t>
      </w:r>
      <w:r>
        <w:t xml:space="preserve"> </w:t>
      </w:r>
      <m:oMath>
        <m:r>
          <m:rPr>
            <m:sty m:val="b"/>
          </m:rPr>
          <m:t>V</m:t>
        </m:r>
        <m:r>
          <m:rPr>
            <m:sty m:val="p"/>
          </m:rPr>
          <m:t>=</m:t>
        </m:r>
        <m:sSubSup>
          <m:e>
            <m:r>
              <m:t>σ</m:t>
            </m:r>
          </m:e>
          <m:sub>
            <m:r>
              <m:t>ε</m:t>
            </m:r>
          </m:sub>
          <m:sup>
            <m:r>
              <m:t>2</m:t>
            </m:r>
          </m:sup>
        </m:sSubSup>
        <m:sSub>
          <m:e>
            <m:r>
              <m:rPr>
                <m:sty m:val="b"/>
              </m:rPr>
              <m:t>I</m:t>
            </m:r>
          </m:e>
          <m:sub>
            <m:r>
              <m:t>Z</m:t>
            </m:r>
            <m:r>
              <m:t>T</m:t>
            </m:r>
          </m:sub>
        </m:sSub>
        <m:r>
          <m:rPr>
            <m:sty m:val="p"/>
          </m:rPr>
          <m:t>+</m:t>
        </m:r>
        <m:sSubSup>
          <m:e>
            <m:r>
              <m:t>σ</m:t>
            </m:r>
          </m:e>
          <m:sub>
            <m:r>
              <m:t>Z</m:t>
            </m:r>
          </m:sub>
          <m:sup>
            <m:r>
              <m:t>2</m:t>
            </m:r>
          </m:sup>
        </m:sSubSup>
        <m:d>
          <m:dPr>
            <m:begChr m:val="("/>
            <m:endChr m:val=")"/>
            <m:sepChr m:val=""/>
            <m:grow/>
          </m:dPr>
          <m:e>
            <m:sSub>
              <m:e>
                <m:r>
                  <m:rPr>
                    <m:sty m:val="b"/>
                  </m:rPr>
                  <m:t>I</m:t>
                </m:r>
              </m:e>
              <m:sub>
                <m:r>
                  <m:t>Z</m:t>
                </m:r>
              </m:sub>
            </m:sSub>
            <m:r>
              <m:rPr>
                <m:sty m:val="p"/>
              </m:rPr>
              <m:t>⊗</m:t>
            </m:r>
            <m:sSub>
              <m:e>
                <m:r>
                  <m:rPr>
                    <m:sty m:val="b"/>
                  </m:rPr>
                  <m:t>J</m:t>
                </m:r>
              </m:e>
              <m:sub>
                <m:r>
                  <m:t>T</m:t>
                </m:r>
              </m:sub>
            </m:sSub>
          </m:e>
        </m:d>
        <m:r>
          <m:rPr>
            <m:sty m:val="p"/>
          </m:rPr>
          <m:t>+</m:t>
        </m:r>
        <m:sSubSup>
          <m:e>
            <m:r>
              <m:t>σ</m:t>
            </m:r>
          </m:e>
          <m:sub>
            <m:r>
              <m:t>C</m:t>
            </m:r>
          </m:sub>
          <m:sup>
            <m:r>
              <m:t>2</m:t>
            </m:r>
          </m:sup>
        </m:sSubSup>
        <m:sSub>
          <m:e>
            <m:r>
              <m:rPr>
                <m:sty m:val="b"/>
              </m:rPr>
              <m:t>J</m:t>
            </m:r>
          </m:e>
          <m:sub>
            <m:r>
              <m:t>Z</m:t>
            </m:r>
            <m:r>
              <m:t>T</m:t>
            </m:r>
          </m:sub>
        </m:sSub>
      </m:oMath>
      <w:r>
        <w:t xml:space="preserve">, with</w:t>
      </w:r>
      <w:r>
        <w:t xml:space="preserve"> </w:t>
      </w:r>
      <m:oMath>
        <m:r>
          <m:rPr>
            <m:sty m:val="b"/>
          </m:rPr>
          <m:t>J</m:t>
        </m:r>
      </m:oMath>
      <w:r>
        <w:t xml:space="preserve"> </w:t>
      </w:r>
      <w:r>
        <w:t xml:space="preserve">a matrix of ones, and has only three distinct eigenvalues,</w:t>
      </w:r>
    </w:p>
    <w:p>
      <w:pPr>
        <w:pStyle w:val="BodyText"/>
      </w:pPr>
      <m:oMathPara>
        <m:oMathParaPr>
          <m:jc m:val="center"/>
        </m:oMathParaPr>
        <m:oMath>
          <m:sSub>
            <m:e>
              <m:r>
                <m:t>λ</m:t>
              </m:r>
            </m:e>
            <m:sub>
              <m:r>
                <m:t>1</m:t>
              </m:r>
            </m:sub>
          </m:sSub>
          <m:r>
            <m:rPr>
              <m:sty m:val="p"/>
            </m:rPr>
            <m:t>=</m:t>
          </m:r>
          <m:sSubSup>
            <m:e>
              <m:r>
                <m:t>σ</m:t>
              </m:r>
            </m:e>
            <m:sub>
              <m:r>
                <m:t>ε</m:t>
              </m:r>
            </m:sub>
            <m:sup>
              <m:r>
                <m:t>2</m:t>
              </m:r>
            </m:sup>
          </m:sSubSup>
          <m:r>
            <m:rPr>
              <m:sty m:val="p"/>
            </m:rPr>
            <m:t>,</m:t>
          </m:r>
          <m:r>
            <m:t>  </m:t>
          </m:r>
          <m:sSub>
            <m:e>
              <m:r>
                <m:t>λ</m:t>
              </m:r>
            </m:e>
            <m:sub>
              <m:r>
                <m:t>2</m:t>
              </m:r>
            </m:sub>
          </m:sSub>
          <m:r>
            <m:rPr>
              <m:sty m:val="p"/>
            </m:rPr>
            <m:t>=</m:t>
          </m:r>
          <m:sSubSup>
            <m:e>
              <m:r>
                <m:t>σ</m:t>
              </m:r>
            </m:e>
            <m:sub>
              <m:r>
                <m:t>ε</m:t>
              </m:r>
            </m:sub>
            <m:sup>
              <m:r>
                <m:t>2</m:t>
              </m:r>
            </m:sup>
          </m:sSubSup>
          <m:r>
            <m:rPr>
              <m:sty m:val="p"/>
            </m:rPr>
            <m:t>+</m:t>
          </m:r>
          <m:r>
            <m:t>T</m:t>
          </m:r>
          <m:sSubSup>
            <m:e>
              <m:r>
                <m:t>σ</m:t>
              </m:r>
            </m:e>
            <m:sub>
              <m:r>
                <m:t>Z</m:t>
              </m:r>
            </m:sub>
            <m:sup>
              <m:r>
                <m:t>2</m:t>
              </m:r>
            </m:sup>
          </m:sSubSup>
          <m:r>
            <m:rPr>
              <m:sty m:val="p"/>
            </m:rPr>
            <m:t>,</m:t>
          </m:r>
          <m:r>
            <m:t>  </m:t>
          </m:r>
          <m:sSub>
            <m:e>
              <m:r>
                <m:t>λ</m:t>
              </m:r>
            </m:e>
            <m:sub>
              <m:r>
                <m:t>3</m:t>
              </m:r>
            </m:sub>
          </m:sSub>
          <m:r>
            <m:rPr>
              <m:sty m:val="p"/>
            </m:rPr>
            <m:t>=</m:t>
          </m:r>
          <m:sSubSup>
            <m:e>
              <m:r>
                <m:t>σ</m:t>
              </m:r>
            </m:e>
            <m:sub>
              <m:r>
                <m:t>ε</m:t>
              </m:r>
            </m:sub>
            <m:sup>
              <m:r>
                <m:t>2</m:t>
              </m:r>
            </m:sup>
          </m:sSubSup>
          <m:r>
            <m:rPr>
              <m:sty m:val="p"/>
            </m:rPr>
            <m:t>+</m:t>
          </m:r>
          <m:r>
            <m:t>T</m:t>
          </m:r>
          <m:sSubSup>
            <m:e>
              <m:r>
                <m:t>σ</m:t>
              </m:r>
            </m:e>
            <m:sub>
              <m:r>
                <m:t>Z</m:t>
              </m:r>
            </m:sub>
            <m:sup>
              <m:r>
                <m:t>2</m:t>
              </m:r>
            </m:sup>
          </m:sSubSup>
          <m:r>
            <m:rPr>
              <m:sty m:val="p"/>
            </m:rPr>
            <m:t>+</m:t>
          </m:r>
          <m:r>
            <m:t>Z</m:t>
          </m:r>
          <m:r>
            <m:t>T</m:t>
          </m:r>
          <m:sSubSup>
            <m:e>
              <m:r>
                <m:t>σ</m:t>
              </m:r>
            </m:e>
            <m:sub>
              <m:r>
                <m:t>C</m:t>
              </m:r>
            </m:sub>
            <m:sup>
              <m:r>
                <m:t>2</m:t>
              </m:r>
            </m:sup>
          </m:sSubSup>
          <m:r>
            <m:rPr>
              <m:sty m:val="p"/>
            </m:rPr>
            <m:t>,</m:t>
          </m:r>
        </m:oMath>
      </m:oMathPara>
    </w:p>
    <w:p>
      <w:pPr>
        <w:pStyle w:val="FirstParagraph"/>
      </w:pPr>
      <w:r>
        <w:t xml:space="preserve">with total multiplicities</w:t>
      </w:r>
      <w:r>
        <w:t xml:space="preserve"> </w:t>
      </w:r>
      <m:oMath>
        <m:r>
          <m:t>C</m:t>
        </m:r>
        <m:r>
          <m:t>Z</m:t>
        </m:r>
        <m:d>
          <m:dPr>
            <m:begChr m:val="("/>
            <m:endChr m:val=")"/>
            <m:sepChr m:val=""/>
            <m:grow/>
          </m:dPr>
          <m:e>
            <m:r>
              <m:t>T</m:t>
            </m:r>
            <m:r>
              <m:rPr>
                <m:sty m:val="p"/>
              </m:rPr>
              <m:t>−</m:t>
            </m:r>
            <m:r>
              <m:t>1</m:t>
            </m:r>
          </m:e>
        </m:d>
      </m:oMath>
      <w:r>
        <w:t xml:space="preserve">,</w:t>
      </w:r>
      <w:r>
        <w:t xml:space="preserve"> </w:t>
      </w:r>
      <m:oMath>
        <m:r>
          <m:t>C</m:t>
        </m:r>
        <m:d>
          <m:dPr>
            <m:begChr m:val="("/>
            <m:endChr m:val=")"/>
            <m:sepChr m:val=""/>
            <m:grow/>
          </m:dPr>
          <m:e>
            <m:r>
              <m:t>Z</m:t>
            </m:r>
            <m:r>
              <m:rPr>
                <m:sty m:val="p"/>
              </m:rPr>
              <m:t>−</m:t>
            </m:r>
            <m:r>
              <m:t>1</m:t>
            </m:r>
          </m:e>
        </m:d>
      </m:oMath>
      <w:r>
        <w:t xml:space="preserve"> </w:t>
      </w:r>
      <w:r>
        <w:t xml:space="preserve">and</w:t>
      </w:r>
      <w:r>
        <w:t xml:space="preserve"> </w:t>
      </w:r>
      <m:oMath>
        <m:r>
          <m:t>C</m:t>
        </m:r>
      </m:oMath>
      <w:r>
        <w:t xml:space="preserve">. Working through the information matrix (variance components positive, each covariate varying at a single level, and</w:t>
      </w:r>
      <w:r>
        <w:t xml:space="preserve"> </w:t>
      </w:r>
      <m:oMath>
        <m:r>
          <m:t>C</m:t>
        </m:r>
        <m:r>
          <m:rPr>
            <m:sty m:val="p"/>
          </m:rPr>
          <m:t>,</m:t>
        </m:r>
        <m:r>
          <m:t>Z</m:t>
        </m:r>
        <m:r>
          <m:rPr>
            <m:sty m:val="p"/>
          </m:rPr>
          <m:t>,</m:t>
        </m:r>
        <m:r>
          <m:t>T</m:t>
        </m:r>
        <m:r>
          <m:rPr>
            <m:sty m:val="p"/>
          </m:rPr>
          <m:t>→</m:t>
        </m:r>
        <m:r>
          <m:rPr>
            <m:sty m:val="p"/>
          </m:rPr>
          <m:t>∞</m:t>
        </m:r>
      </m:oMath>
      <w:r>
        <w:t xml:space="preserve">) gives</w:t>
      </w:r>
    </w:p>
    <w:p>
      <w:pPr>
        <w:pStyle w:val="BodyText"/>
      </w:pPr>
      <m:oMathPara>
        <m:oMathParaPr>
          <m:jc m:val="center"/>
        </m:oMathParaPr>
        <m:oMath>
          <m:sSub>
            <m:e>
              <m:r>
                <m:rPr>
                  <m:sty m:val="p"/>
                </m:rPr>
                <m:t>B</m:t>
              </m:r>
              <m:r>
                <m:rPr>
                  <m:sty m:val="p"/>
                </m:rPr>
                <m:t>I</m:t>
              </m:r>
              <m:r>
                <m:rPr>
                  <m:sty m:val="p"/>
                </m:rPr>
                <m:t>C</m:t>
              </m:r>
            </m:e>
            <m:sub>
              <m:r>
                <m:t>3</m:t>
              </m:r>
            </m:sub>
          </m:sSub>
          <m:r>
            <m:rPr>
              <m:sty m:val="p"/>
            </m:rPr>
            <m:t>=</m:t>
          </m:r>
          <m:r>
            <m:rPr>
              <m:sty m:val="p"/>
            </m:rPr>
            <m:t>−</m:t>
          </m:r>
          <m:r>
            <m:t>2</m:t>
          </m:r>
          <m:r>
            <m:t> </m:t>
          </m:r>
          <m:r>
            <m:rPr>
              <m:sty m:val="p"/>
            </m:rPr>
            <m:t>ℓ</m:t>
          </m:r>
          <m:d>
            <m:dPr>
              <m:begChr m:val="("/>
              <m:endChr m:val=")"/>
              <m:sepChr m:val=""/>
              <m:grow/>
            </m:dPr>
            <m:e>
              <m:acc>
                <m:accPr>
                  <m:chr m:val="̂"/>
                </m:accPr>
                <m:e>
                  <m:r>
                    <m:rPr>
                      <m:sty m:val="b"/>
                    </m:rPr>
                    <m:t>θ</m:t>
                  </m:r>
                </m:e>
              </m:acc>
            </m:e>
          </m:d>
          <m:r>
            <m:rPr>
              <m:sty m:val="p"/>
            </m:rPr>
            <m:t>+</m:t>
          </m:r>
          <m:d>
            <m:dPr>
              <m:begChr m:val="("/>
              <m:endChr m:val=")"/>
              <m:sepChr m:val=""/>
              <m:grow/>
            </m:dPr>
            <m:e>
              <m:sSub>
                <m:e>
                  <m:r>
                    <m:t>p</m:t>
                  </m:r>
                </m:e>
                <m:sub>
                  <m:r>
                    <m:t>1</m:t>
                  </m:r>
                </m:sub>
              </m:sSub>
              <m:r>
                <m:rPr>
                  <m:sty m:val="p"/>
                </m:rPr>
                <m:t>+</m:t>
              </m:r>
              <m:r>
                <m:t>1</m:t>
              </m:r>
            </m:e>
          </m:d>
          <m:r>
            <m:rPr>
              <m:sty m:val="p"/>
            </m:rPr>
            <m:t>log</m:t>
          </m:r>
          <m:r>
            <m:t>N</m:t>
          </m:r>
          <m:r>
            <m:rPr>
              <m:sty m:val="p"/>
            </m:rPr>
            <m:t>+</m:t>
          </m:r>
          <m:d>
            <m:dPr>
              <m:begChr m:val="("/>
              <m:endChr m:val=")"/>
              <m:sepChr m:val=""/>
              <m:grow/>
            </m:dPr>
            <m:e>
              <m:sSub>
                <m:e>
                  <m:r>
                    <m:t>p</m:t>
                  </m:r>
                </m:e>
                <m:sub>
                  <m:r>
                    <m:t>2</m:t>
                  </m:r>
                </m:sub>
              </m:sSub>
              <m:r>
                <m:rPr>
                  <m:sty m:val="p"/>
                </m:rPr>
                <m:t>+</m:t>
              </m:r>
              <m:r>
                <m:t>1</m:t>
              </m:r>
            </m:e>
          </m:d>
          <m:r>
            <m:rPr>
              <m:sty m:val="p"/>
            </m:rPr>
            <m:t>log</m:t>
          </m:r>
          <m:d>
            <m:dPr>
              <m:begChr m:val="("/>
              <m:endChr m:val=")"/>
              <m:sepChr m:val=""/>
              <m:grow/>
            </m:dPr>
            <m:e>
              <m:r>
                <m:t>C</m:t>
              </m:r>
              <m:r>
                <m:t>Z</m:t>
              </m:r>
            </m:e>
          </m:d>
          <m:r>
            <m:rPr>
              <m:sty m:val="p"/>
            </m:rPr>
            <m:t>+</m:t>
          </m:r>
          <m:d>
            <m:dPr>
              <m:begChr m:val="("/>
              <m:endChr m:val=")"/>
              <m:sepChr m:val=""/>
              <m:grow/>
            </m:dPr>
            <m:e>
              <m:sSub>
                <m:e>
                  <m:r>
                    <m:t>p</m:t>
                  </m:r>
                </m:e>
                <m:sub>
                  <m:r>
                    <m:t>3</m:t>
                  </m:r>
                </m:sub>
              </m:sSub>
              <m:r>
                <m:rPr>
                  <m:sty m:val="p"/>
                </m:rPr>
                <m:t>+</m:t>
              </m:r>
              <m:r>
                <m:t>1</m:t>
              </m:r>
            </m:e>
          </m:d>
          <m:r>
            <m:rPr>
              <m:sty m:val="p"/>
            </m:rPr>
            <m:t>log</m:t>
          </m:r>
          <m:r>
            <m:t>C</m:t>
          </m:r>
          <m:r>
            <m:rPr>
              <m:sty m:val="p"/>
            </m:rPr>
            <m:t>,</m:t>
          </m:r>
        </m:oMath>
      </m:oMathPara>
    </w:p>
    <w:p>
      <w:pPr>
        <w:pStyle w:val="FirstParagraph"/>
      </w:pPr>
      <w:r>
        <w:t xml:space="preserve">where</w:t>
      </w:r>
      <w:r>
        <w:t xml:space="preserve"> </w:t>
      </w:r>
      <m:oMath>
        <m:sSub>
          <m:e>
            <m:r>
              <m:t>p</m:t>
            </m:r>
          </m:e>
          <m:sub>
            <m:r>
              <m:t>1</m:t>
            </m:r>
          </m:sub>
        </m:sSub>
        <m:r>
          <m:rPr>
            <m:sty m:val="p"/>
          </m:rPr>
          <m:t>,</m:t>
        </m:r>
        <m:sSub>
          <m:e>
            <m:r>
              <m:t>p</m:t>
            </m:r>
          </m:e>
          <m:sub>
            <m:r>
              <m:t>2</m:t>
            </m:r>
          </m:sub>
        </m:sSub>
        <m:r>
          <m:rPr>
            <m:sty m:val="p"/>
          </m:rPr>
          <m:t>,</m:t>
        </m:r>
        <m:sSub>
          <m:e>
            <m:r>
              <m:t>p</m:t>
            </m:r>
          </m:e>
          <m:sub>
            <m:r>
              <m:t>3</m:t>
            </m:r>
          </m:sub>
        </m:sSub>
      </m:oMath>
      <w:r>
        <w:t xml:space="preserve"> </w:t>
      </w:r>
      <w:r>
        <w:t xml:space="preserve">count the month-, ZIP- and county-level fixed effects (intercept at the county level) and each</w:t>
      </w:r>
      <w:r>
        <w:t xml:space="preserve"> </w:t>
      </w:r>
      <w:r>
        <w:t xml:space="preserve">“</w:t>
      </w:r>
      <m:oMath>
        <m:r>
          <m:rPr>
            <m:sty m:val="p"/>
          </m:rPr>
          <m:t>+</m:t>
        </m:r>
        <m:r>
          <m:t>1</m:t>
        </m:r>
      </m:oMath>
      <w:r>
        <w:t xml:space="preserve">”</w:t>
      </w:r>
      <w:r>
        <w:t xml:space="preserve"> </w:t>
      </w:r>
      <w:r>
        <w:t xml:space="preserve">is the variance component of that level. I checked </w:t>
      </w:r>
      <w:hyperlink w:anchor="eq:bic3">
        <w:r>
          <w:rPr>
            <w:rStyle w:val="Hyperlink"/>
          </w:rPr>
          <w:t xml:space="preserve">[eq:bic3]</w:t>
        </w:r>
      </w:hyperlink>
      <w:r>
        <w:t xml:space="preserve"> </w:t>
      </w:r>
      <w:r>
        <w:t xml:space="preserve">numerically against the exact Fisher information. It implies that removing a level also changes the penalties on the remaining parameters, which existing criteria ignore; it still has to be reconciled with</w:t>
      </w:r>
      <w:r>
        <w:t xml:space="preserve"> </w:t>
      </w:r>
      <w:r>
        <w:t xml:space="preserve">Cho, Wu, and Naveiras (2024)</w:t>
      </w:r>
      <w:r>
        <w:t xml:space="preserve">.</w:t>
      </w:r>
    </w:p>
    <w:p>
      <w:pPr>
        <w:pStyle w:val="BodyText"/>
      </w:pPr>
      <w:r>
        <w:rPr>
          <w:bCs/>
          <w:b/>
        </w:rPr>
        <w:t xml:space="preserve">Competing methods.</w:t>
      </w:r>
      <w:r>
        <w:t xml:space="preserve">  BIC with total</w:t>
      </w:r>
      <w:r>
        <w:t xml:space="preserve"> </w:t>
      </w:r>
      <m:oMath>
        <m:r>
          <m:t>N</m:t>
        </m:r>
      </m:oMath>
      <w:r>
        <w:t xml:space="preserve">; BIC with number of clusters; Jones’s effective sample size; marginal and conditional AIC; boundary-corrected and exact restricted likelihood ratio tests.</w:t>
      </w:r>
    </w:p>
    <w:p>
      <w:pPr>
        <w:pStyle w:val="BodyText"/>
      </w:pPr>
      <w:r>
        <w:rPr>
          <w:bCs/>
          <w:b/>
        </w:rPr>
        <w:t xml:space="preserve">Simulation.</w:t>
      </w:r>
      <w:r>
        <w:t xml:space="preserve">  Data generated from </w:t>
      </w:r>
      <w:hyperlink w:anchor="eq:model">
        <w:r>
          <w:rPr>
            <w:rStyle w:val="Hyperlink"/>
          </w:rPr>
          <w:t xml:space="preserve">[eq:model]</w:t>
        </w:r>
      </w:hyperlink>
      <w:r>
        <w:t xml:space="preserve"> </w:t>
      </w:r>
      <w:r>
        <w:t xml:space="preserve">with chosen variance components set to zero, varying the number of top-level units (e.g. 4, 8, 15), units per level, intraclass correlations and balance. Outcomes: proportion of correctly selected structures, false-drop and false-keep rates per level, and coverage of fixed-effect intervals after selection.</w:t>
      </w:r>
    </w:p>
    <w:p>
      <w:pPr>
        <w:pStyle w:val="BodyText"/>
      </w:pPr>
      <w:r>
        <w:rPr>
          <w:bCs/>
          <w:b/>
        </w:rPr>
        <w:t xml:space="preserve">Opioid application.</w:t>
      </w:r>
      <w:r>
        <w:t xml:space="preserve">  Which of the ZIP, county and region levels the data support, the share of variation at each level, and whether conclusions about income and rurality depend on the levels kept; sensitivity to AR(1) errors and to ZIP codes that cross county lines.</w:t>
      </w:r>
    </w:p>
    <w:p>
      <w:pPr>
        <w:pStyle w:val="BodyText"/>
      </w:pPr>
      <w:r>
        <w:rPr>
          <w:bCs/>
          <w:b/>
        </w:rPr>
        <w:t xml:space="preserve">Key articles.</w:t>
      </w:r>
      <w:r>
        <w:t xml:space="preserve"> </w:t>
      </w:r>
      <w:r>
        <w:t xml:space="preserve"> </w:t>
      </w:r>
      <w:r>
        <w:t xml:space="preserve">Jones (2011)</w:t>
      </w:r>
      <w:r>
        <w:t xml:space="preserve">;</w:t>
      </w:r>
      <w:r>
        <w:t xml:space="preserve"> </w:t>
      </w:r>
      <w:r>
        <w:t xml:space="preserve">Delattre, Lavielle, and Poursat (2014)</w:t>
      </w:r>
      <w:r>
        <w:t xml:space="preserve">;</w:t>
      </w:r>
      <w:r>
        <w:t xml:space="preserve"> </w:t>
      </w:r>
      <w:r>
        <w:t xml:space="preserve">Greven and Kneib (2010)</w:t>
      </w:r>
      <w:r>
        <w:t xml:space="preserve">;</w:t>
      </w:r>
      <w:r>
        <w:t xml:space="preserve"> </w:t>
      </w:r>
      <w:r>
        <w:t xml:space="preserve">Lorah and Womack (2019)</w:t>
      </w:r>
      <w:r>
        <w:t xml:space="preserve">;</w:t>
      </w:r>
      <w:r>
        <w:t xml:space="preserve"> </w:t>
      </w:r>
      <w:r>
        <w:t xml:space="preserve">Cho, Wu, and Naveiras (2024)</w:t>
      </w:r>
      <w:r>
        <w:t xml:space="preserve">.</w:t>
      </w:r>
    </w:p>
    <w:bookmarkEnd w:id="20"/>
    <w:bookmarkStart w:id="21" w:name="Xb839c9b04bcf7dc695581d076ef75158de3531b"/>
    <w:p>
      <w:pPr>
        <w:pStyle w:val="Heading1"/>
      </w:pPr>
      <w:r>
        <w:t xml:space="preserve">Direction 2: Multilevel Random Change-Point Models</w:t>
      </w:r>
    </w:p>
    <w:p>
      <w:pPr>
        <w:pStyle w:val="FirstParagraph"/>
      </w:pPr>
      <w:r>
        <w:rPr>
          <w:bCs/>
          <w:b/>
        </w:rPr>
        <w:t xml:space="preserve">Classroom starting point.</w:t>
      </w:r>
      <w:r>
        <w:t xml:space="preserve">  Regression with a structural break,</w:t>
      </w:r>
      <w:r>
        <w:t xml:space="preserve"> </w:t>
      </w:r>
      <m:oMath>
        <m:sSub>
          <m:e>
            <m:r>
              <m:t>y</m:t>
            </m:r>
          </m:e>
          <m:sub>
            <m:r>
              <m:t>t</m:t>
            </m:r>
          </m:sub>
        </m:sSub>
        <m:r>
          <m:rPr>
            <m:sty m:val="p"/>
          </m:rPr>
          <m:t>=</m:t>
        </m:r>
        <m:sSubSup>
          <m:e>
            <m:r>
              <m:rPr>
                <m:sty m:val="b"/>
              </m:rPr>
              <m:t>x</m:t>
            </m:r>
          </m:e>
          <m:sub>
            <m:r>
              <m:t>t</m:t>
            </m:r>
          </m:sub>
          <m:sup>
            <m:r>
              <m:rPr>
                <m:sty m:val="p"/>
              </m:rPr>
              <m:t>⊤</m:t>
            </m:r>
          </m:sup>
        </m:sSubSup>
        <m:r>
          <m:rPr>
            <m:sty m:val="b"/>
          </m:rPr>
          <m:t>β</m:t>
        </m:r>
        <m:r>
          <m:rPr>
            <m:sty m:val="p"/>
          </m:rPr>
          <m:t>+</m:t>
        </m:r>
        <m:r>
          <m:t>δ</m:t>
        </m:r>
        <m:r>
          <m:t> </m:t>
        </m:r>
        <m:r>
          <m:rPr>
            <m:sty m:val="b"/>
          </m:rPr>
          <m:t>1</m:t>
        </m:r>
        <m:r>
          <m:rPr>
            <m:sty m:val="p"/>
          </m:rPr>
          <m:t>{</m:t>
        </m:r>
        <m:r>
          <m:t>t</m:t>
        </m:r>
        <m:r>
          <m:rPr>
            <m:sty m:val="p"/>
          </m:rPr>
          <m:t>≥</m:t>
        </m:r>
        <m:r>
          <m:t>τ</m:t>
        </m:r>
        <m:r>
          <m:rPr>
            <m:sty m:val="p"/>
          </m:rPr>
          <m:t>}</m:t>
        </m:r>
        <m:r>
          <m:rPr>
            <m:sty m:val="p"/>
          </m:rPr>
          <m:t>+</m:t>
        </m:r>
        <m:sSub>
          <m:e>
            <m:r>
              <m:t>ε</m:t>
            </m:r>
          </m:e>
          <m:sub>
            <m:r>
              <m:t>t</m:t>
            </m:r>
          </m:sub>
        </m:sSub>
      </m:oMath>
      <w:r>
        <w:t xml:space="preserve">, tested with the Chow</w:t>
      </w:r>
      <w:r>
        <w:t xml:space="preserve"> </w:t>
      </w:r>
      <m:oMath>
        <m:r>
          <m:t>F</m:t>
        </m:r>
      </m:oMath>
      <w:r>
        <w:t xml:space="preserve">-statistic</w:t>
      </w:r>
      <w:r>
        <w:t xml:space="preserve"> </w:t>
      </w:r>
      <m:oMath>
        <m:sSub>
          <m:e>
            <m:r>
              <m:t>F</m:t>
            </m:r>
          </m:e>
          <m:sub>
            <m:r>
              <m:t>T</m:t>
            </m:r>
          </m:sub>
        </m:sSub>
        <m:d>
          <m:dPr>
            <m:begChr m:val="("/>
            <m:endChr m:val=")"/>
            <m:sepChr m:val=""/>
            <m:grow/>
          </m:dPr>
          <m:e>
            <m:r>
              <m:t>τ</m:t>
            </m:r>
          </m:e>
        </m:d>
      </m:oMath>
      <w:r>
        <w:t xml:space="preserve"> </w:t>
      </w:r>
      <w:r>
        <w:t xml:space="preserve">at a known date</w:t>
      </w:r>
      <w:r>
        <w:t xml:space="preserve"> </w:t>
      </w:r>
      <m:oMath>
        <m:r>
          <m:t>τ</m:t>
        </m:r>
      </m:oMath>
      <w:r>
        <w:t xml:space="preserve">. When</w:t>
      </w:r>
      <w:r>
        <w:t xml:space="preserve"> </w:t>
      </w:r>
      <m:oMath>
        <m:r>
          <m:t>τ</m:t>
        </m:r>
      </m:oMath>
      <w:r>
        <w:t xml:space="preserve"> </w:t>
      </w:r>
      <w:r>
        <w:t xml:space="preserve">is unknown,</w:t>
      </w:r>
      <w:r>
        <w:t xml:space="preserve"> </w:t>
      </w:r>
      <w:r>
        <w:t xml:space="preserve">Andrews (1993)</w:t>
      </w:r>
      <w:r>
        <w:t xml:space="preserve"> </w:t>
      </w:r>
      <w:r>
        <w:t xml:space="preserve">uses</w:t>
      </w:r>
    </w:p>
    <w:p>
      <w:pPr>
        <w:pStyle w:val="BodyText"/>
      </w:pPr>
      <m:oMathPara>
        <m:oMathParaPr>
          <m:jc m:val="center"/>
        </m:oMathParaPr>
        <m:oMath>
          <m:r>
            <m:rPr>
              <m:sty m:val="p"/>
            </m:rPr>
            <m:t>sup</m:t>
          </m:r>
          <m:sSub>
            <m:e>
              <m:r>
                <m:t>F</m:t>
              </m:r>
            </m:e>
            <m:sub>
              <m:r>
                <m:t>T</m:t>
              </m:r>
            </m:sub>
          </m:sSub>
          <m:r>
            <m:rPr>
              <m:sty m:val="p"/>
            </m:rPr>
            <m:t>=</m:t>
          </m:r>
          <m:limLow>
            <m:e>
              <m:r>
                <m:rPr>
                  <m:sty m:val="p"/>
                </m:rPr>
                <m:t>sup</m:t>
              </m:r>
            </m:e>
            <m:lim>
              <m:r>
                <m:t>τ</m:t>
              </m:r>
              <m:r>
                <m:rPr>
                  <m:sty m:val="p"/>
                </m:rPr>
                <m:t>∈</m:t>
              </m:r>
              <m:d>
                <m:dPr>
                  <m:begChr m:val="["/>
                  <m:endChr m:val="]"/>
                  <m:sepChr m:val=""/>
                  <m:grow/>
                </m:dPr>
                <m:e>
                  <m:r>
                    <m:t>π</m:t>
                  </m:r>
                  <m:r>
                    <m:t>T</m:t>
                  </m:r>
                  <m:r>
                    <m:rPr>
                      <m:sty m:val="p"/>
                    </m:rPr>
                    <m:t>,</m:t>
                  </m:r>
                  <m:r>
                    <m:t> </m:t>
                  </m:r>
                  <m:d>
                    <m:dPr>
                      <m:begChr m:val="("/>
                      <m:endChr m:val=")"/>
                      <m:sepChr m:val=""/>
                      <m:grow/>
                    </m:dPr>
                    <m:e>
                      <m:r>
                        <m:t>1</m:t>
                      </m:r>
                      <m:r>
                        <m:rPr>
                          <m:sty m:val="p"/>
                        </m:rPr>
                        <m:t>−</m:t>
                      </m:r>
                      <m:r>
                        <m:t>π</m:t>
                      </m:r>
                    </m:e>
                  </m:d>
                  <m:r>
                    <m:t>T</m:t>
                  </m:r>
                </m:e>
              </m:d>
            </m:lim>
          </m:limLow>
          <m:sSub>
            <m:e>
              <m:r>
                <m:t>F</m:t>
              </m:r>
            </m:e>
            <m:sub>
              <m:r>
                <m:t>T</m:t>
              </m:r>
            </m:sub>
          </m:sSub>
          <m:d>
            <m:dPr>
              <m:begChr m:val="("/>
              <m:endChr m:val=")"/>
              <m:sepChr m:val=""/>
              <m:grow/>
            </m:dPr>
            <m:e>
              <m:r>
                <m:t>τ</m:t>
              </m:r>
            </m:e>
          </m:d>
          <m:r>
            <m:rPr>
              <m:sty m:val="p"/>
            </m:rPr>
            <m:t>,</m:t>
          </m:r>
        </m:oMath>
      </m:oMathPara>
    </w:p>
    <w:p>
      <w:pPr>
        <w:pStyle w:val="FirstParagraph"/>
      </w:pPr>
      <w:r>
        <w:t xml:space="preserve">whose limiting null distribution is non-standard.</w:t>
      </w:r>
    </w:p>
    <w:p>
      <w:pPr>
        <w:pStyle w:val="BodyText"/>
      </w:pPr>
      <w:r>
        <w:rPr>
          <w:bCs/>
          <w:b/>
        </w:rPr>
        <w:t xml:space="preserve">Statistical question.</w:t>
      </w:r>
      <w:r>
        <w:t xml:space="preserve">  The break date need not be common to all units: ZIP codes may respond to a policy change at different times, and the timing may cluster within counties and regions. I propose to model break dates as nested random effects,</w:t>
      </w:r>
    </w:p>
    <w:p>
      <w:pPr>
        <w:pStyle w:val="BodyText"/>
      </w:pPr>
      <m:oMathPara>
        <m:oMathParaPr>
          <m:jc m:val="center"/>
        </m:oMathParaPr>
        <m:oMath>
          <m:sSub>
            <m:e>
              <m:r>
                <m:t>y</m:t>
              </m:r>
            </m:e>
            <m:sub>
              <m:r>
                <m:t>t</m:t>
              </m:r>
              <m:r>
                <m:t>j</m:t>
              </m:r>
              <m:r>
                <m:t>k</m:t>
              </m:r>
              <m:r>
                <m:t>l</m:t>
              </m:r>
            </m:sub>
          </m:sSub>
          <m:r>
            <m:rPr>
              <m:sty m:val="p"/>
            </m:rPr>
            <m:t>=</m:t>
          </m:r>
          <m:sSubSup>
            <m:e>
              <m:r>
                <m:rPr>
                  <m:sty m:val="b"/>
                </m:rPr>
                <m:t>x</m:t>
              </m:r>
            </m:e>
            <m:sub>
              <m:r>
                <m:t>t</m:t>
              </m:r>
              <m:r>
                <m:t>j</m:t>
              </m:r>
              <m:r>
                <m:t>k</m:t>
              </m:r>
              <m:r>
                <m:t>l</m:t>
              </m:r>
            </m:sub>
            <m:sup>
              <m:r>
                <m:rPr>
                  <m:sty m:val="p"/>
                </m:rPr>
                <m:t>⊤</m:t>
              </m:r>
            </m:sup>
          </m:sSubSup>
          <m:r>
            <m:rPr>
              <m:sty m:val="b"/>
            </m:rPr>
            <m:t>β</m:t>
          </m:r>
          <m:r>
            <m:rPr>
              <m:sty m:val="p"/>
            </m:rPr>
            <m:t>+</m:t>
          </m:r>
          <m:sSub>
            <m:e>
              <m:r>
                <m:t>w</m:t>
              </m:r>
            </m:e>
            <m:sub>
              <m:r>
                <m:t>j</m:t>
              </m:r>
              <m:r>
                <m:t>k</m:t>
              </m:r>
              <m:r>
                <m:t>l</m:t>
              </m:r>
            </m:sub>
          </m:sSub>
          <m:r>
            <m:rPr>
              <m:sty m:val="p"/>
            </m:rPr>
            <m:t>+</m:t>
          </m:r>
          <m:sSub>
            <m:e>
              <m:r>
                <m:t>δ</m:t>
              </m:r>
            </m:e>
            <m:sub>
              <m:r>
                <m:t>j</m:t>
              </m:r>
              <m:r>
                <m:t>k</m:t>
              </m:r>
              <m:r>
                <m:t>l</m:t>
              </m:r>
            </m:sub>
          </m:sSub>
          <m:r>
            <m:t> </m:t>
          </m:r>
          <m:r>
            <m:rPr>
              <m:sty m:val="b"/>
            </m:rPr>
            <m:t>1</m:t>
          </m:r>
          <m:r>
            <m:rPr>
              <m:sty m:val="p"/>
            </m:rPr>
            <m:t>{</m:t>
          </m:r>
          <m:r>
            <m:t>t</m:t>
          </m:r>
          <m:r>
            <m:rPr>
              <m:sty m:val="p"/>
            </m:rPr>
            <m:t>≥</m:t>
          </m:r>
          <m:sSub>
            <m:e>
              <m:r>
                <m:t>τ</m:t>
              </m:r>
            </m:e>
            <m:sub>
              <m:r>
                <m:t>j</m:t>
              </m:r>
              <m:r>
                <m:t>k</m:t>
              </m:r>
              <m:r>
                <m:t>l</m:t>
              </m:r>
            </m:sub>
          </m:sSub>
          <m:r>
            <m:rPr>
              <m:sty m:val="p"/>
            </m:rPr>
            <m:t>}</m:t>
          </m:r>
          <m:r>
            <m:rPr>
              <m:sty m:val="p"/>
            </m:rPr>
            <m:t>+</m:t>
          </m:r>
          <m:sSub>
            <m:e>
              <m:r>
                <m:t>ε</m:t>
              </m:r>
            </m:e>
            <m:sub>
              <m:r>
                <m:t>t</m:t>
              </m:r>
              <m:r>
                <m:t>j</m:t>
              </m:r>
              <m:r>
                <m:t>k</m:t>
              </m:r>
              <m:r>
                <m:t>l</m:t>
              </m:r>
            </m:sub>
          </m:sSub>
          <m:r>
            <m:rPr>
              <m:sty m:val="p"/>
            </m:rPr>
            <m:t>,</m:t>
          </m:r>
        </m:oMath>
      </m:oMathPara>
    </w:p>
    <w:p>
      <w:pPr>
        <w:pStyle w:val="FirstParagraph"/>
      </w:pPr>
      <m:oMathPara>
        <m:oMathParaPr>
          <m:jc m:val="center"/>
        </m:oMathParaPr>
        <m:oMath>
          <m:sSub>
            <m:e>
              <m:r>
                <m:t>τ</m:t>
              </m:r>
            </m:e>
            <m:sub>
              <m:r>
                <m:t>j</m:t>
              </m:r>
              <m:r>
                <m:t>k</m:t>
              </m:r>
              <m:r>
                <m:t>l</m:t>
              </m:r>
            </m:sub>
          </m:sSub>
          <m:r>
            <m:rPr>
              <m:sty m:val="p"/>
            </m:rPr>
            <m:t>=</m:t>
          </m:r>
          <m:sSub>
            <m:e>
              <m:r>
                <m:t>τ</m:t>
              </m:r>
            </m:e>
            <m:sub>
              <m:r>
                <m:t>0</m:t>
              </m:r>
            </m:sub>
          </m:sSub>
          <m:r>
            <m:rPr>
              <m:sty m:val="p"/>
            </m:rPr>
            <m:t>+</m:t>
          </m:r>
          <m:sSub>
            <m:e>
              <m:r>
                <m:t>a</m:t>
              </m:r>
            </m:e>
            <m:sub>
              <m:r>
                <m:t>l</m:t>
              </m:r>
            </m:sub>
          </m:sSub>
          <m:r>
            <m:rPr>
              <m:sty m:val="p"/>
            </m:rPr>
            <m:t>+</m:t>
          </m:r>
          <m:sSub>
            <m:e>
              <m:r>
                <m:t>b</m:t>
              </m:r>
            </m:e>
            <m:sub>
              <m:r>
                <m:t>k</m:t>
              </m:r>
              <m:r>
                <m:t>l</m:t>
              </m:r>
            </m:sub>
          </m:sSub>
          <m:r>
            <m:rPr>
              <m:sty m:val="p"/>
            </m:rPr>
            <m:t>+</m:t>
          </m:r>
          <m:sSub>
            <m:e>
              <m:r>
                <m:t>c</m:t>
              </m:r>
            </m:e>
            <m:sub>
              <m:r>
                <m:t>j</m:t>
              </m:r>
              <m:r>
                <m:t>k</m:t>
              </m:r>
              <m:r>
                <m:t>l</m:t>
              </m:r>
            </m:sub>
          </m:sSub>
          <m:r>
            <m:rPr>
              <m:sty m:val="p"/>
            </m:rPr>
            <m:t>,</m:t>
          </m:r>
          <m:r>
            <m:t>  </m:t>
          </m:r>
          <m:sSub>
            <m:e>
              <m:r>
                <m:t>a</m:t>
              </m:r>
            </m:e>
            <m:sub>
              <m:r>
                <m:t>l</m:t>
              </m:r>
            </m:sub>
          </m:sSub>
          <m:r>
            <m:rPr>
              <m:sty m:val="p"/>
            </m:rPr>
            <m:t>∼</m:t>
          </m:r>
          <m:r>
            <m:t>N</m:t>
          </m:r>
          <m:d>
            <m:dPr>
              <m:begChr m:val="("/>
              <m:endChr m:val=")"/>
              <m:sepChr m:val=""/>
              <m:grow/>
            </m:dPr>
            <m:e>
              <m:r>
                <m:t>0</m:t>
              </m:r>
              <m:r>
                <m:rPr>
                  <m:sty m:val="p"/>
                </m:rPr>
                <m:t>,</m:t>
              </m:r>
              <m:sSubSup>
                <m:e>
                  <m:r>
                    <m:t>σ</m:t>
                  </m:r>
                </m:e>
                <m:sub>
                  <m:r>
                    <m:t>τ</m:t>
                  </m:r>
                  <m:r>
                    <m:rPr>
                      <m:sty m:val="p"/>
                    </m:rPr>
                    <m:t>,</m:t>
                  </m:r>
                  <m:r>
                    <m:t>R</m:t>
                  </m:r>
                </m:sub>
                <m:sup>
                  <m:r>
                    <m:t>2</m:t>
                  </m:r>
                </m:sup>
              </m:sSubSup>
            </m:e>
          </m:d>
          <m:r>
            <m:rPr>
              <m:sty m:val="p"/>
            </m:rPr>
            <m:t>,</m:t>
          </m:r>
          <m:r>
            <m:t> </m:t>
          </m:r>
          <m:sSub>
            <m:e>
              <m:r>
                <m:t>b</m:t>
              </m:r>
            </m:e>
            <m:sub>
              <m:r>
                <m:t>k</m:t>
              </m:r>
              <m:r>
                <m:t>l</m:t>
              </m:r>
            </m:sub>
          </m:sSub>
          <m:r>
            <m:rPr>
              <m:sty m:val="p"/>
            </m:rPr>
            <m:t>∼</m:t>
          </m:r>
          <m:r>
            <m:t>N</m:t>
          </m:r>
          <m:d>
            <m:dPr>
              <m:begChr m:val="("/>
              <m:endChr m:val=")"/>
              <m:sepChr m:val=""/>
              <m:grow/>
            </m:dPr>
            <m:e>
              <m:r>
                <m:t>0</m:t>
              </m:r>
              <m:r>
                <m:rPr>
                  <m:sty m:val="p"/>
                </m:rPr>
                <m:t>,</m:t>
              </m:r>
              <m:sSubSup>
                <m:e>
                  <m:r>
                    <m:t>σ</m:t>
                  </m:r>
                </m:e>
                <m:sub>
                  <m:r>
                    <m:t>τ</m:t>
                  </m:r>
                  <m:r>
                    <m:rPr>
                      <m:sty m:val="p"/>
                    </m:rPr>
                    <m:t>,</m:t>
                  </m:r>
                  <m:r>
                    <m:t>C</m:t>
                  </m:r>
                </m:sub>
                <m:sup>
                  <m:r>
                    <m:t>2</m:t>
                  </m:r>
                </m:sup>
              </m:sSubSup>
            </m:e>
          </m:d>
          <m:r>
            <m:rPr>
              <m:sty m:val="p"/>
            </m:rPr>
            <m:t>,</m:t>
          </m:r>
          <m:r>
            <m:t> </m:t>
          </m:r>
          <m:sSub>
            <m:e>
              <m:r>
                <m:t>c</m:t>
              </m:r>
            </m:e>
            <m:sub>
              <m:r>
                <m:t>j</m:t>
              </m:r>
              <m:r>
                <m:t>k</m:t>
              </m:r>
              <m:r>
                <m:t>l</m:t>
              </m:r>
            </m:sub>
          </m:sSub>
          <m:r>
            <m:rPr>
              <m:sty m:val="p"/>
            </m:rPr>
            <m:t>∼</m:t>
          </m:r>
          <m:r>
            <m:t>N</m:t>
          </m:r>
          <m:d>
            <m:dPr>
              <m:begChr m:val="("/>
              <m:endChr m:val=")"/>
              <m:sepChr m:val=""/>
              <m:grow/>
            </m:dPr>
            <m:e>
              <m:r>
                <m:t>0</m:t>
              </m:r>
              <m:r>
                <m:rPr>
                  <m:sty m:val="p"/>
                </m:rPr>
                <m:t>,</m:t>
              </m:r>
              <m:sSubSup>
                <m:e>
                  <m:r>
                    <m:t>σ</m:t>
                  </m:r>
                </m:e>
                <m:sub>
                  <m:r>
                    <m:t>τ</m:t>
                  </m:r>
                  <m:r>
                    <m:rPr>
                      <m:sty m:val="p"/>
                    </m:rPr>
                    <m:t>,</m:t>
                  </m:r>
                  <m:r>
                    <m:t>Z</m:t>
                  </m:r>
                </m:sub>
                <m:sup>
                  <m:r>
                    <m:t>2</m:t>
                  </m:r>
                </m:sup>
              </m:sSubSup>
            </m:e>
          </m:d>
          <m:r>
            <m:rPr>
              <m:sty m:val="p"/>
            </m:rPr>
            <m:t>,</m:t>
          </m:r>
        </m:oMath>
      </m:oMathPara>
    </w:p>
    <w:p>
      <w:pPr>
        <w:pStyle w:val="FirstParagraph"/>
      </w:pPr>
      <w:r>
        <w:t xml:space="preserve">with</w:t>
      </w:r>
      <w:r>
        <w:t xml:space="preserve"> </w:t>
      </w:r>
      <m:oMath>
        <m:sSub>
          <m:e>
            <m:r>
              <m:t>τ</m:t>
            </m:r>
          </m:e>
          <m:sub>
            <m:r>
              <m:t>j</m:t>
            </m:r>
            <m:r>
              <m:t>k</m:t>
            </m:r>
            <m:r>
              <m:t>l</m:t>
            </m:r>
          </m:sub>
        </m:sSub>
      </m:oMath>
      <w:r>
        <w:t xml:space="preserve"> </w:t>
      </w:r>
      <w:r>
        <w:t xml:space="preserve">discretised to the monthly grid and the jump sizes</w:t>
      </w:r>
      <w:r>
        <w:t xml:space="preserve"> </w:t>
      </w:r>
      <m:oMath>
        <m:sSub>
          <m:e>
            <m:r>
              <m:t>δ</m:t>
            </m:r>
          </m:e>
          <m:sub>
            <m:r>
              <m:t>j</m:t>
            </m:r>
            <m:r>
              <m:t>k</m:t>
            </m:r>
            <m:r>
              <m:t>l</m:t>
            </m:r>
          </m:sub>
        </m:sSub>
      </m:oMath>
      <w:r>
        <w:t xml:space="preserve"> </w:t>
      </w:r>
      <w:r>
        <w:t xml:space="preserve">allowed to vary by level.</w:t>
      </w:r>
      <w:r>
        <w:t xml:space="preserve"> </w:t>
      </w:r>
      <w:r>
        <w:rPr>
          <w:iCs/>
          <w:i/>
        </w:rPr>
        <w:t xml:space="preserve">Can</w:t>
      </w:r>
      <w:r>
        <w:rPr>
          <w:iCs/>
          <w:i/>
        </w:rPr>
        <w:t xml:space="preserve"> </w:t>
      </w:r>
      <m:oMath>
        <m:sSub>
          <m:e>
            <m:r>
              <m:t>τ</m:t>
            </m:r>
          </m:e>
          <m:sub>
            <m:r>
              <m:t>0</m:t>
            </m:r>
          </m:sub>
        </m:sSub>
      </m:oMath>
      <w:r>
        <w:rPr>
          <w:iCs/>
          <w:i/>
        </w:rPr>
        <w:t xml:space="preserve"> </w:t>
      </w:r>
      <w:r>
        <w:rPr>
          <w:iCs/>
          <w:i/>
        </w:rPr>
        <w:t xml:space="preserve">and the timing variances</w:t>
      </w:r>
      <w:r>
        <w:rPr>
          <w:iCs/>
          <w:i/>
        </w:rPr>
        <w:t xml:space="preserve"> </w:t>
      </w:r>
      <m:oMath>
        <m:sSubSup>
          <m:e>
            <m:r>
              <m:t>σ</m:t>
            </m:r>
          </m:e>
          <m:sub>
            <m:r>
              <m:t>τ</m:t>
            </m:r>
            <m:r>
              <m:rPr>
                <m:sty m:val="p"/>
              </m:rPr>
              <m:t>,</m:t>
            </m:r>
            <m:r>
              <m:t>R</m:t>
            </m:r>
          </m:sub>
          <m:sup>
            <m:r>
              <m:t>2</m:t>
            </m:r>
          </m:sup>
        </m:sSubSup>
        <m:r>
          <m:rPr>
            <m:sty m:val="p"/>
          </m:rPr>
          <m:t>,</m:t>
        </m:r>
        <m:sSubSup>
          <m:e>
            <m:r>
              <m:t>σ</m:t>
            </m:r>
          </m:e>
          <m:sub>
            <m:r>
              <m:t>τ</m:t>
            </m:r>
            <m:r>
              <m:rPr>
                <m:sty m:val="p"/>
              </m:rPr>
              <m:t>,</m:t>
            </m:r>
            <m:r>
              <m:t>C</m:t>
            </m:r>
          </m:sub>
          <m:sup>
            <m:r>
              <m:t>2</m:t>
            </m:r>
          </m:sup>
        </m:sSubSup>
        <m:r>
          <m:rPr>
            <m:sty m:val="p"/>
          </m:rPr>
          <m:t>,</m:t>
        </m:r>
        <m:sSubSup>
          <m:e>
            <m:r>
              <m:t>σ</m:t>
            </m:r>
          </m:e>
          <m:sub>
            <m:r>
              <m:t>τ</m:t>
            </m:r>
            <m:r>
              <m:rPr>
                <m:sty m:val="p"/>
              </m:rPr>
              <m:t>,</m:t>
            </m:r>
            <m:r>
              <m:t>Z</m:t>
            </m:r>
          </m:sub>
          <m:sup>
            <m:r>
              <m:t>2</m:t>
            </m:r>
          </m:sup>
        </m:sSubSup>
      </m:oMath>
      <w:r>
        <w:rPr>
          <w:iCs/>
          <w:i/>
        </w:rPr>
        <w:t xml:space="preserve"> </w:t>
      </w:r>
      <w:r>
        <w:rPr>
          <w:iCs/>
          <w:i/>
        </w:rPr>
        <w:t xml:space="preserve">be estimated jointly, and under what conditions on the series length and numbers of units are they identifiable?</w:t>
      </w:r>
    </w:p>
    <w:p>
      <w:pPr>
        <w:pStyle w:val="BodyText"/>
      </w:pPr>
      <w:r>
        <w:rPr>
          <w:bCs/>
          <w:b/>
        </w:rPr>
        <w:t xml:space="preserve">Related work.</w:t>
      </w:r>
      <w:r>
        <w:t xml:space="preserve"> </w:t>
      </w:r>
      <w:r>
        <w:t xml:space="preserve"> </w:t>
      </w:r>
      <w:r>
        <w:t xml:space="preserve">Bai and Perron (1998)</w:t>
      </w:r>
      <w:r>
        <w:t xml:space="preserve"> </w:t>
      </w:r>
      <w:r>
        <w:t xml:space="preserve">extended estimation and testing to multiple breaks;</w:t>
      </w:r>
      <w:r>
        <w:t xml:space="preserve"> </w:t>
      </w:r>
      <w:r>
        <w:t xml:space="preserve">Bai (2010)</w:t>
      </w:r>
      <w:r>
        <w:t xml:space="preserve"> </w:t>
      </w:r>
      <w:r>
        <w:t xml:space="preserve">estimated a common break date in panel data;</w:t>
      </w:r>
      <w:r>
        <w:t xml:space="preserve"> </w:t>
      </w:r>
      <w:r>
        <w:t xml:space="preserve">Okui and Wang (2021)</w:t>
      </w:r>
      <w:r>
        <w:t xml:space="preserve"> </w:t>
      </w:r>
      <w:r>
        <w:t xml:space="preserve">allowed breaks to differ across latent groups using grouped fixed effects and adaptive group fused lasso;</w:t>
      </w:r>
      <w:r>
        <w:t xml:space="preserve"> </w:t>
      </w:r>
      <w:r>
        <w:t xml:space="preserve">Lumsdaine, Okui, and Wang (2023)</w:t>
      </w:r>
      <w:r>
        <w:t xml:space="preserve"> </w:t>
      </w:r>
      <w:r>
        <w:t xml:space="preserve">allowed group membership itself to change at a break; and</w:t>
      </w:r>
      <w:r>
        <w:t xml:space="preserve"> </w:t>
      </w:r>
      <w:r>
        <w:t xml:space="preserve">Brilleman et al. (2017)</w:t>
      </w:r>
      <w:r>
        <w:t xml:space="preserve"> </w:t>
      </w:r>
      <w:r>
        <w:t xml:space="preserve">fitted a Bayesian piecewise linear mixed model with a random change point at the individual level. I have not found a model with change points as random effects at several nested levels; this needs further confirmation.</w:t>
      </w:r>
    </w:p>
    <w:p>
      <w:pPr>
        <w:pStyle w:val="BodyText"/>
      </w:pPr>
      <w:r>
        <w:rPr>
          <w:bCs/>
          <w:b/>
        </w:rPr>
        <w:t xml:space="preserve">Theory to develop.</w:t>
      </w:r>
      <w:r>
        <w:t xml:space="preserve">  The likelihood of </w:t>
      </w:r>
      <w:hyperlink w:anchor="eq:cp">
        <w:r>
          <w:rPr>
            <w:rStyle w:val="Hyperlink"/>
          </w:rPr>
          <w:t xml:space="preserve">[eq:cp]</w:t>
        </w:r>
      </w:hyperlink>
      <w:r>
        <w:t xml:space="preserve">–</w:t>
      </w:r>
      <w:hyperlink w:anchor="eq:tau">
        <w:r>
          <w:rPr>
            <w:rStyle w:val="Hyperlink"/>
          </w:rPr>
          <w:t xml:space="preserve">[eq:tau]</w:t>
        </w:r>
      </w:hyperlink>
      <w:r>
        <w:t xml:space="preserve"> </w:t>
      </w:r>
      <w:r>
        <w:t xml:space="preserve">is non-smooth in the discrete break dates, so standard asymptotics do not apply. Estimation would be hierarchical Bayesian, marginalising over the discrete</w:t>
      </w:r>
      <w:r>
        <w:t xml:space="preserve"> </w:t>
      </w:r>
      <m:oMath>
        <m:sSub>
          <m:e>
            <m:r>
              <m:t>τ</m:t>
            </m:r>
          </m:e>
          <m:sub>
            <m:r>
              <m:t>j</m:t>
            </m:r>
            <m:r>
              <m:t>k</m:t>
            </m:r>
            <m:r>
              <m:t>l</m:t>
            </m:r>
          </m:sub>
        </m:sSub>
      </m:oMath>
      <w:r>
        <w:t xml:space="preserve"> </w:t>
      </w:r>
      <w:r>
        <w:t xml:space="preserve">within MCMC, together with conditions for identifiability with short monthly series and the effects of autocorrelation and heteroscedasticity.</w:t>
      </w:r>
    </w:p>
    <w:p>
      <w:pPr>
        <w:pStyle w:val="BodyText"/>
      </w:pPr>
      <w:r>
        <w:rPr>
          <w:bCs/>
          <w:b/>
        </w:rPr>
        <w:t xml:space="preserve">Competing methods.</w:t>
      </w:r>
      <w:r>
        <w:t xml:space="preserve">  Bai–Perron estimation for each ZIP code separately; the common-break panel estimator of</w:t>
      </w:r>
      <w:r>
        <w:t xml:space="preserve"> </w:t>
      </w:r>
      <w:r>
        <w:t xml:space="preserve">Bai (2010)</w:t>
      </w:r>
      <w:r>
        <w:t xml:space="preserve">; grouped heterogeneous breaks</w:t>
      </w:r>
      <w:r>
        <w:t xml:space="preserve"> </w:t>
      </w:r>
      <w:r>
        <w:t xml:space="preserve">(Okui and Wang 2021)</w:t>
      </w:r>
      <w:r>
        <w:t xml:space="preserve">; a single-level random change point</w:t>
      </w:r>
      <w:r>
        <w:t xml:space="preserve"> </w:t>
      </w:r>
      <w:r>
        <w:t xml:space="preserve">(Brilleman et al. 2017)</w:t>
      </w:r>
      <w:r>
        <w:t xml:space="preserve">.</w:t>
      </w:r>
    </w:p>
    <w:p>
      <w:pPr>
        <w:pStyle w:val="BodyText"/>
      </w:pPr>
      <w:r>
        <w:rPr>
          <w:bCs/>
          <w:b/>
        </w:rPr>
        <w:t xml:space="preserve">Simulation.</w:t>
      </w:r>
      <w:r>
        <w:t xml:space="preserve">  Break dates generated from </w:t>
      </w:r>
      <w:hyperlink w:anchor="eq:tau">
        <w:r>
          <w:rPr>
            <w:rStyle w:val="Hyperlink"/>
          </w:rPr>
          <w:t xml:space="preserve">[eq:tau]</w:t>
        </w:r>
      </w:hyperlink>
      <w:r>
        <w:t xml:space="preserve">, varying the numbers of ZIP codes, counties and regions, series length, jump size, timing variances, and the presence of autocorrelation and heteroscedasticity. Outcomes: bias and RMSE of the break dates, coverage of credible intervals, recovery of the timing variances, and comparison with the competing methods.</w:t>
      </w:r>
    </w:p>
    <w:p>
      <w:pPr>
        <w:pStyle w:val="BodyText"/>
      </w:pPr>
      <w:r>
        <w:rPr>
          <w:bCs/>
          <w:b/>
        </w:rPr>
        <w:t xml:space="preserve">Opioid application.</w:t>
      </w:r>
      <w:r>
        <w:t xml:space="preserve">  Hydrocodone combination products moved from Schedule III to Schedule II on 6 October 2014</w:t>
      </w:r>
      <w:r>
        <w:t xml:space="preserve"> </w:t>
      </w:r>
      <w:r>
        <w:t xml:space="preserve">(Drug Enforcement Administration 2014)</w:t>
      </w:r>
      <w:r>
        <w:t xml:space="preserve">. The model estimates when each ZIP code’s hydrocodone supply shifted, how much the timing varies across ZIP codes, counties and regions, and whether rurality or income explains the timing. This requires data covering 2014, which I still need to confirm.</w:t>
      </w:r>
    </w:p>
    <w:p>
      <w:pPr>
        <w:pStyle w:val="BodyText"/>
      </w:pPr>
      <w:r>
        <w:rPr>
          <w:bCs/>
          <w:b/>
        </w:rPr>
        <w:t xml:space="preserve">Key articles.</w:t>
      </w:r>
      <w:r>
        <w:t xml:space="preserve"> </w:t>
      </w:r>
      <w:r>
        <w:t xml:space="preserve"> </w:t>
      </w:r>
      <w:r>
        <w:t xml:space="preserve">Bai and Perron (1998)</w:t>
      </w:r>
      <w:r>
        <w:t xml:space="preserve">;</w:t>
      </w:r>
      <w:r>
        <w:t xml:space="preserve"> </w:t>
      </w:r>
      <w:r>
        <w:t xml:space="preserve">Bai (2010)</w:t>
      </w:r>
      <w:r>
        <w:t xml:space="preserve">;</w:t>
      </w:r>
      <w:r>
        <w:t xml:space="preserve"> </w:t>
      </w:r>
      <w:r>
        <w:t xml:space="preserve">Okui and Wang (2021)</w:t>
      </w:r>
      <w:r>
        <w:t xml:space="preserve">;</w:t>
      </w:r>
      <w:r>
        <w:t xml:space="preserve"> </w:t>
      </w:r>
      <w:r>
        <w:t xml:space="preserve">Lumsdaine, Okui, and Wang (2023)</w:t>
      </w:r>
      <w:r>
        <w:t xml:space="preserve">;</w:t>
      </w:r>
      <w:r>
        <w:t xml:space="preserve"> </w:t>
      </w:r>
      <w:r>
        <w:t xml:space="preserve">Brilleman et al. (2017)</w:t>
      </w:r>
      <w:r>
        <w:t xml:space="preserve">.</w:t>
      </w:r>
    </w:p>
    <w:bookmarkEnd w:id="21"/>
    <w:bookmarkStart w:id="42" w:name="comparison-and-preferred-plan"/>
    <w:p>
      <w:pPr>
        <w:pStyle w:val="Heading1"/>
      </w:pPr>
      <w:r>
        <w:t xml:space="preserve">Comparison and Preferred Plan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Direction 1: multilevel BIC</w:t>
            </w:r>
          </w:p>
        </w:tc>
        <w:tc>
          <w:tcPr/>
          <w:p>
            <w:pPr>
              <w:pStyle w:val="Compact"/>
              <w:jc w:val="left"/>
            </w:pPr>
            <w:r>
              <w:rPr>
                <w:bCs/>
                <w:b/>
              </w:rPr>
              <w:t xml:space="preserve">Direction 2: nested change points</w:t>
            </w:r>
          </w:p>
        </w:tc>
      </w:tr>
      <w:tr>
        <w:tc>
          <w:tcPr/>
          <w:p>
            <w:pPr>
              <w:pStyle w:val="Compact"/>
              <w:jc w:val="left"/>
            </w:pPr>
            <w:r>
              <w:t xml:space="preserve">Main contribution</w:t>
            </w:r>
          </w:p>
        </w:tc>
        <w:tc>
          <w:tcPr/>
          <w:p>
            <w:pPr>
              <w:pStyle w:val="Compact"/>
              <w:jc w:val="left"/>
            </w:pPr>
            <w:r>
              <w:t xml:space="preserve">New derivation (theory)</w:t>
            </w:r>
          </w:p>
        </w:tc>
        <w:tc>
          <w:tcPr/>
          <w:p>
            <w:pPr>
              <w:pStyle w:val="Compact"/>
              <w:jc w:val="left"/>
            </w:pPr>
            <w:r>
              <w:t xml:space="preserve">New model and estimation (computation)</w:t>
            </w:r>
          </w:p>
        </w:tc>
      </w:tr>
      <w:tr>
        <w:tc>
          <w:tcPr/>
          <w:p>
            <w:pPr>
              <w:pStyle w:val="Compact"/>
              <w:jc w:val="left"/>
            </w:pPr>
            <w:r>
              <w:t xml:space="preserve">Evidence the question is open</w:t>
            </w:r>
          </w:p>
        </w:tc>
        <w:tc>
          <w:tcPr/>
          <w:p>
            <w:pPr>
              <w:pStyle w:val="Compact"/>
              <w:jc w:val="left"/>
            </w:pPr>
            <w:r>
              <w:t xml:space="preserve">Strong: stated as future work by</w:t>
            </w:r>
            <w:r>
              <w:t xml:space="preserve"> </w:t>
            </w:r>
            <w:r>
              <w:t xml:space="preserve">Cho, Wu, and Naveiras (2024)</w:t>
            </w:r>
          </w:p>
        </w:tc>
        <w:tc>
          <w:tcPr/>
          <w:p>
            <w:pPr>
              <w:pStyle w:val="Compact"/>
              <w:jc w:val="left"/>
            </w:pPr>
            <w:r>
              <w:t xml:space="preserve">Moderate: no nested version found so far</w:t>
            </w:r>
          </w:p>
        </w:tc>
      </w:tr>
      <w:tr>
        <w:tc>
          <w:tcPr/>
          <w:p>
            <w:pPr>
              <w:pStyle w:val="Compact"/>
              <w:jc w:val="left"/>
            </w:pPr>
            <w:r>
              <w:t xml:space="preserve">Simulation cost</w:t>
            </w:r>
          </w:p>
        </w:tc>
        <w:tc>
          <w:tcPr/>
          <w:p>
            <w:pPr>
              <w:pStyle w:val="Compact"/>
              <w:jc w:val="left"/>
            </w:pPr>
            <w:r>
              <w:t xml:space="preserve">Fast (closed-form likelihood)</w:t>
            </w:r>
          </w:p>
        </w:tc>
        <w:tc>
          <w:tcPr/>
          <w:p>
            <w:pPr>
              <w:pStyle w:val="Compact"/>
              <w:jc w:val="left"/>
            </w:pPr>
            <w:r>
              <w:t xml:space="preserve">Slower (MCMC for every simulated data set)</w:t>
            </w:r>
          </w:p>
        </w:tc>
      </w:tr>
      <w:tr>
        <w:tc>
          <w:tcPr/>
          <w:p>
            <w:pPr>
              <w:pStyle w:val="Compact"/>
              <w:jc w:val="left"/>
            </w:pPr>
            <w:r>
              <w:t xml:space="preserve">Main risk</w:t>
            </w:r>
          </w:p>
        </w:tc>
        <w:tc>
          <w:tcPr/>
          <w:p>
            <w:pPr>
              <w:pStyle w:val="Compact"/>
              <w:jc w:val="left"/>
            </w:pPr>
            <w:r>
              <w:t xml:space="preserve">Derivation may not close for unbalanced designs</w:t>
            </w:r>
          </w:p>
        </w:tc>
        <w:tc>
          <w:tcPr/>
          <w:p>
            <w:pPr>
              <w:pStyle w:val="Compact"/>
              <w:jc w:val="left"/>
            </w:pPr>
            <w:r>
              <w:t xml:space="preserve">Identifiability with short series</w:t>
            </w:r>
          </w:p>
        </w:tc>
      </w:tr>
      <w:tr>
        <w:tc>
          <w:tcPr/>
          <w:p>
            <w:pPr>
              <w:pStyle w:val="Compact"/>
              <w:jc w:val="left"/>
            </w:pPr>
            <w:r>
              <w:t xml:space="preserve">Fallback</w:t>
            </w:r>
          </w:p>
        </w:tc>
        <w:tc>
          <w:tcPr/>
          <w:p>
            <w:pPr>
              <w:pStyle w:val="Compact"/>
              <w:jc w:val="left"/>
            </w:pPr>
            <w:r>
              <w:t xml:space="preserve">Balanced case plus simulation of conjectured penalties</w:t>
            </w:r>
          </w:p>
        </w:tc>
        <w:tc>
          <w:tcPr/>
          <w:p>
            <w:pPr>
              <w:pStyle w:val="Compact"/>
              <w:jc w:val="left"/>
            </w:pPr>
            <w:r>
              <w:t xml:space="preserve">Two-level model, or known break date</w:t>
            </w:r>
          </w:p>
        </w:tc>
      </w:tr>
    </w:tbl>
    <w:p>
      <w:pPr>
        <w:pStyle w:val="BodyText"/>
      </w:pPr>
      <w:r>
        <w:rPr>
          <w:bCs/>
          <w:b/>
        </w:rPr>
        <w:t xml:space="preserve">Preferred plan: combine both directions around one statistical question.</w:t>
      </w:r>
      <w:r>
        <w:t xml:space="preserve"> </w:t>
      </w:r>
      <w:r>
        <w:t xml:space="preserve"> </w:t>
      </w:r>
      <w:r>
        <w:rPr>
          <w:iCs/>
          <w:i/>
        </w:rPr>
        <w:t xml:space="preserve">In nested panel data, at which levels (ZIP code, county, region) does variation occur, both in the level of opioid supply and in its response to a policy change, and how should those levels be selected?</w:t>
      </w:r>
    </w:p>
    <w:p>
      <w:pPr>
        <w:numPr>
          <w:ilvl w:val="0"/>
          <w:numId w:val="1001"/>
        </w:numPr>
      </w:pPr>
      <w:r>
        <w:rPr>
          <w:bCs/>
          <w:b/>
        </w:rPr>
        <w:t xml:space="preserve">Core (Direction 1).</w:t>
      </w:r>
      <w:r>
        <w:t xml:space="preserve"> </w:t>
      </w:r>
      <w:r>
        <w:t xml:space="preserve">Derive the BIC penalty for three- and four-level models, starting from </w:t>
      </w:r>
      <w:hyperlink w:anchor="eq:bic3">
        <w:r>
          <w:rPr>
            <w:rStyle w:val="Hyperlink"/>
          </w:rPr>
          <w:t xml:space="preserve">[eq:bic3]</w:t>
        </w:r>
      </w:hyperlink>
      <w:r>
        <w:t xml:space="preserve">, and evaluate it by simulation against existing criteria.</w:t>
      </w:r>
    </w:p>
    <w:p>
      <w:pPr>
        <w:numPr>
          <w:ilvl w:val="0"/>
          <w:numId w:val="1001"/>
        </w:numPr>
      </w:pPr>
      <w:r>
        <w:rPr>
          <w:bCs/>
          <w:b/>
        </w:rPr>
        <w:t xml:space="preserve">Connected extension (Direction 2).</w:t>
      </w:r>
      <w:r>
        <w:t xml:space="preserve"> </w:t>
      </w:r>
      <w:r>
        <w:t xml:space="preserve">With the known date</w:t>
      </w:r>
      <w:r>
        <w:t xml:space="preserve"> </w:t>
      </w:r>
      <m:oMath>
        <m:sSub>
          <m:e>
            <m:r>
              <m:t>D</m:t>
            </m:r>
          </m:e>
          <m:sub>
            <m:r>
              <m:t>t</m:t>
            </m:r>
          </m:sub>
        </m:sSub>
        <m:r>
          <m:rPr>
            <m:sty m:val="p"/>
          </m:rPr>
          <m:t>=</m:t>
        </m:r>
        <m:r>
          <m:rPr>
            <m:sty m:val="b"/>
          </m:rPr>
          <m:t>1</m:t>
        </m:r>
        <m:r>
          <m:rPr>
            <m:sty m:val="p"/>
          </m:rPr>
          <m:t>{</m:t>
        </m:r>
        <m:r>
          <m:t>t</m:t>
        </m:r>
        <m:r>
          <m:rPr>
            <m:sty m:val="p"/>
          </m:rPr>
          <m:t>≥</m:t>
        </m:r>
        <m:r>
          <m:rPr>
            <m:nor/>
            <m:sty m:val="p"/>
          </m:rPr>
          <m:t>October 2014</m:t>
        </m:r>
        <m:r>
          <m:rPr>
            <m:sty m:val="p"/>
          </m:rPr>
          <m:t>}</m:t>
        </m:r>
      </m:oMath>
      <w:r>
        <w:t xml:space="preserve">, extend </w:t>
      </w:r>
      <w:hyperlink w:anchor="eq:model">
        <w:r>
          <w:rPr>
            <w:rStyle w:val="Hyperlink"/>
          </w:rPr>
          <w:t xml:space="preserve">[eq:model]</w:t>
        </w:r>
      </w:hyperlink>
      <w:r>
        <w:t xml:space="preserve"> </w:t>
      </w:r>
      <w:r>
        <w:t xml:space="preserve">with a nested random jump,</w:t>
      </w:r>
    </w:p>
    <w:p>
      <w:pPr>
        <w:pStyle w:val="BodyText"/>
      </w:pPr>
      <m:oMathPara>
        <m:oMathParaPr>
          <m:jc m:val="center"/>
        </m:oMathParaPr>
        <m:oMath>
          <m:sSub>
            <m:e>
              <m:r>
                <m:t>y</m:t>
              </m:r>
            </m:e>
            <m:sub>
              <m:r>
                <m:t>t</m:t>
              </m:r>
              <m:r>
                <m:t>j</m:t>
              </m:r>
              <m:r>
                <m:t>k</m:t>
              </m:r>
              <m:r>
                <m:t>l</m:t>
              </m:r>
            </m:sub>
          </m:sSub>
          <m:r>
            <m:rPr>
              <m:sty m:val="p"/>
            </m:rPr>
            <m:t>=</m:t>
          </m:r>
          <m:sSubSup>
            <m:e>
              <m:r>
                <m:rPr>
                  <m:sty m:val="b"/>
                </m:rPr>
                <m:t>x</m:t>
              </m:r>
            </m:e>
            <m:sub>
              <m:r>
                <m:t>t</m:t>
              </m:r>
              <m:r>
                <m:t>j</m:t>
              </m:r>
              <m:r>
                <m:t>k</m:t>
              </m:r>
              <m:r>
                <m:t>l</m:t>
              </m:r>
            </m:sub>
            <m:sup>
              <m:r>
                <m:rPr>
                  <m:sty m:val="p"/>
                </m:rPr>
                <m:t>⊤</m:t>
              </m:r>
            </m:sup>
          </m:sSubSup>
          <m:r>
            <m:rPr>
              <m:sty m:val="b"/>
            </m:rPr>
            <m:t>β</m:t>
          </m:r>
          <m:r>
            <m:rPr>
              <m:sty m:val="p"/>
            </m:rPr>
            <m:t>+</m:t>
          </m:r>
          <m:sSub>
            <m:e>
              <m:r>
                <m:t>v</m:t>
              </m:r>
            </m:e>
            <m:sub>
              <m:r>
                <m:t>l</m:t>
              </m:r>
            </m:sub>
          </m:sSub>
          <m:r>
            <m:rPr>
              <m:sty m:val="p"/>
            </m:rPr>
            <m:t>+</m:t>
          </m:r>
          <m:sSub>
            <m:e>
              <m:r>
                <m:t>u</m:t>
              </m:r>
            </m:e>
            <m:sub>
              <m:r>
                <m:t>k</m:t>
              </m:r>
              <m:r>
                <m:t>l</m:t>
              </m:r>
            </m:sub>
          </m:sSub>
          <m:r>
            <m:rPr>
              <m:sty m:val="p"/>
            </m:rPr>
            <m:t>+</m:t>
          </m:r>
          <m:sSub>
            <m:e>
              <m:r>
                <m:t>w</m:t>
              </m:r>
            </m:e>
            <m:sub>
              <m:r>
                <m:t>j</m:t>
              </m:r>
              <m:r>
                <m:t>k</m:t>
              </m:r>
              <m:r>
                <m:t>l</m:t>
              </m:r>
            </m:sub>
          </m:sSub>
          <m:r>
            <m:rPr>
              <m:sty m:val="p"/>
            </m:rPr>
            <m:t>+</m:t>
          </m:r>
          <m:d>
            <m:dPr>
              <m:begChr m:val="("/>
              <m:endChr m:val=")"/>
              <m:sepChr m:val=""/>
              <m:grow/>
            </m:dPr>
            <m:e>
              <m:sSub>
                <m:e>
                  <m:r>
                    <m:t>δ</m:t>
                  </m:r>
                </m:e>
                <m:sub>
                  <m:r>
                    <m:t>0</m:t>
                  </m:r>
                </m:sub>
              </m:sSub>
              <m:r>
                <m:rPr>
                  <m:sty m:val="p"/>
                </m:rPr>
                <m:t>+</m:t>
              </m:r>
              <m:sSub>
                <m:e>
                  <m:r>
                    <m:t>δ</m:t>
                  </m:r>
                </m:e>
                <m:sub>
                  <m:r>
                    <m:t>l</m:t>
                  </m:r>
                </m:sub>
              </m:sSub>
              <m:r>
                <m:rPr>
                  <m:sty m:val="p"/>
                </m:rPr>
                <m:t>+</m:t>
              </m:r>
              <m:sSub>
                <m:e>
                  <m:r>
                    <m:t>δ</m:t>
                  </m:r>
                </m:e>
                <m:sub>
                  <m:r>
                    <m:t>k</m:t>
                  </m:r>
                  <m:r>
                    <m:t>l</m:t>
                  </m:r>
                </m:sub>
              </m:sSub>
              <m:r>
                <m:rPr>
                  <m:sty m:val="p"/>
                </m:rPr>
                <m:t>+</m:t>
              </m:r>
              <m:sSub>
                <m:e>
                  <m:r>
                    <m:t>δ</m:t>
                  </m:r>
                </m:e>
                <m:sub>
                  <m:r>
                    <m:t>j</m:t>
                  </m:r>
                  <m:r>
                    <m:t>k</m:t>
                  </m:r>
                  <m:r>
                    <m:t>l</m:t>
                  </m:r>
                </m:sub>
              </m:sSub>
            </m:e>
          </m:d>
          <m:sSub>
            <m:e>
              <m:r>
                <m:t>D</m:t>
              </m:r>
            </m:e>
            <m:sub>
              <m:r>
                <m:t>t</m:t>
              </m:r>
            </m:sub>
          </m:sSub>
          <m:r>
            <m:rPr>
              <m:sty m:val="p"/>
            </m:rPr>
            <m:t>+</m:t>
          </m:r>
          <m:sSub>
            <m:e>
              <m:r>
                <m:t>ε</m:t>
              </m:r>
            </m:e>
            <m:sub>
              <m:r>
                <m:t>t</m:t>
              </m:r>
              <m:r>
                <m:t>j</m:t>
              </m:r>
              <m:r>
                <m:t>k</m:t>
              </m:r>
              <m:r>
                <m:t>l</m:t>
              </m:r>
            </m:sub>
          </m:sSub>
          <m:r>
            <m:rPr>
              <m:sty m:val="p"/>
            </m:rPr>
            <m:t>.</m:t>
          </m:r>
        </m:oMath>
      </m:oMathPara>
    </w:p>
    <w:p>
      <w:pPr>
        <w:numPr>
          <w:ilvl w:val="0"/>
          <w:numId w:val="1000"/>
        </w:numPr>
      </w:pPr>
      <w:r>
        <w:t xml:space="preserve">This is still a linear mixed model, so the new BIC (extended from random intercepts to random slopes) decides at which levels the policy response varies. As time allows, the known date is replaced by the nested random break dates of </w:t>
      </w:r>
      <w:hyperlink w:anchor="eq:tau">
        <w:r>
          <w:rPr>
            <w:rStyle w:val="Hyperlink"/>
          </w:rPr>
          <w:t xml:space="preserve">[eq:tau]</w:t>
        </w:r>
      </w:hyperlink>
      <w:r>
        <w:t xml:space="preserve">.</w:t>
      </w:r>
    </w:p>
    <w:p>
      <w:pPr>
        <w:pStyle w:val="FirstParagraph"/>
      </w:pPr>
      <w:r>
        <w:rPr>
          <w:bCs/>
          <w:b/>
        </w:rPr>
        <w:t xml:space="preserve">Why together.</w:t>
      </w:r>
      <w:r>
        <w:t xml:space="preserve">  Both directions use the same nested data, mixed-model theory and simulation framework: Direction 1 provides the selection tool and Direction 2 the substantive question, so the thesis remains one methodological theme.</w:t>
      </w:r>
      <w:r>
        <w:t xml:space="preserve"> </w:t>
      </w:r>
      <w:r>
        <w:rPr>
          <w:bCs/>
          <w:b/>
        </w:rPr>
        <w:t xml:space="preserve">Scope control.</w:t>
      </w:r>
      <w:r>
        <w:t xml:space="preserve">  Direction 1 is the guaranteed core, and model </w:t>
      </w:r>
      <w:hyperlink w:anchor="eq:combined">
        <w:r>
          <w:rPr>
            <w:rStyle w:val="Hyperlink"/>
          </w:rPr>
          <w:t xml:space="preserve">[eq:combined]</w:t>
        </w:r>
      </w:hyperlink>
      <w:r>
        <w:t xml:space="preserve"> </w:t>
      </w:r>
      <w:r>
        <w:t xml:space="preserve">with a known date is the fallback for the extension, so the thesis is complete even if the unknown-date model is not finished.</w:t>
      </w:r>
    </w:p>
    <w:p>
      <w:pPr>
        <w:pStyle w:val="BodyText"/>
      </w:pPr>
      <w:r>
        <w:rPr>
          <w:bCs/>
          <w:b/>
        </w:rPr>
        <w:t xml:space="preserve">Next steps if you agree.</w:t>
      </w:r>
      <w:r>
        <w:t xml:space="preserve">  Read the key articles in full, reproduce the two-level result of</w:t>
      </w:r>
      <w:r>
        <w:t xml:space="preserve"> </w:t>
      </w:r>
      <w:r>
        <w:t xml:space="preserve">Cho, Wu, and Naveiras (2024)</w:t>
      </w:r>
      <w:r>
        <w:t xml:space="preserve">, confirm that the data cover 2014, and revise the thesis outline around this theme.</w:t>
      </w:r>
    </w:p>
    <w:p>
      <w:pPr>
        <w:pStyle w:val="BodyText"/>
      </w:pPr>
      <w:r>
        <w:rPr>
          <w:iCs/>
          <w:i/>
        </w:rPr>
        <w:t xml:space="preserve">Statements that a question is open reflect my literature search to October 2026 and will be confirmed by a forward-citation search.</w:t>
      </w:r>
    </w:p>
    <w:bookmarkStart w:id="41" w:name="refs"/>
    <w:bookmarkStart w:id="22" w:name="ref-andrews1993"/>
    <w:p>
      <w:pPr>
        <w:pStyle w:val="Bibliography"/>
      </w:pPr>
      <w:r>
        <w:t xml:space="preserve">Andrews, Donald W. K. 1993.</w:t>
      </w:r>
      <w:r>
        <w:t xml:space="preserve"> </w:t>
      </w:r>
      <w:r>
        <w:t xml:space="preserve">“Tests for Parameter Instability and Structural Change with Unknown Change Point.”</w:t>
      </w:r>
      <w:r>
        <w:t xml:space="preserve"> </w:t>
      </w:r>
      <w:r>
        <w:rPr>
          <w:iCs/>
          <w:i/>
        </w:rPr>
        <w:t xml:space="preserve">Econometrica</w:t>
      </w:r>
      <w:r>
        <w:t xml:space="preserve"> </w:t>
      </w:r>
      <w:r>
        <w:t xml:space="preserve">61 (4): 821–56.</w:t>
      </w:r>
    </w:p>
    <w:bookmarkEnd w:id="22"/>
    <w:bookmarkStart w:id="23" w:name="ref-bai2010"/>
    <w:p>
      <w:pPr>
        <w:pStyle w:val="Bibliography"/>
      </w:pPr>
      <w:r>
        <w:t xml:space="preserve">Bai, Jushan. 2010.</w:t>
      </w:r>
      <w:r>
        <w:t xml:space="preserve"> </w:t>
      </w:r>
      <w:r>
        <w:t xml:space="preserve">“Common Breaks in Means and Variances for Panel Data.”</w:t>
      </w:r>
      <w:r>
        <w:t xml:space="preserve"> </w:t>
      </w:r>
      <w:r>
        <w:rPr>
          <w:iCs/>
          <w:i/>
        </w:rPr>
        <w:t xml:space="preserve">Journal of Econometrics</w:t>
      </w:r>
      <w:r>
        <w:t xml:space="preserve"> </w:t>
      </w:r>
      <w:r>
        <w:t xml:space="preserve">157 (1): 78–92.</w:t>
      </w:r>
    </w:p>
    <w:bookmarkEnd w:id="23"/>
    <w:bookmarkStart w:id="24" w:name="ref-baiperron1998"/>
    <w:p>
      <w:pPr>
        <w:pStyle w:val="Bibliography"/>
      </w:pPr>
      <w:r>
        <w:t xml:space="preserve">Bai, Jushan, and Pierre Perron. 1998.</w:t>
      </w:r>
      <w:r>
        <w:t xml:space="preserve"> </w:t>
      </w:r>
      <w:r>
        <w:t xml:space="preserve">“Estimating and Testing Linear Models with Multiple Structural Changes.”</w:t>
      </w:r>
      <w:r>
        <w:t xml:space="preserve"> </w:t>
      </w:r>
      <w:r>
        <w:rPr>
          <w:iCs/>
          <w:i/>
        </w:rPr>
        <w:t xml:space="preserve">Econometrica</w:t>
      </w:r>
      <w:r>
        <w:t xml:space="preserve"> </w:t>
      </w:r>
      <w:r>
        <w:t xml:space="preserve">66 (1): 47–78.</w:t>
      </w:r>
    </w:p>
    <w:bookmarkEnd w:id="24"/>
    <w:bookmarkStart w:id="26" w:name="ref-brilleman2017"/>
    <w:p>
      <w:pPr>
        <w:pStyle w:val="Bibliography"/>
      </w:pPr>
      <w:r>
        <w:t xml:space="preserve">Brilleman, Samuel L., Laura D. Howe, Rory Wolfe, and Kate Tilling. 2017.</w:t>
      </w:r>
      <w:r>
        <w:t xml:space="preserve"> </w:t>
      </w:r>
      <w:r>
        <w:t xml:space="preserve">“Bayesian Piecewise Linear Mixed Models with a Random Change Point: An Application to</w:t>
      </w:r>
      <w:r>
        <w:t xml:space="preserve"> </w:t>
      </w:r>
      <w:r>
        <w:t xml:space="preserve">BMI</w:t>
      </w:r>
      <w:r>
        <w:t xml:space="preserve"> </w:t>
      </w:r>
      <w:r>
        <w:t xml:space="preserve">Rebound in Childhood.”</w:t>
      </w:r>
      <w:r>
        <w:t xml:space="preserve"> </w:t>
      </w:r>
      <w:r>
        <w:rPr>
          <w:iCs/>
          <w:i/>
        </w:rPr>
        <w:t xml:space="preserve">Epidemiology</w:t>
      </w:r>
      <w:r>
        <w:t xml:space="preserve"> </w:t>
      </w:r>
      <w:r>
        <w:t xml:space="preserve">28 (6): 827–33.</w:t>
      </w:r>
      <w:r>
        <w:t xml:space="preserve"> </w:t>
      </w:r>
      <w:hyperlink r:id="rId25">
        <w:r>
          <w:rPr>
            <w:rStyle w:val="Hyperlink"/>
          </w:rPr>
          <w:t xml:space="preserve">https://doi.org/10.1097/EDE.0000000000000723</w:t>
        </w:r>
      </w:hyperlink>
      <w:r>
        <w:t xml:space="preserve">.</w:t>
      </w:r>
    </w:p>
    <w:bookmarkEnd w:id="26"/>
    <w:bookmarkStart w:id="28" w:name="ref-cho2024"/>
    <w:p>
      <w:pPr>
        <w:pStyle w:val="Bibliography"/>
      </w:pPr>
      <w:r>
        <w:t xml:space="preserve">Cho, Sun-Joo, Hao Wu, and Matthew Naveiras. 2024.</w:t>
      </w:r>
      <w:r>
        <w:t xml:space="preserve"> </w:t>
      </w:r>
      <w:r>
        <w:t xml:space="preserve">“The Effective Sample Size in</w:t>
      </w:r>
      <w:r>
        <w:t xml:space="preserve"> </w:t>
      </w:r>
      <w:r>
        <w:t xml:space="preserve">B</w:t>
      </w:r>
      <w:r>
        <w:t xml:space="preserve">ayesian Information Criterion for Level-Specific Fixed and Random-Effect Selection in a Two-Level Nested Model.”</w:t>
      </w:r>
      <w:r>
        <w:t xml:space="preserve"> </w:t>
      </w:r>
      <w:r>
        <w:rPr>
          <w:iCs/>
          <w:i/>
        </w:rPr>
        <w:t xml:space="preserve">British Journal of Mathematical and Statistical Psychology</w:t>
      </w:r>
      <w:r>
        <w:t xml:space="preserve"> </w:t>
      </w:r>
      <w:r>
        <w:t xml:space="preserve">77: 289–315.</w:t>
      </w:r>
      <w:r>
        <w:t xml:space="preserve"> </w:t>
      </w:r>
      <w:hyperlink r:id="rId27">
        <w:r>
          <w:rPr>
            <w:rStyle w:val="Hyperlink"/>
          </w:rPr>
          <w:t xml:space="preserve">https://doi.org/10.1111/bmsp.12327</w:t>
        </w:r>
      </w:hyperlink>
      <w:r>
        <w:t xml:space="preserve">.</w:t>
      </w:r>
    </w:p>
    <w:bookmarkEnd w:id="28"/>
    <w:bookmarkStart w:id="30" w:name="ref-delattre2014"/>
    <w:p>
      <w:pPr>
        <w:pStyle w:val="Bibliography"/>
      </w:pPr>
      <w:r>
        <w:t xml:space="preserve">Delattre, Maud, Marc Lavielle, and Marie-Anne Poursat. 2014.</w:t>
      </w:r>
      <w:r>
        <w:t xml:space="preserve"> </w:t>
      </w:r>
      <w:r>
        <w:t xml:space="preserve">“A Note on</w:t>
      </w:r>
      <w:r>
        <w:t xml:space="preserve"> </w:t>
      </w:r>
      <w:r>
        <w:t xml:space="preserve">BIC</w:t>
      </w:r>
      <w:r>
        <w:t xml:space="preserve"> </w:t>
      </w:r>
      <w:r>
        <w:t xml:space="preserve">in Mixed-Effects Models.”</w:t>
      </w:r>
      <w:r>
        <w:t xml:space="preserve"> </w:t>
      </w:r>
      <w:r>
        <w:rPr>
          <w:iCs/>
          <w:i/>
        </w:rPr>
        <w:t xml:space="preserve">Electronic Journal of Statistics</w:t>
      </w:r>
      <w:r>
        <w:t xml:space="preserve"> </w:t>
      </w:r>
      <w:r>
        <w:t xml:space="preserve">8 (1): 456–75.</w:t>
      </w:r>
      <w:r>
        <w:t xml:space="preserve"> </w:t>
      </w:r>
      <w:hyperlink r:id="rId29">
        <w:r>
          <w:rPr>
            <w:rStyle w:val="Hyperlink"/>
          </w:rPr>
          <w:t xml:space="preserve">https://doi.org/10.1214/14-EJS890</w:t>
        </w:r>
      </w:hyperlink>
      <w:r>
        <w:t xml:space="preserve">.</w:t>
      </w:r>
    </w:p>
    <w:bookmarkEnd w:id="30"/>
    <w:bookmarkStart w:id="31" w:name="ref-dea2014"/>
    <w:p>
      <w:pPr>
        <w:pStyle w:val="Bibliography"/>
      </w:pPr>
      <w:r>
        <w:t xml:space="preserve">Drug Enforcement Administration. 2014.</w:t>
      </w:r>
      <w:r>
        <w:t xml:space="preserve"> </w:t>
      </w:r>
      <w:r>
        <w:t xml:space="preserve">“Schedules of Controlled Substances: Rescheduling of Hydrocodone Combination Products from</w:t>
      </w:r>
      <w:r>
        <w:t xml:space="preserve"> </w:t>
      </w:r>
      <w:r>
        <w:t xml:space="preserve">Schedule III</w:t>
      </w:r>
      <w:r>
        <w:t xml:space="preserve"> </w:t>
      </w:r>
      <w:r>
        <w:t xml:space="preserve">to</w:t>
      </w:r>
      <w:r>
        <w:t xml:space="preserve"> </w:t>
      </w:r>
      <w:r>
        <w:t xml:space="preserve">Schedule II</w:t>
      </w:r>
      <w:r>
        <w:t xml:space="preserve">.”</w:t>
      </w:r>
      <w:r>
        <w:t xml:space="preserve"> </w:t>
      </w:r>
      <w:r>
        <w:rPr>
          <w:iCs/>
          <w:i/>
        </w:rPr>
        <w:t xml:space="preserve">Federal Register</w:t>
      </w:r>
      <w:r>
        <w:t xml:space="preserve"> </w:t>
      </w:r>
      <w:r>
        <w:t xml:space="preserve">79 (163): 49661.</w:t>
      </w:r>
    </w:p>
    <w:bookmarkEnd w:id="31"/>
    <w:bookmarkStart w:id="33" w:name="ref-greven2010"/>
    <w:p>
      <w:pPr>
        <w:pStyle w:val="Bibliography"/>
      </w:pPr>
      <w:r>
        <w:t xml:space="preserve">Greven, Sonja, and Thomas Kneib. 2010.</w:t>
      </w:r>
      <w:r>
        <w:t xml:space="preserve"> </w:t>
      </w:r>
      <w:r>
        <w:t xml:space="preserve">“On the Behaviour of Marginal and Conditional</w:t>
      </w:r>
      <w:r>
        <w:t xml:space="preserve"> </w:t>
      </w:r>
      <w:r>
        <w:t xml:space="preserve">AIC</w:t>
      </w:r>
      <w:r>
        <w:t xml:space="preserve"> </w:t>
      </w:r>
      <w:r>
        <w:t xml:space="preserve">in Linear Mixed Models.”</w:t>
      </w:r>
      <w:r>
        <w:t xml:space="preserve"> </w:t>
      </w:r>
      <w:r>
        <w:rPr>
          <w:iCs/>
          <w:i/>
        </w:rPr>
        <w:t xml:space="preserve">Biometrika</w:t>
      </w:r>
      <w:r>
        <w:t xml:space="preserve"> </w:t>
      </w:r>
      <w:r>
        <w:t xml:space="preserve">97 (4): 773–89.</w:t>
      </w:r>
      <w:r>
        <w:t xml:space="preserve"> </w:t>
      </w:r>
      <w:hyperlink r:id="rId32">
        <w:r>
          <w:rPr>
            <w:rStyle w:val="Hyperlink"/>
          </w:rPr>
          <w:t xml:space="preserve">https://doi.org/10.1093/biomet/asq042</w:t>
        </w:r>
      </w:hyperlink>
      <w:r>
        <w:t xml:space="preserve">.</w:t>
      </w:r>
    </w:p>
    <w:bookmarkEnd w:id="33"/>
    <w:bookmarkStart w:id="35" w:name="ref-jones2011"/>
    <w:p>
      <w:pPr>
        <w:pStyle w:val="Bibliography"/>
      </w:pPr>
      <w:r>
        <w:t xml:space="preserve">Jones, Richard H. 2011.</w:t>
      </w:r>
      <w:r>
        <w:t xml:space="preserve"> </w:t>
      </w:r>
      <w:r>
        <w:t xml:space="preserve">“</w:t>
      </w:r>
      <w:r>
        <w:t xml:space="preserve">B</w:t>
      </w:r>
      <w:r>
        <w:t xml:space="preserve">ayesian Information Criterion for Longitudinal and Clustered Data.”</w:t>
      </w:r>
      <w:r>
        <w:t xml:space="preserve"> </w:t>
      </w:r>
      <w:r>
        <w:rPr>
          <w:iCs/>
          <w:i/>
        </w:rPr>
        <w:t xml:space="preserve">Statistics in Medicine</w:t>
      </w:r>
      <w:r>
        <w:t xml:space="preserve"> </w:t>
      </w:r>
      <w:r>
        <w:t xml:space="preserve">30: 3050–56.</w:t>
      </w:r>
      <w:r>
        <w:t xml:space="preserve"> </w:t>
      </w:r>
      <w:hyperlink r:id="rId34">
        <w:r>
          <w:rPr>
            <w:rStyle w:val="Hyperlink"/>
          </w:rPr>
          <w:t xml:space="preserve">https://doi.org/10.1002/sim.4323</w:t>
        </w:r>
      </w:hyperlink>
      <w:r>
        <w:t xml:space="preserve">.</w:t>
      </w:r>
    </w:p>
    <w:bookmarkEnd w:id="35"/>
    <w:bookmarkStart w:id="37" w:name="ref-lorah2019"/>
    <w:p>
      <w:pPr>
        <w:pStyle w:val="Bibliography"/>
      </w:pPr>
      <w:r>
        <w:t xml:space="preserve">Lorah, J., and A. Womack. 2019.</w:t>
      </w:r>
      <w:r>
        <w:t xml:space="preserve"> </w:t>
      </w:r>
      <w:r>
        <w:t xml:space="preserve">“Value of Sample Size for Computation of the</w:t>
      </w:r>
      <w:r>
        <w:t xml:space="preserve"> </w:t>
      </w:r>
      <w:r>
        <w:t xml:space="preserve">B</w:t>
      </w:r>
      <w:r>
        <w:t xml:space="preserve">ayesian Information Criterion (</w:t>
      </w:r>
      <w:r>
        <w:t xml:space="preserve">BIC</w:t>
      </w:r>
      <w:r>
        <w:t xml:space="preserve">) in Multilevel Modeling.”</w:t>
      </w:r>
      <w:r>
        <w:t xml:space="preserve"> </w:t>
      </w:r>
      <w:r>
        <w:rPr>
          <w:iCs/>
          <w:i/>
        </w:rPr>
        <w:t xml:space="preserve">Behavior Research Methods</w:t>
      </w:r>
      <w:r>
        <w:t xml:space="preserve"> </w:t>
      </w:r>
      <w:r>
        <w:t xml:space="preserve">51: 440–50.</w:t>
      </w:r>
      <w:r>
        <w:t xml:space="preserve"> </w:t>
      </w:r>
      <w:hyperlink r:id="rId36">
        <w:r>
          <w:rPr>
            <w:rStyle w:val="Hyperlink"/>
          </w:rPr>
          <w:t xml:space="preserve">https://doi.org/10.3758/s13428-018-1188-3</w:t>
        </w:r>
      </w:hyperlink>
      <w:r>
        <w:t xml:space="preserve">.</w:t>
      </w:r>
    </w:p>
    <w:bookmarkEnd w:id="37"/>
    <w:bookmarkStart w:id="38" w:name="ref-lumsdaine2023"/>
    <w:p>
      <w:pPr>
        <w:pStyle w:val="Bibliography"/>
      </w:pPr>
      <w:r>
        <w:t xml:space="preserve">Lumsdaine, Robin L., Ryo Okui, and Wendun Wang. 2023.</w:t>
      </w:r>
      <w:r>
        <w:t xml:space="preserve"> </w:t>
      </w:r>
      <w:r>
        <w:t xml:space="preserve">“Estimation of Panel Group Structure Models with Structural Breaks in Group Memberships and Coefficients.”</w:t>
      </w:r>
      <w:r>
        <w:t xml:space="preserve"> </w:t>
      </w:r>
      <w:r>
        <w:rPr>
          <w:iCs/>
          <w:i/>
        </w:rPr>
        <w:t xml:space="preserve">Journal of Econometrics</w:t>
      </w:r>
      <w:r>
        <w:t xml:space="preserve"> </w:t>
      </w:r>
      <w:r>
        <w:t xml:space="preserve">233 (1): 45–65.</w:t>
      </w:r>
    </w:p>
    <w:bookmarkEnd w:id="38"/>
    <w:bookmarkStart w:id="40" w:name="ref-okui2021"/>
    <w:p>
      <w:pPr>
        <w:pStyle w:val="Bibliography"/>
      </w:pPr>
      <w:r>
        <w:t xml:space="preserve">Okui, Ryo, and Wendun Wang. 2021.</w:t>
      </w:r>
      <w:r>
        <w:t xml:space="preserve"> </w:t>
      </w:r>
      <w:r>
        <w:t xml:space="preserve">“Heterogeneous Structural Breaks in Panel Data Models.”</w:t>
      </w:r>
      <w:r>
        <w:t xml:space="preserve"> </w:t>
      </w:r>
      <w:r>
        <w:rPr>
          <w:iCs/>
          <w:i/>
        </w:rPr>
        <w:t xml:space="preserve">Journal of Econometrics</w:t>
      </w:r>
      <w:r>
        <w:t xml:space="preserve"> </w:t>
      </w:r>
      <w:r>
        <w:t xml:space="preserve">220 (2): 447–73.</w:t>
      </w:r>
      <w:r>
        <w:t xml:space="preserve"> </w:t>
      </w:r>
      <w:hyperlink r:id="rId39">
        <w:r>
          <w:rPr>
            <w:rStyle w:val="Hyperlink"/>
          </w:rPr>
          <w:t xml:space="preserve">https://doi.org/10.1016/j.jeconom.2020.04.009</w:t>
        </w:r>
      </w:hyperlink>
      <w:r>
        <w:t xml:space="preserve">.</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sim.4323" TargetMode="External" /><Relationship Type="http://schemas.openxmlformats.org/officeDocument/2006/relationships/hyperlink" Id="rId39" Target="https://doi.org/10.1016/j.jeconom.2020.04.009" TargetMode="External" /><Relationship Type="http://schemas.openxmlformats.org/officeDocument/2006/relationships/hyperlink" Id="rId32" Target="https://doi.org/10.1093/biomet/asq042" TargetMode="External" /><Relationship Type="http://schemas.openxmlformats.org/officeDocument/2006/relationships/hyperlink" Id="rId25" Target="https://doi.org/10.1097/EDE.0000000000000723" TargetMode="External" /><Relationship Type="http://schemas.openxmlformats.org/officeDocument/2006/relationships/hyperlink" Id="rId27" Target="https://doi.org/10.1111/bmsp.12327" TargetMode="External" /><Relationship Type="http://schemas.openxmlformats.org/officeDocument/2006/relationships/hyperlink" Id="rId29" Target="https://doi.org/10.1214/14-EJS890" TargetMode="External" /><Relationship Type="http://schemas.openxmlformats.org/officeDocument/2006/relationships/hyperlink" Id="rId36" Target="https://doi.org/10.3758/s13428-018-1188-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4323" TargetMode="External" /><Relationship Type="http://schemas.openxmlformats.org/officeDocument/2006/relationships/hyperlink" Id="rId39" Target="https://doi.org/10.1016/j.jeconom.2020.04.009" TargetMode="External" /><Relationship Type="http://schemas.openxmlformats.org/officeDocument/2006/relationships/hyperlink" Id="rId32" Target="https://doi.org/10.1093/biomet/asq042" TargetMode="External" /><Relationship Type="http://schemas.openxmlformats.org/officeDocument/2006/relationships/hyperlink" Id="rId25" Target="https://doi.org/10.1097/EDE.0000000000000723" TargetMode="External" /><Relationship Type="http://schemas.openxmlformats.org/officeDocument/2006/relationships/hyperlink" Id="rId27" Target="https://doi.org/10.1111/bmsp.12327" TargetMode="External" /><Relationship Type="http://schemas.openxmlformats.org/officeDocument/2006/relationships/hyperlink" Id="rId29" Target="https://doi.org/10.1214/14-EJS890" TargetMode="External" /><Relationship Type="http://schemas.openxmlformats.org/officeDocument/2006/relationships/hyperlink" Id="rId36" Target="https://doi.org/10.3758/s13428-018-118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2026-10-17T01:49:54Z</dcterms:created>
  <dcterms:modified xsi:type="dcterms:W3CDTF">2026-10-17T01:49:54Z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