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000000"/>
          <w:sz w:val="24"/>
        </w:rPr>
        <w:t>Greggs plc: Using App Data to Bake Smarter</w:t>
      </w:r>
    </w:p>
    <w:p>
      <w:r>
        <w:rPr>
          <w:i/>
          <w:sz w:val="24"/>
        </w:rPr>
        <w:t>Mid-term note – The Strategy of Digital Transformation – 30 October 2026</w:t>
      </w:r>
    </w:p>
    <w:p>
      <w:pPr>
        <w:keepNext/>
        <w:spacing w:before="240" w:after="80"/>
      </w:pPr>
      <w:r>
        <w:rPr>
          <w:b/>
          <w:color w:val="000000"/>
          <w:sz w:val="24"/>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I chose Greggs because I buy from it myself: there is a shop close to my university, and I find it reliable.</w:t>
      </w:r>
    </w:p>
    <w:p>
      <w:pPr>
        <w:keepNext/>
        <w:spacing w:before="240" w:after="80"/>
      </w:pPr>
      <w:r>
        <w:rPr>
          <w:b/>
          <w:color w:val="000000"/>
          <w:sz w:val="24"/>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Greggs cannot simply leave these apps, because many customers open Uber Eats first and choose from many restaurants, so Greggs needs to be there or it loses those customers. This gives the delivery apps bargaining power over Greggs (Porter, 2008). Evening is also Greggs' fastest-growing time of day, at 9.4% of sales in 2025 (Greggs plc, 2026). Students studying late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Greggs already sells some leftover food cheaply through the Too Good To Go app (Grocery Gazette, 2025). This helps, but Greggs earns much less than it would by selling the food at full price. It would be better not to bake too much in the first place.</w:t>
      </w:r>
    </w:p>
    <w:p>
      <w:pPr>
        <w:keepNext/>
        <w:spacing w:before="240" w:after="80"/>
      </w:pPr>
      <w:r>
        <w:rPr>
          <w:b/>
          <w:color w:val="000000"/>
          <w:sz w:val="24"/>
        </w:rPr>
        <w:t>2. How the business model will change</w:t>
      </w:r>
    </w:p>
    <w:p>
      <w:pPr>
        <w:jc w:val="both"/>
      </w:pPr>
      <w:r>
        <w:t>Greggs gives customers cheap food in shops that are close by and reliable (value creation, C1 in Figure 2). However, each shop still guesses how much to bake (value configuration, C2). Greggs makes money by selling lots of cheap items to lots of people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10"/>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1"/>
                          <a:stretch>
                            <a:fillRect/>
                          </a:stretch>
                        </pic:blipFill>
                        <pic:spPr>
                          <a:xfrm>
                            <a:off x="0" y="0"/>
                            <a:ext cx="1490906" cy="3240000"/>
                          </a:xfrm>
                          <a:prstGeom prst="rect"/>
                        </pic:spPr>
                      </pic:pic>
                    </a:graphicData>
                  </a:graphic>
                </wp:inline>
              </w:drawing>
            </w:r>
          </w:p>
        </w:tc>
      </w:tr>
    </w:tbl>
    <w:p>
      <w:pPr>
        <w:jc w:val="center"/>
      </w:pPr>
      <w:r>
        <w:rPr>
          <w:i/>
          <w:sz w:val="24"/>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w:t>
      </w:r>
    </w:p>
    <w:p>
      <w:pPr>
        <w:jc w:val="both"/>
      </w:pPr>
      <w:r>
        <w:t>With this plan, customers would find their favourite items sold out less often, and they could skip the queue by ordering ahead in the app (new value creation, P1). This matters to me: once at lunchtime, the item I wanted was sold out, so I left and went to Subway, and Greggs lost that sale. However, when I asked a friend whether they had ever found their food sold out at Greggs or seen lots left at closing, they said no. This suggests the problem may be less visible to customers than to Greggs, which sees the cost of waste in its own figures. With the new plan, Greggs would throw away less food and would not pay Uber Eats a cut on orders made in its own app (new value capture, P3). This links value creation to value capture, as a strategy should (Collis, 2021).</w:t>
      </w:r>
    </w:p>
    <w:p>
      <w:pPr>
        <w:jc w:val="center"/>
      </w:pPr>
      <w:r>
        <w:drawing>
          <wp:inline xmlns:a="http://schemas.openxmlformats.org/drawingml/2006/main" xmlns:pic="http://schemas.openxmlformats.org/drawingml/2006/picture">
            <wp:extent cx="5903999" cy="4192762"/>
            <wp:docPr id="3" name="Picture 3"/>
            <wp:cNvGraphicFramePr>
              <a:graphicFrameLocks noChangeAspect="1"/>
            </wp:cNvGraphicFramePr>
            <a:graphic>
              <a:graphicData uri="http://schemas.openxmlformats.org/drawingml/2006/picture">
                <pic:pic>
                  <pic:nvPicPr>
                    <pic:cNvPr id="0" name="figure2_hand.jpg"/>
                    <pic:cNvPicPr/>
                  </pic:nvPicPr>
                  <pic:blipFill>
                    <a:blip r:embed="rId12"/>
                    <a:stretch>
                      <a:fillRect/>
                    </a:stretch>
                  </pic:blipFill>
                  <pic:spPr>
                    <a:xfrm>
                      <a:off x="0" y="0"/>
                      <a:ext cx="5903999" cy="4192762"/>
                    </a:xfrm>
                    <a:prstGeom prst="rect"/>
                  </pic:spPr>
                </pic:pic>
              </a:graphicData>
            </a:graphic>
          </wp:inline>
        </w:drawing>
      </w:r>
    </w:p>
    <w:p>
      <w:pPr>
        <w:jc w:val="center"/>
      </w:pPr>
      <w:r>
        <w:rPr>
          <w:i/>
          <w:sz w:val="24"/>
        </w:rPr>
        <w:t>Figure 2: Current versus proposed Greggs business model (my own hand drawing)</w:t>
      </w:r>
    </w:p>
    <w:p>
      <w:pPr>
        <w:keepNext/>
        <w:spacing w:before="240" w:after="80"/>
      </w:pPr>
      <w:r>
        <w:rPr>
          <w:b/>
          <w:color w:val="000000"/>
          <w:sz w:val="24"/>
        </w:rPr>
        <w:t>3. Competitive advantage</w:t>
      </w:r>
    </w:p>
    <w:p>
      <w:pPr>
        <w:jc w:val="both"/>
      </w:pPr>
      <w:r>
        <w:t>Greggs has a hybrid competitive advantage: it is cheaper than rivals such as Subway, but it also has something special, like its famous sausage roll (Whittington et al., 2024).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000000"/>
          <w:sz w:val="24"/>
        </w:rPr>
        <w:t>4. Challenges</w:t>
      </w:r>
    </w:p>
    <w:p>
      <w:pPr>
        <w:jc w:val="both"/>
      </w:pPr>
      <w:r>
        <w:t>About 70% of digital transformations fail to meet their goals (McKinsey, 2025, cited in Curchod, 2026d).</w:t>
      </w:r>
    </w:p>
    <w:p>
      <w:pPr>
        <w:jc w:val="both"/>
      </w:pPr>
      <w:r>
        <w:rPr>
          <w:b/>
        </w:rPr>
        <w:t>Staff:</w:t>
      </w:r>
      <w:r>
        <w:t xml:space="preserve"> shop managers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as happened to Nokia (Leonard-Barton, 1992). For Greggs, the risk is real: it became successful through head-office control and the same recipes in every shop, and that same control could make it slow to let app data change how each shop bakes.</w:t>
      </w:r>
    </w:p>
    <w:p>
      <w:pPr>
        <w:keepNext/>
        <w:spacing w:before="240" w:after="80"/>
      </w:pPr>
      <w:r>
        <w:rPr>
          <w:b/>
          <w:color w:val="000000"/>
          <w:sz w:val="24"/>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 This also covers a weakness in my own plan: the AI forecast may get unusual days wrong, such as a sudden storm or a football match, so shops could still run out of food. Because the manager makes the final decision, they can change the bake on those days.</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If it works, leaders will have proof before spending more. Leaders who are worried about money are more likely to trust real results, such as less waste and more sales, than a promise. Building this habit of testing new ideas creates dynamic capabilities (Teece, 2007).</w:t>
      </w:r>
    </w:p>
    <w:p>
      <w:pPr>
        <w:jc w:val="both"/>
      </w:pPr>
      <w:r>
        <w:rPr>
          <w:b/>
        </w:rPr>
        <w:t>The agile model:</w:t>
      </w:r>
      <w:r>
        <w:t xml:space="preserve"> Today, Greggs is at level 2 of the agile maturity model, 'competitive and market orientation', because it focuses on beating rivals on price. It should aim for level 3, 'customer orientation', using app data to build around what customers want, with agile working only for the app project (Curchod, 2026b).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w:t>
      </w:r>
    </w:p>
    <w:p>
      <w:pPr>
        <w:jc w:val="both"/>
      </w:pPr>
      <w:r>
        <w:rPr>
          <w:b/>
        </w:rPr>
        <w:t>National culture:</w:t>
      </w:r>
      <w:r>
        <w:t xml:space="preserve"> the UK has its own digital ecosystem, and customers already use Uber Eats and Just Eat (Curchod, 2026c). Greggs should keep these partners but give people a reason, such as app-only deals and rewards, to order more through its own app.</w:t>
      </w:r>
    </w:p>
    <w:p>
      <w:pPr>
        <w:keepNext/>
        <w:spacing w:before="240" w:after="80"/>
      </w:pPr>
      <w:r>
        <w:rPr>
          <w:b/>
          <w:color w:val="000000"/>
          <w:sz w:val="24"/>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w:t>
      </w:r>
    </w:p>
    <w:p>
      <w:pPr>
        <w:spacing w:before="200"/>
      </w:pPr>
      <w:r>
        <w:rPr>
          <w:b/>
        </w:rPr>
        <w:t>Word count: 1346 words (excluding headings, figures, captions and reference list)</w:t>
      </w:r>
    </w:p>
    <w:p>
      <w:pPr>
        <w:keepNext/>
        <w:spacing w:before="240" w:after="80"/>
      </w:pPr>
      <w:r>
        <w:rPr>
          <w:b/>
          <w:color w:val="000000"/>
          <w:sz w:val="24"/>
        </w:rPr>
        <w:t>Reference list</w:t>
      </w:r>
    </w:p>
    <w:p>
      <w:pPr>
        <w:spacing w:after="0"/>
        <w:ind w:left="567" w:hanging="567"/>
      </w:pPr>
      <w:r>
        <w:rPr>
          <w:sz w:val="24"/>
        </w:rPr>
        <w:t xml:space="preserve">Collis, D. (2021) 'Why do so many strategies fail?', </w:t>
      </w:r>
      <w:r>
        <w:rPr>
          <w:i/>
          <w:sz w:val="24"/>
        </w:rPr>
        <w:t>Harvard Business Review</w:t>
      </w:r>
      <w:r>
        <w:rPr>
          <w:sz w:val="24"/>
        </w:rPr>
        <w:t>, 99(4). Available at: https://hbr.org/2021/07/why-do-so-many-strategies-fail (Accessed: 30 October 2026).</w:t>
      </w:r>
    </w:p>
    <w:p>
      <w:pPr>
        <w:spacing w:after="0"/>
        <w:ind w:left="567" w:hanging="567"/>
      </w:pPr>
      <w:r>
        <w:rPr>
          <w:sz w:val="24"/>
        </w:rPr>
        <w:t xml:space="preserve">Curchod, C. (2026a) 'The challenges ahead: potential obstacles to transformation and how to overcome them'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(2026b) 'Organizing for digital transformation: the agile organization'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(2026c) 'Beware national cultures: an exploration of the East vs. West digital ecosystems'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(2026d) 'Strategy starts with value opportunities: macro, industry and firm-level analysis in the digital age'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Greggs plc (2026) </w:t>
      </w:r>
      <w:r>
        <w:rPr>
          <w:i/>
          <w:sz w:val="24"/>
        </w:rPr>
        <w:t>Preliminary results for the 52 weeks ended 27 December 2025</w:t>
      </w:r>
      <w:r>
        <w:rPr>
          <w:sz w:val="24"/>
        </w:rPr>
        <w:t>. Newcastle upon Tyne: Greggs plc. Available at: https://assets.greggs.com/f/162306/x/e616871d6c/260303-greggs-2025-preliminary-results-final.pdf (Accessed: 30 October 2026).</w:t>
      </w:r>
    </w:p>
    <w:p>
      <w:pPr>
        <w:spacing w:after="0"/>
        <w:ind w:left="567" w:hanging="567"/>
      </w:pPr>
      <w:r>
        <w:rPr>
          <w:sz w:val="24"/>
        </w:rPr>
        <w:t>Grocery Gazette (2025) 'Greggs saves 5m meals from waste with Too Good To Go', 30 April. Available at: https://www.grocerygazette.co.uk/2025/04/30/greggs-too-good-to-go/ (Accessed: 30 October 2026).</w:t>
      </w:r>
    </w:p>
    <w:p>
      <w:pPr>
        <w:spacing w:after="0"/>
        <w:ind w:left="567" w:hanging="567"/>
      </w:pPr>
      <w:r>
        <w:rPr>
          <w:sz w:val="24"/>
        </w:rPr>
        <w:t xml:space="preserve">HM Treasury (2024) </w:t>
      </w:r>
      <w:r>
        <w:rPr>
          <w:i/>
          <w:sz w:val="24"/>
        </w:rPr>
        <w:t>Autumn Budget 2024</w:t>
      </w:r>
      <w:r>
        <w:rPr>
          <w:sz w:val="24"/>
        </w:rPr>
        <w:t xml:space="preserve"> (HC 295). London: HM Treasury. Available at: https://www.gov.uk/government/publications/autumn-budget-2024 (Accessed: 30 October 2026).</w:t>
      </w:r>
    </w:p>
    <w:p>
      <w:pPr>
        <w:spacing w:after="0"/>
        <w:ind w:left="567" w:hanging="567"/>
      </w:pPr>
      <w:r>
        <w:rPr>
          <w:sz w:val="24"/>
        </w:rPr>
        <w:t xml:space="preserve">Leonard-Barton, D. (1992) 'Core capabilities and core rigidities: a paradox in managing new product development', </w:t>
      </w:r>
      <w:r>
        <w:rPr>
          <w:i/>
          <w:sz w:val="24"/>
        </w:rPr>
        <w:t>Strategic Management Journal</w:t>
      </w:r>
      <w:r>
        <w:rPr>
          <w:sz w:val="24"/>
        </w:rPr>
        <w:t>, 13(S1), pp. 111–125. doi: 10.1002/smj.4250131009.</w:t>
      </w:r>
    </w:p>
    <w:p>
      <w:pPr>
        <w:spacing w:after="0"/>
        <w:ind w:left="567" w:hanging="567"/>
      </w:pPr>
      <w:r>
        <w:rPr>
          <w:sz w:val="24"/>
        </w:rPr>
        <w:t xml:space="preserve">O'Reilly, C.A. and Tushman, M.L. (2004) 'The ambidextrous organization', </w:t>
      </w:r>
      <w:r>
        <w:rPr>
          <w:i/>
          <w:sz w:val="24"/>
        </w:rPr>
        <w:t>Harvard Business Review</w:t>
      </w:r>
      <w:r>
        <w:rPr>
          <w:sz w:val="24"/>
        </w:rPr>
        <w:t>, 82(4), pp. 74–81.</w:t>
      </w:r>
    </w:p>
    <w:p>
      <w:pPr>
        <w:spacing w:after="0"/>
        <w:ind w:left="567" w:hanging="567"/>
      </w:pPr>
      <w:r>
        <w:rPr>
          <w:sz w:val="24"/>
        </w:rPr>
        <w:t xml:space="preserve">Porter, M.E. (1996) 'What is strategy?', </w:t>
      </w:r>
      <w:r>
        <w:rPr>
          <w:i/>
          <w:sz w:val="24"/>
        </w:rPr>
        <w:t>Harvard Business Review</w:t>
      </w:r>
      <w:r>
        <w:rPr>
          <w:sz w:val="24"/>
        </w:rPr>
        <w:t>, 74(6), pp. 61–78.</w:t>
      </w:r>
    </w:p>
    <w:p>
      <w:pPr>
        <w:spacing w:after="0"/>
        <w:ind w:left="567" w:hanging="567"/>
      </w:pPr>
      <w:r>
        <w:rPr>
          <w:sz w:val="24"/>
        </w:rPr>
        <w:t xml:space="preserve">Porter, M.E. (2008) 'The five competitive forces that shape strategy', </w:t>
      </w:r>
      <w:r>
        <w:rPr>
          <w:i/>
          <w:sz w:val="24"/>
        </w:rPr>
        <w:t>Harvard Business Review</w:t>
      </w:r>
      <w:r>
        <w:rPr>
          <w:sz w:val="24"/>
        </w:rPr>
        <w:t>, 86(1), pp. 78–93.</w:t>
      </w:r>
    </w:p>
    <w:p>
      <w:pPr>
        <w:spacing w:after="0"/>
        <w:ind w:left="567" w:hanging="567"/>
      </w:pPr>
      <w:r>
        <w:rPr>
          <w:sz w:val="24"/>
        </w:rPr>
        <w:t xml:space="preserve">Teece, D.J. (2007) 'Explicating dynamic capabilities: the nature and microfoundations of (sustainable) enterprise performance', </w:t>
      </w:r>
      <w:r>
        <w:rPr>
          <w:i/>
          <w:sz w:val="24"/>
        </w:rPr>
        <w:t>Strategic Management Journal</w:t>
      </w:r>
      <w:r>
        <w:rPr>
          <w:sz w:val="24"/>
        </w:rPr>
        <w:t>, 28(13), pp. 1319–1350. doi: 10.1002/smj.640.</w:t>
      </w:r>
    </w:p>
    <w:p>
      <w:pPr>
        <w:spacing w:after="0"/>
        <w:ind w:left="567" w:hanging="567"/>
      </w:pPr>
      <w:r>
        <w:rPr>
          <w:sz w:val="24"/>
        </w:rPr>
        <w:t xml:space="preserve">Whittington, R., Regnér, P., Angwin, D., Johnson, G. and Scholes, K. (2024) </w:t>
      </w:r>
      <w:r>
        <w:rPr>
          <w:i/>
          <w:sz w:val="24"/>
        </w:rPr>
        <w:t>Fundamentals of strategy</w:t>
      </w:r>
      <w:r>
        <w:rPr>
          <w:sz w:val="24"/>
        </w:rPr>
        <w:t>. 6th edn. Harlow: Pearson.</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sz w:val="24"/>
      </w:rPr>
      <w:fldChar w:fldCharType="begin"/>
    </w:r>
    <w:r>
      <w:rPr>
        <w:sz w:val="24"/>
      </w:rPr>
      <w:instrText xml:space="preserve">PAGE</w:instrText>
    </w:r>
    <w:r>
      <w:rPr>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