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40"/>
              <w:left w:type="dxa" w:w="280"/>
              <w:bottom w:type="dxa" w:w="240"/>
              <w:right w:type="dxa" w:w="280"/>
            </w:tcMar>
          </w:tcPr>
          <w:p>
            <w:pPr>
              <w:spacing w:after="80" w:before="0"/>
            </w:pPr>
            <w:r>
              <w:rPr>
                <w:rFonts w:ascii="Arial" w:cs="Arial" w:eastAsia="Arial" w:hAnsi="Arial"/>
                <w:b/>
                <w:bCs/>
                <w:caps/>
                <w:color w:val="8BB8D8"/>
                <w:sz w:val="17"/>
                <w:szCs w:val="17"/>
              </w:rPr>
              <w:t xml:space="preserve">LANGUE DES AFFAIRES  ·  CULTURE ENTREPRENEURIALE  ·  SÉRIE : LA LANGUE DES AFFAIRES — ARTICLE 1/3</w:t>
            </w:r>
          </w:p>
          <w:p>
            <w:pPr>
              <w:spacing w:after="60" w:before="0"/>
            </w:pPr>
            <w:r>
              <w:rPr>
                <w:rFonts w:ascii="Arial" w:cs="Arial" w:eastAsia="Arial" w:hAnsi="Arial"/>
                <w:b/>
                <w:bCs/>
                <w:color w:val="FFFFFF"/>
                <w:sz w:val="48"/>
                <w:szCs w:val="48"/>
              </w:rPr>
              <w:t xml:space="preserve">Le Québec ne vend pas mal —
il pense dans une autre langue</w:t>
            </w:r>
          </w:p>
          <w:p>
            <w:pPr>
              <w:spacing w:after="100" w:before="0"/>
            </w:pPr>
            <w:r>
              <w:rPr>
                <w:rFonts w:ascii="Arial" w:cs="Arial" w:eastAsia="Arial" w:hAnsi="Arial"/>
                <w:i/>
                <w:iCs/>
                <w:color w:val="C8DCF0"/>
                <w:sz w:val="22"/>
                <w:szCs w:val="22"/>
              </w:rPr>
              <w:t xml:space="preserve">Lera Boroditsky l'a prouvé en laboratoire. Les données québécoises le confirment sur le terrain.</w:t>
            </w:r>
          </w:p>
          <w:p>
            <w:pPr>
              <w:spacing w:after="0" w:before="0"/>
            </w:pPr>
            <w:r>
              <w:rPr>
                <w:rFonts w:ascii="Arial" w:cs="Arial" w:eastAsia="Arial" w:hAnsi="Arial"/>
                <w:color w:val="8BB8D8"/>
                <w:sz w:val="18"/>
                <w:szCs w:val="18"/>
              </w:rPr>
              <w:t xml:space="preserve">Pascal Gagnon  ·  Avril 2026  ·  Lecture : 12 min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tcPr>
          <w:p>
            <w:pPr>
              <w:jc w:val="center"/>
            </w:pPr>
            <w:r>
              <w:rPr>
                <w:rFonts w:ascii="Arial" w:cs="Arial" w:eastAsia="Arial" w:hAnsi="Arial"/>
                <w:b/>
                <w:bCs/>
                <w:color w:val="4FC3F7"/>
                <w:sz w:val="48"/>
                <w:szCs w:val="48"/>
              </w:rPr>
              <w:t xml:space="preserve">0</w:t>
            </w:r>
          </w:p>
          <w:p>
            <w:pPr>
              <w:jc w:val="center"/>
            </w:pPr>
            <w:r>
              <w:rPr>
                <w:rFonts w:ascii="Arial" w:cs="Arial" w:eastAsia="Arial" w:hAnsi="Arial"/>
                <w:b/>
                <w:bCs/>
                <w:color w:val="FFFFFF"/>
                <w:sz w:val="18"/>
                <w:szCs w:val="18"/>
              </w:rPr>
              <w:t xml:space="preserve">Top 10 bestsellers QC 2025</w:t>
            </w:r>
          </w:p>
          <w:p>
            <w:pPr>
              <w:jc w:val="center"/>
            </w:pPr>
            <w:r>
              <w:rPr>
                <w:rFonts w:ascii="Arial" w:cs="Arial" w:eastAsia="Arial" w:hAnsi="Arial"/>
                <w:color w:val="8BB8D8"/>
                <w:sz w:val="16"/>
                <w:szCs w:val="16"/>
              </w:rPr>
              <w:t xml:space="preserve">livres d'affaires</w:t>
            </w:r>
          </w:p>
        </w:tc>
        <w:tc>
          <w:tcPr>
            <w:tcW w:type="dxa" w:w="312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tcPr>
          <w:p>
            <w:pPr>
              <w:jc w:val="center"/>
            </w:pPr>
            <w:r>
              <w:rPr>
                <w:rFonts w:ascii="Arial" w:cs="Arial" w:eastAsia="Arial" w:hAnsi="Arial"/>
                <w:b/>
                <w:bCs/>
                <w:color w:val="4FC3F7"/>
                <w:sz w:val="48"/>
                <w:szCs w:val="48"/>
              </w:rPr>
              <w:t xml:space="preserve">100+</w:t>
            </w:r>
          </w:p>
          <w:p>
            <w:pPr>
              <w:jc w:val="center"/>
            </w:pPr>
            <w:r>
              <w:rPr>
                <w:rFonts w:ascii="Arial" w:cs="Arial" w:eastAsia="Arial" w:hAnsi="Arial"/>
                <w:b/>
                <w:bCs/>
                <w:color w:val="FFFFFF"/>
                <w:sz w:val="18"/>
                <w:szCs w:val="18"/>
              </w:rPr>
              <w:t xml:space="preserve">Titres publiés / 2 mois EN</w:t>
            </w:r>
          </w:p>
          <w:p>
            <w:pPr>
              <w:jc w:val="center"/>
            </w:pPr>
            <w:r>
              <w:rPr>
                <w:rFonts w:ascii="Arial" w:cs="Arial" w:eastAsia="Arial" w:hAnsi="Arial"/>
                <w:color w:val="8BB8D8"/>
                <w:sz w:val="16"/>
                <w:szCs w:val="16"/>
              </w:rPr>
              <w:t xml:space="preserve">vente / stratégie / marketing</w:t>
            </w:r>
          </w:p>
        </w:tc>
        <w:tc>
          <w:tcPr>
            <w:tcW w:type="dxa" w:w="3120"/>
            <w:tcBorders>
              <w:top w:val="none" w:color="FFFFFF" w:sz="0"/>
              <w:left w:val="none" w:color="FFFFFF" w:sz="0"/>
              <w:bottom w:val="none" w:color="FFFFFF" w:sz="0"/>
              <w:right w:val="none" w:color="FFFFFF" w:sz="0"/>
            </w:tcBorders>
            <w:shd w:fill="1A3A5C" w:val="clear"/>
            <w:tcMar>
              <w:top w:type="dxa" w:w="100"/>
              <w:left w:type="dxa" w:w="140"/>
              <w:bottom w:type="dxa" w:w="100"/>
              <w:right w:type="dxa" w:w="140"/>
            </w:tcMar>
          </w:tcPr>
          <w:p>
            <w:pPr>
              <w:jc w:val="center"/>
            </w:pPr>
            <w:r>
              <w:rPr>
                <w:rFonts w:ascii="Arial" w:cs="Arial" w:eastAsia="Arial" w:hAnsi="Arial"/>
                <w:b/>
                <w:bCs/>
                <w:color w:val="4FC3F7"/>
                <w:sz w:val="48"/>
                <w:szCs w:val="48"/>
              </w:rPr>
              <w:t xml:space="preserve">10x</w:t>
            </w:r>
          </w:p>
          <w:p>
            <w:pPr>
              <w:jc w:val="center"/>
            </w:pPr>
            <w:r>
              <w:rPr>
                <w:rFonts w:ascii="Arial" w:cs="Arial" w:eastAsia="Arial" w:hAnsi="Arial"/>
                <w:b/>
                <w:bCs/>
                <w:color w:val="FFFFFF"/>
                <w:sz w:val="18"/>
                <w:szCs w:val="18"/>
              </w:rPr>
              <w:t xml:space="preserve">Ratio taille de marché</w:t>
            </w:r>
          </w:p>
          <w:p>
            <w:pPr>
              <w:jc w:val="center"/>
            </w:pPr>
            <w:r>
              <w:rPr>
                <w:rFonts w:ascii="Arial" w:cs="Arial" w:eastAsia="Arial" w:hAnsi="Arial"/>
                <w:color w:val="8BB8D8"/>
                <w:sz w:val="16"/>
                <w:szCs w:val="16"/>
              </w:rPr>
              <w:t xml:space="preserve">inférieur au ratio de production</w:t>
            </w:r>
          </w:p>
        </w:tc>
      </w:tr>
    </w:tbl>
    <w:p>
      <w:pPr>
        <w:spacing w:after="24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Je travaille au cœur d'une région où l'institution financière coopérative est, de loin, la plus présente dans la vie des entrepreneurs. Où les forestiers ont des bons revenus, des équipements à jour, des contrats d'approvisionnement stables — et n'ont littéralement jamais eu à vendre quoi que ce soit de leur vie. Où, dans bien des municipalités, personne ne parle anglais au quotidien. Pas par choix politique. Par absence d'occasion.</w:t>
      </w:r>
    </w:p>
    <w:p>
      <w:pPr>
        <w:spacing w:after="160" w:before="0"/>
        <w:jc w:val="both"/>
      </w:pPr>
      <w:r>
        <w:rPr>
          <w:rFonts w:ascii="Arial" w:cs="Arial" w:eastAsia="Arial" w:hAnsi="Arial"/>
          <w:b w:val="false"/>
          <w:bCs w:val="false"/>
          <w:i w:val="false"/>
          <w:iCs w:val="false"/>
          <w:color w:val="1A1A1A"/>
          <w:sz w:val="22"/>
          <w:szCs w:val="22"/>
        </w:rPr>
        <w:t xml:space="preserve">J'ai mis du temps à comprendre ce que je voyais. Ce n'est pas du retard économique. Ce n'est pas du manque d'ambition. C'est un système cohérent, fonctionnel, construit sur des valeurs qui s'expriment jusque dans les mots qu'on choisit pour parler des affaires. Et ces mots — j'en suis venu à le comprendre grâce à une chercheuse californienne — ne sont pas neutres.</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Le langage n'est pas un outil — c'est un système de permission</w:t>
      </w:r>
    </w:p>
    <w:p>
      <w:pPr>
        <w:spacing w:after="160" w:before="0"/>
        <w:jc w:val="both"/>
      </w:pPr>
      <w:r>
        <w:rPr>
          <w:rFonts w:ascii="Arial" w:cs="Arial" w:eastAsia="Arial" w:hAnsi="Arial"/>
          <w:color w:val="1A1A1A"/>
          <w:sz w:val="22"/>
          <w:szCs w:val="22"/>
        </w:rPr>
        <w:t xml:space="preserve">En 2017, Lera Boroditsky, chercheuse en linguistique cognitive à l'Université de Californie San Diego, monte sur la scène de TEDWomen et pose une thèse radicale : la langue que vous parlez ne décrit pas votre réalité — elle la </w:t>
      </w:r>
      <w:r>
        <w:rPr>
          <w:rFonts w:ascii="Arial" w:cs="Arial" w:eastAsia="Arial" w:hAnsi="Arial"/>
          <w:b/>
          <w:bCs/>
          <w:color w:val="1A1A1A"/>
          <w:sz w:val="22"/>
          <w:szCs w:val="22"/>
        </w:rPr>
        <w:t xml:space="preserve">construit</w:t>
      </w:r>
      <w:r>
        <w:rPr>
          <w:rFonts w:ascii="Arial" w:cs="Arial" w:eastAsia="Arial" w:hAnsi="Arial"/>
          <w:color w:val="1A1A1A"/>
          <w:sz w:val="22"/>
          <w:szCs w:val="22"/>
        </w:rPr>
        <w:t xml:space="preserve">. Sa conférence dépasse aujourd'hui </w:t>
      </w:r>
      <w:r>
        <w:rPr>
          <w:rFonts w:ascii="Arial" w:cs="Arial" w:eastAsia="Arial" w:hAnsi="Arial"/>
          <w:b/>
          <w:bCs/>
          <w:color w:val="1A1A1A"/>
          <w:sz w:val="22"/>
          <w:szCs w:val="22"/>
        </w:rPr>
        <w:t xml:space="preserve">26 millions de visionnements</w:t>
      </w:r>
      <w:r>
        <w:rPr>
          <w:rFonts w:ascii="Arial" w:cs="Arial" w:eastAsia="Arial" w:hAnsi="Arial"/>
          <w:color w:val="1A1A1A"/>
          <w:sz w:val="22"/>
          <w:szCs w:val="22"/>
        </w:rPr>
        <w:t xml:space="preserve"> (TED, 2024). Ce n'est pas une observation culturelle. C'est une affirmation scientifique : deux personnes qui parlent des langues différentes </w:t>
      </w:r>
      <w:r>
        <w:rPr>
          <w:rFonts w:ascii="Arial" w:cs="Arial" w:eastAsia="Arial" w:hAnsi="Arial"/>
          <w:i/>
          <w:iCs/>
          <w:color w:val="1A1A1A"/>
          <w:sz w:val="22"/>
          <w:szCs w:val="22"/>
        </w:rPr>
        <w:t xml:space="preserve">perçoivent littéralement le monde différemment</w:t>
      </w:r>
      <w:r>
        <w:rPr>
          <w:rFonts w:ascii="Arial" w:cs="Arial" w:eastAsia="Arial" w:hAnsi="Arial"/>
          <w:color w:val="1A1A1A"/>
          <w:sz w:val="22"/>
          <w:szCs w:val="22"/>
        </w:rPr>
        <w:t xml:space="preserve">, même face aux mêmes faits.</w:t>
      </w:r>
    </w:p>
    <w:p>
      <w:pPr>
        <w:spacing w:after="160" w:before="0"/>
        <w:jc w:val="both"/>
      </w:pPr>
      <w:r>
        <w:rPr>
          <w:rFonts w:ascii="Arial" w:cs="Arial" w:eastAsia="Arial" w:hAnsi="Arial"/>
          <w:b w:val="false"/>
          <w:bCs w:val="false"/>
          <w:i w:val="false"/>
          <w:iCs w:val="false"/>
          <w:color w:val="1A1A1A"/>
          <w:sz w:val="22"/>
          <w:szCs w:val="22"/>
        </w:rPr>
        <w:t xml:space="preserve">Boroditsky documente des exemples frappants. Des tribus d'Amazonie sans temps futur dans leur langue n'ont pas de concept de planification à long terme — non pas parce qu'elles sont moins intelligentes, mais parce que leur langue ne contient pas la structure grammaticale qui rend ce type de pensée naturelle. Des locuteurs de langues où la causalité s'exprime passivement (« le vase s'est cassé ») retiennent moins bien qui a brisé l'objet que les anglophones, dont la langue force l'attribution d'un agent actif.</w:t>
      </w:r>
    </w:p>
    <w:p>
      <w:pPr>
        <w:spacing w:after="160" w:before="0"/>
        <w:jc w:val="both"/>
      </w:pPr>
      <w:r>
        <w:rPr>
          <w:rFonts w:ascii="Arial" w:cs="Arial" w:eastAsia="Arial" w:hAnsi="Arial"/>
          <w:color w:val="1A1A1A"/>
          <w:sz w:val="22"/>
          <w:szCs w:val="22"/>
        </w:rPr>
        <w:t xml:space="preserve">La question que personne ne pose au Québec : </w:t>
      </w:r>
      <w:r>
        <w:rPr>
          <w:rFonts w:ascii="Arial" w:cs="Arial" w:eastAsia="Arial" w:hAnsi="Arial"/>
          <w:b/>
          <w:bCs/>
          <w:color w:val="1A1A1A"/>
          <w:sz w:val="22"/>
          <w:szCs w:val="22"/>
        </w:rPr>
        <w:t xml:space="preserve">si la langue façonne la pensée, qu'est-ce que le français québécois des affaires encode — et interdit — de penser ?</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Deux classements révèlent deux civilisations entrepreneuriales</w:t>
      </w:r>
    </w:p>
    <w:p>
      <w:pPr>
        <w:spacing w:after="160" w:before="0"/>
        <w:jc w:val="both"/>
      </w:pPr>
      <w:r>
        <w:rPr>
          <w:rFonts w:ascii="Arial" w:cs="Arial" w:eastAsia="Arial" w:hAnsi="Arial"/>
          <w:b w:val="false"/>
          <w:bCs w:val="false"/>
          <w:i w:val="false"/>
          <w:iCs w:val="false"/>
          <w:color w:val="1A1A1A"/>
          <w:sz w:val="22"/>
          <w:szCs w:val="22"/>
        </w:rPr>
        <w:t xml:space="preserve">La réponse se cache dans un endroit inattendu : la méthodologie des palmarès d'affaires. Pas dans les articles, pas dans les discours — dans le critère de mesure lui-même.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20"/>
              <w:left w:type="dxa" w:w="200"/>
              <w:bottom w:type="dxa" w:w="120"/>
              <w:right w:type="dxa" w:w="200"/>
            </w:tcMar>
          </w:tcPr>
          <w:p>
            <w:r>
              <w:rPr>
                <w:rFonts w:ascii="Arial" w:cs="Arial" w:eastAsia="Arial" w:hAnsi="Arial"/>
                <w:b/>
                <w:bCs/>
                <w:color w:val="1A3A5C"/>
                <w:sz w:val="20"/>
                <w:szCs w:val="20"/>
              </w:rPr>
              <w:t xml:space="preserve">📊  Chiffre clé : La métrique comme miroir de valeurs</w:t>
            </w:r>
          </w:p>
          <w:p>
            <w:pPr>
              <w:jc w:val="both"/>
            </w:pPr>
            <w:r>
              <w:rPr>
                <w:rFonts w:ascii="Arial" w:cs="Arial" w:eastAsia="Arial" w:hAnsi="Arial"/>
                <w:color w:val="1A1A1A"/>
                <w:sz w:val="21"/>
                <w:szCs w:val="21"/>
              </w:rPr>
              <w:t xml:space="preserve">Le classement phare de Les Affaires — « Les 300 plus importantes PME du Québec » — est établi selon le nombre d'employés à temps plein (Les Affaires, 2025). Le classement équivalent d'Inc. Magazine s'appelle « Inc. 5000 : The Fastest-Growing Private Companies in America » et est classé selon la vitesse de croissance du chiffre d'affaires sur deux ans (Inc., 2025). Même exercice. Critères opposés. Québec mesure la taille de la communauté. Les États-Unis mesurent la vitesse de la conquête.</w:t>
            </w:r>
          </w:p>
        </w:tc>
      </w:tr>
    </w:tbl>
    <w:p>
      <w:pPr>
        <w:spacing w:after="12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Ce n'est pas anodin. Quand une société décide que la « plus importante » PME est celle qui emploie le plus de gens, elle encode une valeur : l'entreprise est d'abord un ancrage communautaire. Quand une autre décide que la « meilleure » entreprise est celle qui a crû le plus vite, elle encode une valeur différente : l'entreprise est d'abord une machine de conquête.</w:t>
      </w:r>
    </w:p>
    <w:p>
      <w:pPr>
        <w:spacing w:after="160" w:before="0"/>
        <w:jc w:val="both"/>
      </w:pPr>
      <w:r>
        <w:rPr>
          <w:rFonts w:ascii="Arial" w:cs="Arial" w:eastAsia="Arial" w:hAnsi="Arial"/>
          <w:b w:val="false"/>
          <w:bCs w:val="false"/>
          <w:i w:val="false"/>
          <w:iCs w:val="false"/>
          <w:color w:val="1A1A1A"/>
          <w:sz w:val="22"/>
          <w:szCs w:val="22"/>
        </w:rPr>
        <w:t xml:space="preserve">Les entrepreneurs de ces deux sociétés ne lisent pas juste des palmarès différents. Ils respirent des systèmes de légitimité différents. Et la langue dans laquelle ces palmarès sont formulés renforce, à chaque lecture, le registre mental dans lequel ils opèrent.</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Le lexique de survie a remplacé le lexique de conquête</w:t>
      </w:r>
    </w:p>
    <w:p>
      <w:pPr>
        <w:spacing w:after="160" w:before="0"/>
        <w:jc w:val="both"/>
      </w:pPr>
      <w:r>
        <w:rPr>
          <w:rFonts w:ascii="Arial" w:cs="Arial" w:eastAsia="Arial" w:hAnsi="Arial"/>
          <w:b w:val="false"/>
          <w:bCs w:val="false"/>
          <w:i w:val="false"/>
          <w:iCs w:val="false"/>
          <w:color w:val="1A1A1A"/>
          <w:sz w:val="22"/>
          <w:szCs w:val="22"/>
        </w:rPr>
        <w:t xml:space="preserve">Une analyse systématique de trente articles récents dans Les Affaires révèle un vocabulaire dominant : accompagnement, pérennité, repreneuriat, coopétiteurs, continuité, tissu entrepreneurial, résilience, mutation, s'allier, survie. Les titres sont éloquents : « Les PME travaillent main dans la main », « S'allier pour mieux régner », « Le vent de renouveau doit pousser la voile des PME » (Les Affaires, 2024-2026).</w:t>
      </w:r>
    </w:p>
    <w:p>
      <w:pPr>
        <w:spacing w:after="160" w:before="0"/>
        <w:jc w:val="both"/>
      </w:pPr>
      <w:r>
        <w:rPr>
          <w:rFonts w:ascii="Arial" w:cs="Arial" w:eastAsia="Arial" w:hAnsi="Arial"/>
          <w:b w:val="false"/>
          <w:bCs w:val="false"/>
          <w:i w:val="false"/>
          <w:iCs w:val="false"/>
          <w:color w:val="1A1A1A"/>
          <w:sz w:val="22"/>
          <w:szCs w:val="22"/>
        </w:rPr>
        <w:t xml:space="preserve">La métaphore maritime du dernier titre mérite une pause. La PME québécoise est décrite comme un voilier ballotté par les vagues, qui s'accroche et espère ne pas chavirer. Trois verbes de résistance passive. Le lecteur est placé en mode défensif avant d'avoir lu la première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20"/>
              <w:left w:type="dxa" w:w="200"/>
              <w:bottom w:type="dxa" w:w="120"/>
              <w:right w:type="dxa" w:w="200"/>
            </w:tcMar>
          </w:tcPr>
          <w:p>
            <w:r>
              <w:rPr>
                <w:rFonts w:ascii="Arial" w:cs="Arial" w:eastAsia="Arial" w:hAnsi="Arial"/>
                <w:b/>
                <w:bCs/>
                <w:color w:val="1A3A5C"/>
                <w:sz w:val="20"/>
                <w:szCs w:val="20"/>
              </w:rPr>
              <w:t xml:space="preserve">📌  Aveu dans le texte même : le cas des « coopétiteurs »</w:t>
            </w:r>
          </w:p>
          <w:p>
            <w:pPr>
              <w:jc w:val="both"/>
            </w:pPr>
            <w:r>
              <w:rPr>
                <w:rFonts w:ascii="Arial" w:cs="Arial" w:eastAsia="Arial" w:hAnsi="Arial"/>
                <w:color w:val="1A1A1A"/>
                <w:sz w:val="21"/>
                <w:szCs w:val="21"/>
              </w:rPr>
              <w:t xml:space="preserve">Dans un dossier sur la croissance des PME, Les Affaires cite l'exemple d'Oliva Horticulture, qui a inventé le terme « coopétiteurs » pour décrire des entreprises qui collaborent tout en se faisant concurrence. Le fondateur admet lui-même : « Ce n'est pas une pratique d'affaires standard. Habituellement, tu ne collabores pas avec tes compétiteurs. On essaie de changer cette mentalité. » (Les Affaires, 2024). L'aveu est dans l'article : la mentalité par défaut est la non-compétition. Et pour s'en éloigner, il faut inventer un nouveau mot.</w:t>
            </w:r>
          </w:p>
        </w:tc>
      </w:tr>
    </w:tbl>
    <w:p>
      <w:pPr>
        <w:spacing w:after="120" w:before="0"/>
      </w:pPr>
      <w:r>
        <w:t xml:space="preserve"/>
      </w:r>
    </w:p>
    <w:p>
      <w:pPr>
        <w:spacing w:after="160" w:before="0"/>
        <w:jc w:val="both"/>
      </w:pPr>
      <w:r>
        <w:rPr>
          <w:rFonts w:ascii="Arial" w:cs="Arial" w:eastAsia="Arial" w:hAnsi="Arial"/>
          <w:b w:val="false"/>
          <w:bCs w:val="false"/>
          <w:i w:val="false"/>
          <w:iCs w:val="false"/>
          <w:color w:val="1A1A1A"/>
          <w:sz w:val="22"/>
          <w:szCs w:val="22"/>
        </w:rPr>
        <w:t xml:space="preserve">Le pendant américain : Inc. titre ses articles « 7 Ways to Crush Top Competitors In Your Market Space », « 6 Reasons These Entrepreneurs Crush It While Others Merely Succeed », et décrit la trajectoire d'une entreprise comme « Bought and Borrowed Its Way to AI Domination » (Inc., 2017-2025). Les verbes : crush, dominate, kill, win, grind, scale, disrupt. Ce ne sont pas des métaphores sportives. Ce sont des métaphores militaires, systématiquement appliquées à des décisions commerciales ordinaires.</w:t>
      </w:r>
    </w:p>
    <w:p>
      <w:pPr>
        <w:spacing w:after="160" w:before="0"/>
        <w:jc w:val="both"/>
      </w:pPr>
      <w:r>
        <w:rPr>
          <w:rFonts w:ascii="Arial" w:cs="Arial" w:eastAsia="Arial" w:hAnsi="Arial"/>
          <w:color w:val="1A1A1A"/>
          <w:sz w:val="22"/>
          <w:szCs w:val="22"/>
        </w:rPr>
        <w:t xml:space="preserve">Dans Les Affaires en 2026 : </w:t>
      </w:r>
      <w:r>
        <w:rPr>
          <w:rFonts w:ascii="Arial" w:cs="Arial" w:eastAsia="Arial" w:hAnsi="Arial"/>
          <w:i/>
          <w:iCs/>
          <w:color w:val="1A1A1A"/>
          <w:sz w:val="22"/>
          <w:szCs w:val="22"/>
        </w:rPr>
        <w:t xml:space="preserve">« De nombreuses PME tanguent, s'accrochent et espèrent ne pas chavirer. »</w:t>
      </w:r>
      <w:r>
        <w:rPr>
          <w:rFonts w:ascii="Arial" w:cs="Arial" w:eastAsia="Arial" w:hAnsi="Arial"/>
          <w:color w:val="1A1A1A"/>
          <w:sz w:val="22"/>
          <w:szCs w:val="22"/>
        </w:rPr>
        <w:t xml:space="preserve">   Dans Inc. la même année : </w:t>
      </w:r>
      <w:r>
        <w:rPr>
          <w:rFonts w:ascii="Arial" w:cs="Arial" w:eastAsia="Arial" w:hAnsi="Arial"/>
          <w:i/>
          <w:iCs/>
          <w:color w:val="1A1A1A"/>
          <w:sz w:val="22"/>
          <w:szCs w:val="22"/>
        </w:rPr>
        <w:t xml:space="preserve">« You must grind hard until you make it. »</w:t>
      </w:r>
      <w:r>
        <w:rPr>
          <w:rFonts w:ascii="Arial" w:cs="Arial" w:eastAsia="Arial" w:hAnsi="Arial"/>
          <w:color w:val="1A1A1A"/>
          <w:sz w:val="22"/>
          <w:szCs w:val="22"/>
        </w:rPr>
        <w:t xml:space="preserve">   Même réalité économique. Grammaires d'action opposées.</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La librairie comme scanner de culture commerciale</w:t>
      </w:r>
    </w:p>
    <w:p>
      <w:pPr>
        <w:spacing w:after="160" w:before="0"/>
        <w:jc w:val="both"/>
      </w:pPr>
      <w:r>
        <w:rPr>
          <w:rFonts w:ascii="Arial" w:cs="Arial" w:eastAsia="Arial" w:hAnsi="Arial"/>
          <w:b w:val="false"/>
          <w:bCs w:val="false"/>
          <w:i w:val="false"/>
          <w:iCs w:val="false"/>
          <w:color w:val="1A1A1A"/>
          <w:sz w:val="22"/>
          <w:szCs w:val="22"/>
        </w:rPr>
        <w:t xml:space="preserve">Il y a une manière simple de mesurer visuellement la densité culturelle d'un écosystème d'affaires : entrer dans une librairie et compter les tablettes. Chez Renaud-Bray en 2026, la section « Gestion et économie » représente trois à quatre tablettes — mélangées avec le développement personnel et la spiritualité. Dans une grande librairie américaine (Barnes &amp; Noble, Books-A-Million), la section marketing seule occupe douze tablettes autonomes, séparée des sections vente, stratégie d'entreprise, leadership et négociation.</w:t>
      </w:r>
    </w:p>
    <w:p>
      <w:pPr>
        <w:spacing w:after="160" w:before="0"/>
        <w:jc w:val="both"/>
      </w:pPr>
      <w:r>
        <w:rPr>
          <w:rFonts w:ascii="Arial" w:cs="Arial" w:eastAsia="Arial" w:hAnsi="Arial"/>
          <w:b w:val="false"/>
          <w:bCs w:val="false"/>
          <w:i w:val="false"/>
          <w:iCs w:val="false"/>
          <w:color w:val="1A1A1A"/>
          <w:sz w:val="22"/>
          <w:szCs w:val="22"/>
        </w:rPr>
        <w:t xml:space="preserve">Ce n'est pas une question de taille de marché. C'est une question de demande culturelle. Les librairies ne commandent que ce que leurs clients achètent.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5" w:val="clear"/>
            <w:tcMar>
              <w:top w:type="dxa" w:w="120"/>
              <w:left w:type="dxa" w:w="200"/>
              <w:bottom w:type="dxa" w:w="120"/>
              <w:right w:type="dxa" w:w="200"/>
            </w:tcMar>
          </w:tcPr>
          <w:p>
            <w:r>
              <w:rPr>
                <w:rFonts w:ascii="Arial" w:cs="Arial" w:eastAsia="Arial" w:hAnsi="Arial"/>
                <w:b/>
                <w:bCs/>
                <w:color w:val="1A3A5C"/>
                <w:sz w:val="20"/>
                <w:szCs w:val="20"/>
              </w:rPr>
              <w:t xml:space="preserve">📚  Le palmarès québécois 2025 comme test décisif</w:t>
            </w:r>
          </w:p>
          <w:p>
            <w:pPr>
              <w:jc w:val="both"/>
            </w:pPr>
            <w:r>
              <w:rPr>
                <w:rFonts w:ascii="Arial" w:cs="Arial" w:eastAsia="Arial" w:hAnsi="Arial"/>
                <w:color w:val="1A1A1A"/>
                <w:sz w:val="21"/>
                <w:szCs w:val="21"/>
              </w:rPr>
              <w:t xml:space="preserve">Le top 10 des meilleures ventes de livres au Québec en 2025 : Astérix en Lusitanie, des romans policiers de Freida McFadden, des livres de coloriage, des guides pratiques domestiques (actualitte.com, 2026). Zéro livre d'affaires. Pas un seul. Dans toute l'année. Pendant ce temps, Amazon publiait en deux mois (fév–avril 2026) plus d'une centaine de nouveaux titres dans la catégorie vente et marketing, dont : « The Huntineer's Hourglass: Territory Sales Strategy », « $100M Lost Chapters », « AI for Marketing Playbook: Scale Outreach for Increased Profits » (Amazon New Releases, 2026).</w:t>
            </w:r>
          </w:p>
        </w:tc>
      </w:tr>
    </w:tbl>
    <w:p>
      <w:pPr>
        <w:spacing w:after="120" w:before="0"/>
      </w:pPr>
      <w:r>
        <w:t xml:space="preserve"/>
      </w:r>
    </w:p>
    <w:p>
      <w:pPr>
        <w:spacing w:after="160" w:before="0"/>
        <w:jc w:val="both"/>
      </w:pPr>
      <w:r>
        <w:rPr>
          <w:rFonts w:ascii="Arial" w:cs="Arial" w:eastAsia="Arial" w:hAnsi="Arial"/>
          <w:color w:val="1A1A1A"/>
          <w:sz w:val="22"/>
          <w:szCs w:val="22"/>
        </w:rPr>
        <w:t xml:space="preserve">Le paradoxe de l'import : </w:t>
      </w:r>
      <w:r>
        <w:rPr>
          <w:rFonts w:ascii="Arial" w:cs="Arial" w:eastAsia="Arial" w:hAnsi="Arial"/>
          <w:i/>
          <w:iCs/>
          <w:color w:val="1A1A1A"/>
          <w:sz w:val="22"/>
          <w:szCs w:val="22"/>
        </w:rPr>
        <w:t xml:space="preserve">quand la presse francophone compile ses « 31 meilleurs livres de marketing à lire en 2026 », la liste est quasi exclusivement composée de traductions d'œuvres américaines</w:t>
      </w:r>
      <w:r>
        <w:rPr>
          <w:rFonts w:ascii="Arial" w:cs="Arial" w:eastAsia="Arial" w:hAnsi="Arial"/>
          <w:color w:val="1A1A1A"/>
          <w:sz w:val="22"/>
          <w:szCs w:val="22"/>
        </w:rPr>
        <w:t xml:space="preserve"> — Stratégie Océan Bleu (Kim &amp; Mauborgne), La Vache Pourpre (Seth Godin), L'Art de se lancer (Guy Kawasaki). La production originale en français dans ce domaine est marginale. Le marché de l'édition commerciale offensive en langue française n'existe pas parce que la demande culturelle n'est pas là.</w:t>
      </w:r>
    </w:p>
    <w:p>
      <w:pPr>
        <w:spacing w:after="80" w:before="0"/>
      </w:pPr>
      <w:r>
        <w:t xml:space="preserve"/>
      </w:r>
    </w:p>
    <w:p>
      <w:pPr>
        <w:pBdr>
          <w:bottom w:val="single" w:color="0063b2" w:sz="6" w:space="1"/>
        </w:pBdr>
        <w:spacing w:after="120" w:before="320"/>
      </w:pPr>
      <w:r>
        <w:rPr>
          <w:rFonts w:ascii="Arial" w:cs="Arial" w:eastAsia="Arial" w:hAnsi="Arial"/>
          <w:b/>
          <w:bCs/>
          <w:color w:val="1A3A5C"/>
          <w:sz w:val="28"/>
          <w:szCs w:val="28"/>
        </w:rPr>
        <w:t xml:space="preserve">L'écart de productivité n'est pas un problème de paresse — c'est un plafond linguistique</w:t>
      </w:r>
    </w:p>
    <w:p>
      <w:pPr>
        <w:spacing w:after="160" w:before="0"/>
        <w:jc w:val="both"/>
      </w:pPr>
      <w:r>
        <w:rPr>
          <w:rFonts w:ascii="Arial" w:cs="Arial" w:eastAsia="Arial" w:hAnsi="Arial"/>
          <w:b w:val="false"/>
          <w:bCs w:val="false"/>
          <w:i w:val="false"/>
          <w:iCs w:val="false"/>
          <w:color w:val="1A1A1A"/>
          <w:sz w:val="22"/>
          <w:szCs w:val="22"/>
        </w:rPr>
        <w:t xml:space="preserve">Les économistes mesurent la productivité en dollars de PIB par heure travaillée. En 2024, le PIB par habitant québécois représente environ 70 % du niveau américain, et environ 75 % de la moyenne canadienne (Statistique Canada, OCDE, 2024). Les explications habituelles : taille du marché, accès au capital, structure industrielle. Elles sont partielles.</w:t>
      </w:r>
    </w:p>
    <w:p>
      <w:pPr>
        <w:spacing w:after="160" w:before="0"/>
        <w:jc w:val="both"/>
      </w:pPr>
      <w:r>
        <w:rPr>
          <w:rFonts w:ascii="Arial" w:cs="Arial" w:eastAsia="Arial" w:hAnsi="Arial"/>
          <w:b w:val="false"/>
          <w:bCs w:val="false"/>
          <w:i w:val="false"/>
          <w:iCs w:val="false"/>
          <w:color w:val="1A1A1A"/>
          <w:sz w:val="22"/>
          <w:szCs w:val="22"/>
        </w:rPr>
        <w:t xml:space="preserve">Il existe une variable que les économistes mesurent mal : le registre mental dans lequel les entrepreneurs opèrent. Dans mon modèle de croissance économique, j'exprime le PIB comme Y = f(K, EN×η), où η représente l'efficacité institutionnelle et culturelle qui transforme le capital et l'énergie en valeur réelle. Ce η a une composante linguistique non mesurée : la permission culturelle d'aller chercher la croissance.</w:t>
      </w:r>
    </w:p>
    <w:p>
      <w:pPr>
        <w:spacing w:after="160" w:before="0"/>
        <w:jc w:val="both"/>
      </w:pPr>
      <w:r>
        <w:rPr>
          <w:rFonts w:ascii="Arial" w:cs="Arial" w:eastAsia="Arial" w:hAnsi="Arial"/>
          <w:color w:val="1A1A1A"/>
          <w:sz w:val="22"/>
          <w:szCs w:val="22"/>
        </w:rPr>
        <w:t xml:space="preserve">Une société dont la langue des affaires encode </w:t>
      </w:r>
      <w:r>
        <w:rPr>
          <w:rFonts w:ascii="Arial" w:cs="Arial" w:eastAsia="Arial" w:hAnsi="Arial"/>
          <w:i/>
          <w:iCs/>
          <w:color w:val="1A1A1A"/>
          <w:sz w:val="22"/>
          <w:szCs w:val="22"/>
        </w:rPr>
        <w:t xml:space="preserve">survie, continuité, accompagnement</w:t>
      </w:r>
      <w:r>
        <w:rPr>
          <w:rFonts w:ascii="Arial" w:cs="Arial" w:eastAsia="Arial" w:hAnsi="Arial"/>
          <w:color w:val="1A1A1A"/>
          <w:sz w:val="22"/>
          <w:szCs w:val="22"/>
        </w:rPr>
        <w:t xml:space="preserve"> opère avec un η différent d'une société dont la langue encode </w:t>
      </w:r>
      <w:r>
        <w:rPr>
          <w:rFonts w:ascii="Arial" w:cs="Arial" w:eastAsia="Arial" w:hAnsi="Arial"/>
          <w:i/>
          <w:iCs/>
          <w:color w:val="1A1A1A"/>
          <w:sz w:val="22"/>
          <w:szCs w:val="22"/>
        </w:rPr>
        <w:t xml:space="preserve">domination, conquête, écrasement</w:t>
      </w:r>
      <w:r>
        <w:rPr>
          <w:rFonts w:ascii="Arial" w:cs="Arial" w:eastAsia="Arial" w:hAnsi="Arial"/>
          <w:color w:val="1A1A1A"/>
          <w:sz w:val="22"/>
          <w:szCs w:val="22"/>
        </w:rPr>
        <w:t xml:space="preserve">. Ce n'est pas une question de valeurs morales — les deux approches ont leurs mérites. C'est une question de </w:t>
      </w:r>
      <w:r>
        <w:rPr>
          <w:rFonts w:ascii="Arial" w:cs="Arial" w:eastAsia="Arial" w:hAnsi="Arial"/>
          <w:b/>
          <w:bCs/>
          <w:color w:val="1A1A1A"/>
          <w:sz w:val="22"/>
          <w:szCs w:val="22"/>
        </w:rPr>
        <w:t xml:space="preserve">plafond cognitif structurel</w:t>
      </w:r>
      <w:r>
        <w:rPr>
          <w:rFonts w:ascii="Arial" w:cs="Arial" w:eastAsia="Arial" w:hAnsi="Arial"/>
          <w:color w:val="1A1A1A"/>
          <w:sz w:val="22"/>
          <w:szCs w:val="22"/>
        </w:rPr>
        <w:t xml:space="preserve"> : certaines stratégies de croissance ne sont pas envisagées parce que les mots pour les penser ne font pas partie du vocabulaire ordinaire.</w:t>
      </w:r>
    </w:p>
    <w:p>
      <w:pPr>
        <w:spacing w:after="160" w:before="0"/>
        <w:jc w:val="both"/>
      </w:pPr>
      <w:r>
        <w:rPr>
          <w:rFonts w:ascii="Arial" w:cs="Arial" w:eastAsia="Arial" w:hAnsi="Arial"/>
          <w:b w:val="false"/>
          <w:bCs w:val="false"/>
          <w:i w:val="false"/>
          <w:iCs w:val="false"/>
          <w:color w:val="1A1A1A"/>
          <w:sz w:val="22"/>
          <w:szCs w:val="22"/>
        </w:rPr>
        <w:t xml:space="preserve">Ce n'est pas une fatalité. C'est un diagnostic. Et un diagnostic précis est la première condition d'un traitement efficace.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5F8" w:val="clear"/>
            <w:tcMar>
              <w:top w:type="dxa" w:w="160"/>
              <w:left w:type="dxa" w:w="240"/>
              <w:bottom w:type="dxa" w:w="160"/>
              <w:right w:type="dxa" w:w="240"/>
            </w:tcMar>
          </w:tcPr>
          <w:p>
            <w:pPr>
              <w:spacing w:after="100" w:before="0"/>
            </w:pPr>
            <w:r>
              <w:rPr>
                <w:rFonts w:ascii="Arial" w:cs="Arial" w:eastAsia="Arial" w:hAnsi="Arial"/>
                <w:b/>
                <w:bCs/>
                <w:caps/>
                <w:color w:val="1A3A5C"/>
                <w:sz w:val="20"/>
                <w:szCs w:val="20"/>
              </w:rPr>
              <w:t xml:space="preserve">CE QU'IL FAUT RETENIR</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La langue façonne la pensée : Boroditsky l'a prouvé — les locuteurs de langues différentes perçoivent la causalité, le temps et l'agentivité différemment.</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Les Affaires classe ses PME par nombre d'employés ; Inc. classe les siennes par vitesse de croissance. Le critère encode la valeur.</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Le lexique québécois des affaires : survie, continuité, coopétiteurs, pérennité. Le lexique américain : crush, dominate, grind, scale.</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Zéro livre d'affaires dans le top 10 québécois 2025. 100+ nouveaux titres de marketing/vente en anglais en deux mois.</w:t>
            </w:r>
          </w:p>
          <w:p>
            <w:pPr>
              <w:spacing w:after="80" w:before="0"/>
              <w:jc w:val="both"/>
            </w:pPr>
            <w:r>
              <w:rPr>
                <w:rFonts w:ascii="Arial" w:cs="Arial" w:eastAsia="Arial" w:hAnsi="Arial"/>
                <w:b/>
                <w:bCs/>
                <w:color w:val="0063b2"/>
                <w:sz w:val="21"/>
                <w:szCs w:val="21"/>
              </w:rPr>
              <w:t xml:space="preserve">→  </w:t>
            </w:r>
            <w:r>
              <w:rPr>
                <w:rFonts w:ascii="Arial" w:cs="Arial" w:eastAsia="Arial" w:hAnsi="Arial"/>
                <w:color w:val="1A1A1A"/>
                <w:sz w:val="21"/>
                <w:szCs w:val="21"/>
              </w:rPr>
              <w:t xml:space="preserve">L'écart de PIB par habitant a une composante linguistique mesurable : le η culturel plafonne la permission d'aller chercher la croissance.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3b2" w:sz="8"/>
              <w:left w:val="none" w:color="FFFFFF" w:sz="0"/>
              <w:bottom w:val="none" w:color="FFFFFF" w:sz="0"/>
              <w:right w:val="none" w:color="FFFFFF" w:sz="0"/>
            </w:tcBorders>
            <w:shd w:fill="F8FBFF" w:val="clear"/>
            <w:tcMar>
              <w:top w:type="dxa" w:w="160"/>
              <w:left w:type="dxa" w:w="0"/>
              <w:bottom w:type="dxa" w:w="160"/>
              <w:right w:type="dxa" w:w="0"/>
            </w:tcMar>
          </w:tcPr>
          <w:p>
            <w:pPr>
              <w:spacing w:after="100" w:before="0"/>
            </w:pPr>
            <w:r>
              <w:rPr>
                <w:rFonts w:ascii="Arial" w:cs="Arial" w:eastAsia="Arial" w:hAnsi="Arial"/>
                <w:b/>
                <w:bCs/>
                <w:caps/>
                <w:color w:val="0063b2"/>
                <w:sz w:val="18"/>
                <w:szCs w:val="18"/>
              </w:rPr>
              <w:t xml:space="preserve">NOTE PERSONNELLE</w:t>
            </w:r>
          </w:p>
          <w:p>
            <w:pPr>
              <w:spacing w:after="120" w:before="0"/>
              <w:jc w:val="both"/>
            </w:pPr>
            <w:r>
              <w:rPr>
                <w:rFonts w:ascii="Arial" w:cs="Arial" w:eastAsia="Arial" w:hAnsi="Arial"/>
                <w:i/>
                <w:iCs/>
                <w:color w:val="1A1A1A"/>
                <w:sz w:val="21"/>
                <w:szCs w:val="21"/>
              </w:rPr>
              <w:t xml:space="preserve">J'ai développé cette thèse en écoutant Lera Boroditsky pour la première fois — et en reconnaissant quelque chose que je vivais sans pouvoir le nommer. Je consomme 90 % de mon contenu éducatif en anglais. Pas parce que le contenu français est moins bon : parce que le contenu qui parle de croissance commerciale, d'optimisation, de conquête de marché existe essentiellement en anglais. Quand j'essaie d'importer ces concepts dans mon travail quotidien au Lac-Saint-Jean — aider des PME régionales à adopter l'IA, à structurer leur développement, à aller chercher de nouveaux marchés — je me retrouve à devoir d'abord vendre la permission d'avoir des ambitions. Le produit vient après. Ce n'est pas un jugement sur mes clients. C'est un constat sur la langue dans laquelle ils pensent les affaires. Et changer une langue, c'est le travail d'une génération.</w:t>
            </w:r>
          </w:p>
          <w:p>
            <w:r>
              <w:rPr>
                <w:rFonts w:ascii="Arial" w:cs="Arial" w:eastAsia="Arial" w:hAnsi="Arial"/>
                <w:b/>
                <w:bCs/>
                <w:color w:val="0063b2"/>
                <w:sz w:val="20"/>
                <w:szCs w:val="20"/>
              </w:rPr>
              <w:t xml:space="preserve">— Pascal Gagnon, Roberval · Avril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7"/>
        <w:szCs w:val="17"/>
      </w:rPr>
      <w:t xml:space="preserve">pascalgagnon.ca  ·  Lac-Saint-Jean, Québec</w:t>
    </w:r>
    <w:r>
      <w:rPr>
        <w:rFonts w:ascii="Arial" w:cs="Arial" w:eastAsia="Arial" w:hAnsi="Arial"/>
        <w:sz w:val="17"/>
        <w:szCs w:val="17"/>
      </w:rPr>
      <w:t xml:space="preserve">	</w:t>
    </w:r>
    <w:fldSimple w:instr="PAGE">
      <w:r>
        <w:rPr>
          <w:rFonts w:ascii="Arial" w:cs="Arial" w:eastAsia="Arial" w:hAnsi="Arial"/>
          <w:color w:val="888888"/>
          <w:sz w:val="17"/>
          <w:szCs w:val="17"/>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3b2" w:sz="4" w:space="1"/>
      </w:pBdr>
      <w:tabs>
        <w:tab w:val="right" w:pos="9026"/>
      </w:tabs>
    </w:pPr>
    <w:r>
      <w:rPr>
        <w:rFonts w:ascii="Arial" w:cs="Arial" w:eastAsia="Arial" w:hAnsi="Arial"/>
        <w:color w:val="0063b2"/>
        <w:sz w:val="18"/>
        <w:szCs w:val="18"/>
      </w:rPr>
      <w:t xml:space="preserve">pascalgagnon.ca</w:t>
    </w:r>
    <w:r>
      <w:rPr>
        <w:rFonts w:ascii="Arial" w:cs="Arial" w:eastAsia="Arial" w:hAnsi="Arial"/>
        <w:sz w:val="18"/>
        <w:szCs w:val="18"/>
      </w:rPr>
      <w:t xml:space="preserve">	</w:t>
    </w:r>
    <w:r>
      <w:rPr>
        <w:rFonts w:ascii="Arial" w:cs="Arial" w:eastAsia="Arial" w:hAnsi="Arial"/>
        <w:i/>
        <w:iCs/>
        <w:color w:val="888888"/>
        <w:sz w:val="18"/>
        <w:szCs w:val="18"/>
      </w:rPr>
      <w:t xml:space="preserve">Série : La langue des affaires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2026-04-20T14:32:06.432Z</dcterms:created>
  <dcterms:modified xsi:type="dcterms:W3CDTF">2026-04-20T14:32:06.434Z</dcterms:modified>
</cp:coreProperties>
</file>

<file path=docProps/custom.xml><?xml version="1.0" encoding="utf-8"?>
<Properties xmlns="http://schemas.openxmlformats.org/officeDocument/2006/custom-properties" xmlns:vt="http://schemas.openxmlformats.org/officeDocument/2006/docPropsVTypes"/>
</file>