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240"/>
              <w:left w:type="dxa" w:w="280"/>
              <w:bottom w:type="dxa" w:w="240"/>
              <w:right w:type="dxa" w:w="280"/>
            </w:tcMar>
          </w:tcPr>
          <w:p>
            <w:pPr>
              <w:spacing w:after="80" w:before="0"/>
            </w:pPr>
            <w:r>
              <w:rPr>
                <w:rFonts w:ascii="Arial" w:cs="Arial" w:eastAsia="Arial" w:hAnsi="Arial"/>
                <w:b/>
                <w:bCs/>
                <w:caps/>
                <w:color w:val="8BB8D8"/>
                <w:sz w:val="17"/>
                <w:szCs w:val="17"/>
              </w:rPr>
              <w:t xml:space="preserve">CULTURE ENTREPRENEURIALE  ·  PRODUCTIVITÉ  ·  SÉRIE : LA LANGUE DES AFFAIRES — ARTICLE 2/3</w:t>
            </w:r>
          </w:p>
          <w:p>
            <w:pPr>
              <w:spacing w:after="60" w:before="0"/>
            </w:pPr>
            <w:r>
              <w:rPr>
                <w:rFonts w:ascii="Arial" w:cs="Arial" w:eastAsia="Arial" w:hAnsi="Arial"/>
                <w:b/>
                <w:bCs/>
                <w:color w:val="FFFFFF"/>
                <w:sz w:val="44"/>
                <w:szCs w:val="44"/>
              </w:rPr>
              <w:t xml:space="preserve">Pourquoi vos PME résistent à la productivité —
et ce n'est pas leur faute</w:t>
            </w:r>
          </w:p>
          <w:p>
            <w:pPr>
              <w:spacing w:after="100" w:before="0"/>
            </w:pPr>
            <w:r>
              <w:rPr>
                <w:rFonts w:ascii="Arial" w:cs="Arial" w:eastAsia="Arial" w:hAnsi="Arial"/>
                <w:i/>
                <w:iCs/>
                <w:color w:val="C8DCF0"/>
                <w:sz w:val="22"/>
                <w:szCs w:val="22"/>
              </w:rPr>
              <w:t xml:space="preserve">La résistance aux outils de croissance n'est pas technologique. C'est culturelle. Et ça se mesure.</w:t>
            </w:r>
          </w:p>
          <w:p>
            <w:pPr>
              <w:spacing w:after="0" w:before="0"/>
            </w:pPr>
            <w:r>
              <w:rPr>
                <w:rFonts w:ascii="Arial" w:cs="Arial" w:eastAsia="Arial" w:hAnsi="Arial"/>
                <w:color w:val="8BB8D8"/>
                <w:sz w:val="18"/>
                <w:szCs w:val="18"/>
              </w:rPr>
              <w:t xml:space="preserve">Pascal Gagnon  ·  Avril 2026  ·  Lecture : 13 min</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1A3A5C" w:val="clear"/>
            <w:tcMar>
              <w:top w:type="dxa" w:w="100"/>
              <w:left w:type="dxa" w:w="140"/>
              <w:bottom w:type="dxa" w:w="100"/>
              <w:right w:type="dxa" w:w="140"/>
            </w:tcMar>
          </w:tcPr>
          <w:p>
            <w:pPr>
              <w:jc w:val="center"/>
            </w:pPr>
            <w:r>
              <w:rPr>
                <w:rFonts w:ascii="Arial" w:cs="Arial" w:eastAsia="Arial" w:hAnsi="Arial"/>
                <w:b/>
                <w:bCs/>
                <w:color w:val="4FC3F7"/>
                <w:sz w:val="44"/>
                <w:szCs w:val="44"/>
              </w:rPr>
              <w:t xml:space="preserve">70 %</w:t>
            </w:r>
          </w:p>
          <w:p>
            <w:pPr>
              <w:jc w:val="center"/>
            </w:pPr>
            <w:r>
              <w:rPr>
                <w:rFonts w:ascii="Arial" w:cs="Arial" w:eastAsia="Arial" w:hAnsi="Arial"/>
                <w:b/>
                <w:bCs/>
                <w:color w:val="FFFFFF"/>
                <w:sz w:val="18"/>
                <w:szCs w:val="18"/>
              </w:rPr>
              <w:t xml:space="preserve">PIB/habitant QC</w:t>
            </w:r>
          </w:p>
          <w:p>
            <w:pPr>
              <w:jc w:val="center"/>
            </w:pPr>
            <w:r>
              <w:rPr>
                <w:rFonts w:ascii="Arial" w:cs="Arial" w:eastAsia="Arial" w:hAnsi="Arial"/>
                <w:color w:val="8BB8D8"/>
                <w:sz w:val="16"/>
                <w:szCs w:val="16"/>
              </w:rPr>
              <w:t xml:space="preserve">du niveau américain (OCDE, 2024)</w:t>
            </w:r>
          </w:p>
        </w:tc>
        <w:tc>
          <w:tcPr>
            <w:tcW w:type="dxa" w:w="3120"/>
            <w:tcBorders>
              <w:top w:val="none" w:color="FFFFFF" w:sz="0"/>
              <w:left w:val="none" w:color="FFFFFF" w:sz="0"/>
              <w:bottom w:val="none" w:color="FFFFFF" w:sz="0"/>
              <w:right w:val="none" w:color="FFFFFF" w:sz="0"/>
            </w:tcBorders>
            <w:shd w:fill="1A3A5C" w:val="clear"/>
            <w:tcMar>
              <w:top w:type="dxa" w:w="100"/>
              <w:left w:type="dxa" w:w="140"/>
              <w:bottom w:type="dxa" w:w="100"/>
              <w:right w:type="dxa" w:w="140"/>
            </w:tcMar>
          </w:tcPr>
          <w:p>
            <w:pPr>
              <w:jc w:val="center"/>
            </w:pPr>
            <w:r>
              <w:rPr>
                <w:rFonts w:ascii="Arial" w:cs="Arial" w:eastAsia="Arial" w:hAnsi="Arial"/>
                <w:b/>
                <w:bCs/>
                <w:color w:val="4FC3F7"/>
                <w:sz w:val="44"/>
                <w:szCs w:val="44"/>
              </w:rPr>
              <w:t xml:space="preserve">0</w:t>
            </w:r>
          </w:p>
          <w:p>
            <w:pPr>
              <w:jc w:val="center"/>
            </w:pPr>
            <w:r>
              <w:rPr>
                <w:rFonts w:ascii="Arial" w:cs="Arial" w:eastAsia="Arial" w:hAnsi="Arial"/>
                <w:b/>
                <w:bCs/>
                <w:color w:val="FFFFFF"/>
                <w:sz w:val="18"/>
                <w:szCs w:val="18"/>
              </w:rPr>
              <w:t xml:space="preserve">équivalent fr. de Shark Tank</w:t>
            </w:r>
          </w:p>
          <w:p>
            <w:pPr>
              <w:jc w:val="center"/>
            </w:pPr>
            <w:r>
              <w:rPr>
                <w:rFonts w:ascii="Arial" w:cs="Arial" w:eastAsia="Arial" w:hAnsi="Arial"/>
                <w:color w:val="8BB8D8"/>
                <w:sz w:val="16"/>
                <w:szCs w:val="16"/>
              </w:rPr>
              <w:t xml:space="preserve">axé sur la conquête de marché</w:t>
            </w:r>
          </w:p>
        </w:tc>
        <w:tc>
          <w:tcPr>
            <w:tcW w:type="dxa" w:w="3120"/>
            <w:tcBorders>
              <w:top w:val="none" w:color="FFFFFF" w:sz="0"/>
              <w:left w:val="none" w:color="FFFFFF" w:sz="0"/>
              <w:bottom w:val="none" w:color="FFFFFF" w:sz="0"/>
              <w:right w:val="none" w:color="FFFFFF" w:sz="0"/>
            </w:tcBorders>
            <w:shd w:fill="1A3A5C" w:val="clear"/>
            <w:tcMar>
              <w:top w:type="dxa" w:w="100"/>
              <w:left w:type="dxa" w:w="140"/>
              <w:bottom w:type="dxa" w:w="100"/>
              <w:right w:type="dxa" w:w="140"/>
            </w:tcMar>
          </w:tcPr>
          <w:p>
            <w:pPr>
              <w:jc w:val="center"/>
            </w:pPr>
            <w:r>
              <w:rPr>
                <w:rFonts w:ascii="Arial" w:cs="Arial" w:eastAsia="Arial" w:hAnsi="Arial"/>
                <w:b/>
                <w:bCs/>
                <w:color w:val="4FC3F7"/>
                <w:sz w:val="44"/>
                <w:szCs w:val="44"/>
              </w:rPr>
              <w:t xml:space="preserve">100 %</w:t>
            </w:r>
          </w:p>
          <w:p>
            <w:pPr>
              <w:jc w:val="center"/>
            </w:pPr>
            <w:r>
              <w:rPr>
                <w:rFonts w:ascii="Arial" w:cs="Arial" w:eastAsia="Arial" w:hAnsi="Arial"/>
                <w:b/>
                <w:bCs/>
                <w:color w:val="FFFFFF"/>
                <w:sz w:val="18"/>
                <w:szCs w:val="18"/>
              </w:rPr>
              <w:t xml:space="preserve">croissance immobilier QC</w:t>
            </w:r>
          </w:p>
          <w:p>
            <w:pPr>
              <w:jc w:val="center"/>
            </w:pPr>
            <w:r>
              <w:rPr>
                <w:rFonts w:ascii="Arial" w:cs="Arial" w:eastAsia="Arial" w:hAnsi="Arial"/>
                <w:color w:val="8BB8D8"/>
                <w:sz w:val="16"/>
                <w:szCs w:val="16"/>
              </w:rPr>
              <w:t xml:space="preserve">sans compétition directe de vente</w:t>
            </w:r>
          </w:p>
        </w:tc>
      </w:tr>
    </w:tbl>
    <w:p>
      <w:pPr>
        <w:spacing w:after="240" w:before="0"/>
      </w:pPr>
      <w:r>
        <w:t xml:space="preserve"/>
      </w:r>
    </w:p>
    <w:p>
      <w:pPr>
        <w:pBdr>
          <w:bottom w:val="single" w:color="0063b2" w:sz="6" w:space="1"/>
        </w:pBdr>
        <w:spacing w:after="120" w:before="320"/>
      </w:pPr>
      <w:r>
        <w:rPr>
          <w:rFonts w:ascii="Arial" w:cs="Arial" w:eastAsia="Arial" w:hAnsi="Arial"/>
          <w:b/>
          <w:bCs/>
          <w:color w:val="1A3A5C"/>
          <w:sz w:val="28"/>
          <w:szCs w:val="28"/>
        </w:rPr>
        <w:t xml:space="preserve">L'Œil du dragon ne cherche pas à gagner — il cherche à survivre</w:t>
      </w:r>
    </w:p>
    <w:p>
      <w:pPr>
        <w:spacing w:after="160" w:before="0"/>
        <w:jc w:val="both"/>
      </w:pPr>
      <w:r>
        <w:rPr>
          <w:rFonts w:ascii="Arial" w:cs="Arial" w:eastAsia="Arial" w:hAnsi="Arial"/>
          <w:b w:val="false"/>
          <w:bCs w:val="false"/>
          <w:i w:val="false"/>
          <w:iCs w:val="false"/>
          <w:color w:val="1A1A1A"/>
          <w:sz w:val="22"/>
          <w:szCs w:val="22"/>
        </w:rPr>
        <w:t xml:space="preserve">Deux émissions de télévision. Même format : des entrepreneurs présentent leur projet à des investisseurs. Les différences culturelles sautent aux yeux dès les premières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00"/>
              <w:left w:type="dxa" w:w="200"/>
              <w:bottom w:type="dxa" w:w="80"/>
              <w:right w:type="dxa" w:w="200"/>
            </w:tcMar>
          </w:tcPr>
          <w:p>
            <w:pPr>
              <w:jc w:val="center"/>
            </w:pPr>
            <w:r>
              <w:rPr>
                <w:rFonts w:ascii="Arial" w:cs="Arial" w:eastAsia="Arial" w:hAnsi="Arial"/>
                <w:b/>
                <w:bCs/>
                <w:caps/>
                <w:color w:val="FFFFFF"/>
                <w:sz w:val="20"/>
                <w:szCs w:val="20"/>
              </w:rPr>
              <w:t xml:space="preserve">Même format. Deux civilisations entrepreneuriales.</w:t>
            </w:r>
          </w:p>
        </w:tc>
      </w:tr>
      <w:tr>
        <w:tc>
          <w:tcPr>
            <w:tcW w:type="dxa" w:w="4680"/>
            <w:tcBorders>
              <w:top w:val="none" w:color="FFFFFF" w:sz="0"/>
              <w:left w:val="none" w:color="FFFFFF" w:sz="0"/>
              <w:bottom w:val="none" w:color="FFFFFF" w:sz="0"/>
              <w:right w:val="single" w:color="0063b2" w:sz="4"/>
            </w:tcBorders>
            <w:shd w:fill="EBF4FB" w:val="clear"/>
            <w:tcMar>
              <w:top w:type="dxa" w:w="120"/>
              <w:left w:type="dxa" w:w="200"/>
              <w:bottom w:type="dxa" w:w="120"/>
              <w:right w:type="dxa" w:w="180"/>
            </w:tcMar>
          </w:tcPr>
          <w:p>
            <w:pPr>
              <w:spacing w:after="80" w:before="0"/>
            </w:pPr>
            <w:r>
              <w:rPr>
                <w:rFonts w:ascii="Arial" w:cs="Arial" w:eastAsia="Arial" w:hAnsi="Arial"/>
                <w:b/>
                <w:bCs/>
                <w:color w:val="0063b2"/>
                <w:sz w:val="19"/>
                <w:szCs w:val="19"/>
              </w:rPr>
              <w:t xml:space="preserve">🇨🇦 L'Œil du dragon (Canada)</w:t>
            </w:r>
          </w:p>
          <w:p>
            <w:pPr>
              <w:jc w:val="both"/>
            </w:pPr>
            <w:r>
              <w:rPr>
                <w:rFonts w:ascii="Arial" w:cs="Arial" w:eastAsia="Arial" w:hAnsi="Arial"/>
                <w:color w:val="1A1A1A"/>
                <w:sz w:val="21"/>
                <w:szCs w:val="21"/>
              </w:rPr>
              <w:t xml:space="preserve">Les candidats insistent sur la qualité de leur produit, leur ancrage communautaire, leur démarche responsable. Les questions des dragons portent sur la viabilité financière, la protection des consommateurs, les risques. Le vocabulaire dominant : accompagnement, soutien, développement durable, communauté locale. La tension dramatique vient souvent d'un dragon qui protège le candidat contre lui-même.</w:t>
            </w:r>
          </w:p>
        </w:tc>
        <w:tc>
          <w:tcPr>
            <w:tcW w:type="dxa" w:w="4680"/>
            <w:tcBorders>
              <w:top w:val="none" w:color="FFFFFF" w:sz="0"/>
              <w:left w:val="none" w:color="FFFFFF" w:sz="0"/>
              <w:bottom w:val="none" w:color="FFFFFF" w:sz="0"/>
              <w:right w:val="none" w:color="FFFFFF" w:sz="0"/>
            </w:tcBorders>
            <w:shd w:fill="FFF8ED" w:val="clear"/>
            <w:tcMar>
              <w:top w:type="dxa" w:w="120"/>
              <w:left w:type="dxa" w:w="180"/>
              <w:bottom w:type="dxa" w:w="120"/>
              <w:right w:type="dxa" w:w="200"/>
            </w:tcMar>
          </w:tcPr>
          <w:p>
            <w:pPr>
              <w:spacing w:after="80" w:before="0"/>
            </w:pPr>
            <w:r>
              <w:rPr>
                <w:rFonts w:ascii="Arial" w:cs="Arial" w:eastAsia="Arial" w:hAnsi="Arial"/>
                <w:b/>
                <w:bCs/>
                <w:color w:val="C07000"/>
                <w:sz w:val="19"/>
                <w:szCs w:val="19"/>
              </w:rPr>
              <w:t xml:space="preserve">🇺🇸 Shark Tank (États-Unis)</w:t>
            </w:r>
          </w:p>
          <w:p>
            <w:pPr>
              <w:jc w:val="both"/>
            </w:pPr>
            <w:r>
              <w:rPr>
                <w:rFonts w:ascii="Arial" w:cs="Arial" w:eastAsia="Arial" w:hAnsi="Arial"/>
                <w:color w:val="1A1A1A"/>
                <w:sz w:val="21"/>
                <w:szCs w:val="21"/>
              </w:rPr>
              <w:t xml:space="preserve">Les candidats viennent écraser leurs compétiteurs, prendre des parts de marché, dominer leur catégorie. Les requins testent l'ambition, la combativité, la capacité à scaler. Le vocabulaire dominant : deal, equity, dominate, scale, out-compete. La tension dramatique vient de la férocité de la négociation et de la bataille pour les meilleures conditions.</w:t>
            </w:r>
          </w:p>
        </w:tc>
      </w:tr>
    </w:tbl>
    <w:p>
      <w:pPr>
        <w:spacing w:after="140" w:before="0"/>
      </w:pPr>
      <w:r>
        <w:t xml:space="preserve"/>
      </w:r>
    </w:p>
    <w:p>
      <w:pPr>
        <w:spacing w:after="160" w:before="0"/>
        <w:jc w:val="both"/>
      </w:pPr>
      <w:r>
        <w:rPr>
          <w:rFonts w:ascii="Arial" w:cs="Arial" w:eastAsia="Arial" w:hAnsi="Arial"/>
          <w:b w:val="false"/>
          <w:bCs w:val="false"/>
          <w:i w:val="false"/>
          <w:iCs w:val="false"/>
          <w:color w:val="1A1A1A"/>
          <w:sz w:val="22"/>
          <w:szCs w:val="22"/>
        </w:rPr>
        <w:t xml:space="preserve">Ce n'est pas un hasard éditorial. C'est un miroir de ce que chaque société valorise chez un entrepreneur. Au Canada francophone, le bon entrepreneur est prudent, ancré, responsable. Aux États-Unis, le bon entrepreneur est un prédateur discipliné. Les deux émissions donnent à leurs téléspectateurs — futurs entrepreneurs, jeunes professionnels, dirigeants de PME — un modèle d'aspiration radicalement différent.</w:t>
      </w:r>
    </w:p>
    <w:p>
      <w:pPr>
        <w:spacing w:after="160" w:before="0"/>
        <w:jc w:val="both"/>
      </w:pPr>
      <w:r>
        <w:rPr>
          <w:rFonts w:ascii="Arial" w:cs="Arial" w:eastAsia="Arial" w:hAnsi="Arial"/>
          <w:color w:val="1A1A1A"/>
          <w:sz w:val="22"/>
          <w:szCs w:val="22"/>
        </w:rPr>
        <w:t xml:space="preserve">Et ce modèle d'aspiration, vu des milliers de fois sur un écran, finit par </w:t>
      </w:r>
      <w:r>
        <w:rPr>
          <w:rFonts w:ascii="Arial" w:cs="Arial" w:eastAsia="Arial" w:hAnsi="Arial"/>
          <w:b/>
          <w:bCs/>
          <w:color w:val="1A1A1A"/>
          <w:sz w:val="22"/>
          <w:szCs w:val="22"/>
        </w:rPr>
        <w:t xml:space="preserve">définir ce que les gens se permettent de vouloir</w:t>
      </w:r>
      <w:r>
        <w:rPr>
          <w:rFonts w:ascii="Arial" w:cs="Arial" w:eastAsia="Arial" w:hAnsi="Arial"/>
          <w:color w:val="1A1A1A"/>
          <w:sz w:val="22"/>
          <w:szCs w:val="22"/>
        </w:rPr>
        <w:t xml:space="preserve">. C'est exactement ce que Boroditsky mesure en laboratoire — à l'échelle d'une culture entière, diffusé chaque semaine à l'heure de grande écoute.</w:t>
      </w:r>
    </w:p>
    <w:p>
      <w:pPr>
        <w:spacing w:after="80" w:before="0"/>
      </w:pPr>
      <w:r>
        <w:t xml:space="preserve"/>
      </w:r>
    </w:p>
    <w:p>
      <w:pPr>
        <w:pBdr>
          <w:bottom w:val="single" w:color="0063b2" w:sz="6" w:space="1"/>
        </w:pBdr>
        <w:spacing w:after="120" w:before="320"/>
      </w:pPr>
      <w:r>
        <w:rPr>
          <w:rFonts w:ascii="Arial" w:cs="Arial" w:eastAsia="Arial" w:hAnsi="Arial"/>
          <w:b/>
          <w:bCs/>
          <w:color w:val="1A3A5C"/>
          <w:sz w:val="28"/>
          <w:szCs w:val="28"/>
        </w:rPr>
        <w:t xml:space="preserve">L'immobilier québécois : la seule forme de croissance culturellement acceptable</w:t>
      </w:r>
    </w:p>
    <w:p>
      <w:pPr>
        <w:spacing w:after="160" w:before="0"/>
        <w:jc w:val="both"/>
      </w:pPr>
      <w:r>
        <w:rPr>
          <w:rFonts w:ascii="Arial" w:cs="Arial" w:eastAsia="Arial" w:hAnsi="Arial"/>
          <w:b w:val="false"/>
          <w:bCs w:val="false"/>
          <w:i w:val="false"/>
          <w:iCs w:val="false"/>
          <w:color w:val="1A1A1A"/>
          <w:sz w:val="22"/>
          <w:szCs w:val="22"/>
        </w:rPr>
        <w:t xml:space="preserve">Il existe une exception apparente à la thèse : depuis deux ans, une véritable culture de l'investissement immobilier s'est développée au Québec. Podcasts, groupes Facebook, formations, influenceurs — l'écosystème est réel et en croissance.</w:t>
      </w:r>
    </w:p>
    <w:p>
      <w:pPr>
        <w:spacing w:after="160" w:before="0"/>
        <w:jc w:val="both"/>
      </w:pPr>
      <w:r>
        <w:rPr>
          <w:rFonts w:ascii="Arial" w:cs="Arial" w:eastAsia="Arial" w:hAnsi="Arial"/>
          <w:b w:val="false"/>
          <w:bCs w:val="false"/>
          <w:i w:val="false"/>
          <w:iCs w:val="false"/>
          <w:color w:val="1A1A1A"/>
          <w:sz w:val="22"/>
          <w:szCs w:val="22"/>
        </w:rPr>
        <w:t xml:space="preserve">Mais regardons de près ce que cette culture valorise. L'investisseur immobilier québécois achète un immeuble, le loue, encaisse les loyers. Il n'écrase pas de compétiteur — son voisin qui a un autre bloc n'est pas une menace. Il n'a pas à conquérir un marché — la demande locative existe indépendamment de ses actions commerciales. Il n'a pas à vendre quoi que ce soit — le produit se vend parce que les gens ont besoin de se loger.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8F5" w:val="clear"/>
            <w:tcMar>
              <w:top w:type="dxa" w:w="140"/>
              <w:left w:type="dxa" w:w="220"/>
              <w:bottom w:type="dxa" w:w="140"/>
              <w:right w:type="dxa" w:w="220"/>
            </w:tcMar>
          </w:tcPr>
          <w:p>
            <w:pPr>
              <w:spacing w:after="80" w:before="0"/>
            </w:pPr>
            <w:r>
              <w:rPr>
                <w:rFonts w:ascii="Arial" w:cs="Arial" w:eastAsia="Arial" w:hAnsi="Arial"/>
                <w:b/>
                <w:bCs/>
                <w:color w:val="1A3A5C"/>
                <w:sz w:val="20"/>
                <w:szCs w:val="20"/>
              </w:rPr>
              <w:t xml:space="preserve">💡  L'immobilier : croissance passive, sans compétition directe</w:t>
            </w:r>
          </w:p>
          <w:p>
            <w:pPr>
              <w:jc w:val="both"/>
            </w:pPr>
            <w:r>
              <w:rPr>
                <w:rFonts w:ascii="Arial" w:cs="Arial" w:eastAsia="Arial" w:hAnsi="Arial"/>
                <w:color w:val="1A1A1A"/>
                <w:sz w:val="21"/>
                <w:szCs w:val="21"/>
              </w:rPr>
              <w:t xml:space="preserve">La croissance par rente est culturellement compatible avec le registre québécois parce qu'elle n'exige pas les comportements qui font peur : démarcher activement, surpasser des compétiteurs, défendre une position de marché. Deux investisseurs immobiliers dans la même rue ne sont pas en compétition — ils ont tous les deux leur bloc. C'est une économie de coexistence, pas de conquête. Ce n'est pas une critique. C'est un diagnostic précis de pourquoi cette forme de croissance a trouvé preneur culturellement quand d'autres ne l'ont pas.</w:t>
            </w:r>
          </w:p>
        </w:tc>
      </w:tr>
    </w:tbl>
    <w:p>
      <w:pPr>
        <w:spacing w:after="140" w:before="0"/>
      </w:pPr>
      <w:r>
        <w:t xml:space="preserve"/>
      </w:r>
    </w:p>
    <w:p>
      <w:pPr>
        <w:spacing w:after="160" w:before="0"/>
        <w:jc w:val="both"/>
      </w:pPr>
      <w:r>
        <w:rPr>
          <w:rFonts w:ascii="Arial" w:cs="Arial" w:eastAsia="Arial" w:hAnsi="Arial"/>
          <w:b w:val="false"/>
          <w:bCs w:val="false"/>
          <w:i w:val="false"/>
          <w:iCs w:val="false"/>
          <w:color w:val="1A1A1A"/>
          <w:sz w:val="22"/>
          <w:szCs w:val="22"/>
        </w:rPr>
        <w:t xml:space="preserve">Comparez avec ce qu'exige la croissance commerciale par acquisition d'entreprises — pourtant identifiée par tous les économistes comme un levier majeur de productivité régionale. Racheter une entreprise concurrente, c'est l'absorber. Et absorber quelqu'un, dans le registre culturel québécois, ressemble à une agression. La langue ne contient pas de cadre positif pour cet acte. Aux États-Unis, se faire acquérir est souvent perçu comme une validation, une sortie glorieuse. Au Québec, la relève familiale ou la transmission à un employé de confiance reste le modèle valorisé — parce que cela ressemble à de la continuité, pas à de la conquête.</w:t>
      </w:r>
    </w:p>
    <w:p>
      <w:pPr>
        <w:spacing w:after="80" w:before="0"/>
      </w:pPr>
      <w:r>
        <w:t xml:space="preserve"/>
      </w:r>
    </w:p>
    <w:p>
      <w:pPr>
        <w:pBdr>
          <w:bottom w:val="single" w:color="0063b2" w:sz="6" w:space="1"/>
        </w:pBdr>
        <w:spacing w:after="120" w:before="320"/>
      </w:pPr>
      <w:r>
        <w:rPr>
          <w:rFonts w:ascii="Arial" w:cs="Arial" w:eastAsia="Arial" w:hAnsi="Arial"/>
          <w:b/>
          <w:bCs/>
          <w:color w:val="1A3A5C"/>
          <w:sz w:val="28"/>
          <w:szCs w:val="28"/>
        </w:rPr>
        <w:t xml:space="preserve">La résistance aux outils de productivité est une résistance au registre mental qu'ils demandent</w:t>
      </w:r>
    </w:p>
    <w:p>
      <w:pPr>
        <w:spacing w:after="160" w:before="0"/>
        <w:jc w:val="both"/>
      </w:pPr>
      <w:r>
        <w:rPr>
          <w:rFonts w:ascii="Arial" w:cs="Arial" w:eastAsia="Arial" w:hAnsi="Arial"/>
          <w:b w:val="false"/>
          <w:bCs w:val="false"/>
          <w:i w:val="false"/>
          <w:iCs w:val="false"/>
          <w:color w:val="1A1A1A"/>
          <w:sz w:val="22"/>
          <w:szCs w:val="22"/>
        </w:rPr>
        <w:t xml:space="preserve">Quand j'accompagne des dirigeants de PME régionales dans l'adoption de l'intelligence artificielle ou d'outils d'automatisation, je me heurte rarement à un problème technique. La résistance est ailleurs. Elle se formule de plusieurs manières :</w:t>
      </w:r>
    </w:p>
    <w:p>
      <w:pPr>
        <w:spacing w:after="100" w:before="0"/>
        <w:jc w:val="both"/>
      </w:pPr>
      <w:r>
        <w:rPr>
          <w:rFonts w:ascii="Arial" w:cs="Arial" w:eastAsia="Arial" w:hAnsi="Arial"/>
          <w:color w:val="1A1A1A"/>
          <w:sz w:val="22"/>
          <w:szCs w:val="22"/>
        </w:rPr>
        <w:t xml:space="preserve">« </w:t>
      </w:r>
      <w:r>
        <w:rPr>
          <w:rFonts w:ascii="Arial" w:cs="Arial" w:eastAsia="Arial" w:hAnsi="Arial"/>
          <w:i/>
          <w:iCs/>
          <w:color w:val="1A1A1A"/>
          <w:sz w:val="22"/>
          <w:szCs w:val="22"/>
        </w:rPr>
        <w:t xml:space="preserve">On ne voudrait pas que nos clients pensent qu'on est juste là pour l'argent.</w:t>
      </w:r>
      <w:r>
        <w:rPr>
          <w:rFonts w:ascii="Arial" w:cs="Arial" w:eastAsia="Arial" w:hAnsi="Arial"/>
          <w:color w:val="1A1A1A"/>
          <w:sz w:val="22"/>
          <w:szCs w:val="22"/>
        </w:rPr>
        <w:t xml:space="preserve"> »</w:t>
      </w:r>
    </w:p>
    <w:p>
      <w:pPr>
        <w:spacing w:after="100" w:before="0"/>
        <w:jc w:val="both"/>
      </w:pPr>
      <w:r>
        <w:rPr>
          <w:rFonts w:ascii="Arial" w:cs="Arial" w:eastAsia="Arial" w:hAnsi="Arial"/>
          <w:color w:val="1A1A1A"/>
          <w:sz w:val="22"/>
          <w:szCs w:val="22"/>
        </w:rPr>
        <w:t xml:space="preserve">« </w:t>
      </w:r>
      <w:r>
        <w:rPr>
          <w:rFonts w:ascii="Arial" w:cs="Arial" w:eastAsia="Arial" w:hAnsi="Arial"/>
          <w:i/>
          <w:iCs/>
          <w:color w:val="1A1A1A"/>
          <w:sz w:val="22"/>
          <w:szCs w:val="22"/>
        </w:rPr>
        <w:t xml:space="preserve">Ici, les gens savent c'est quoi une vraie relation. On n'est pas pour virer ça en machine.</w:t>
      </w:r>
      <w:r>
        <w:rPr>
          <w:rFonts w:ascii="Arial" w:cs="Arial" w:eastAsia="Arial" w:hAnsi="Arial"/>
          <w:color w:val="1A1A1A"/>
          <w:sz w:val="22"/>
          <w:szCs w:val="22"/>
        </w:rPr>
        <w:t xml:space="preserve"> »</w:t>
      </w:r>
    </w:p>
    <w:p>
      <w:pPr>
        <w:spacing w:after="160" w:before="0"/>
        <w:jc w:val="both"/>
      </w:pPr>
      <w:r>
        <w:rPr>
          <w:rFonts w:ascii="Arial" w:cs="Arial" w:eastAsia="Arial" w:hAnsi="Arial"/>
          <w:color w:val="1A1A1A"/>
          <w:sz w:val="22"/>
          <w:szCs w:val="22"/>
        </w:rPr>
        <w:t xml:space="preserve">« </w:t>
      </w:r>
      <w:r>
        <w:rPr>
          <w:rFonts w:ascii="Arial" w:cs="Arial" w:eastAsia="Arial" w:hAnsi="Arial"/>
          <w:i/>
          <w:iCs/>
          <w:color w:val="1A1A1A"/>
          <w:sz w:val="22"/>
          <w:szCs w:val="22"/>
        </w:rPr>
        <w:t xml:space="preserve">J'ai peur que mes employés pensent que je veux me débarrasser d'eux.</w:t>
      </w:r>
      <w:r>
        <w:rPr>
          <w:rFonts w:ascii="Arial" w:cs="Arial" w:eastAsia="Arial" w:hAnsi="Arial"/>
          <w:color w:val="1A1A1A"/>
          <w:sz w:val="22"/>
          <w:szCs w:val="22"/>
        </w:rPr>
        <w:t xml:space="preserve"> »</w:t>
      </w:r>
    </w:p>
    <w:p>
      <w:pPr>
        <w:spacing w:after="160" w:before="0"/>
        <w:jc w:val="both"/>
      </w:pPr>
      <w:r>
        <w:rPr>
          <w:rFonts w:ascii="Arial" w:cs="Arial" w:eastAsia="Arial" w:hAnsi="Arial"/>
          <w:b w:val="false"/>
          <w:bCs w:val="false"/>
          <w:i w:val="false"/>
          <w:iCs w:val="false"/>
          <w:color w:val="1A1A1A"/>
          <w:sz w:val="22"/>
          <w:szCs w:val="22"/>
        </w:rPr>
        <w:t xml:space="preserve">Ces objections ont une cohérence parfaite dans le registre culturel québécois. Optimiser, c'est prioriser l'efficacité sur la relation. Automatiser, c'est mettre le profit avant les gens. Vouloir croître plus vite que ses voisins, c'est suspect. La productivité elle-même devient une valeur moralement douteuse quand la langue dans laquelle on pense les affaires encode la communauté comme valeur première.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D" w:val="clear"/>
            <w:tcMar>
              <w:top w:type="dxa" w:w="140"/>
              <w:left w:type="dxa" w:w="220"/>
              <w:bottom w:type="dxa" w:w="140"/>
              <w:right w:type="dxa" w:w="220"/>
            </w:tcMar>
          </w:tcPr>
          <w:p>
            <w:pPr>
              <w:spacing w:after="80" w:before="0"/>
            </w:pPr>
            <w:r>
              <w:rPr>
                <w:rFonts w:ascii="Arial" w:cs="Arial" w:eastAsia="Arial" w:hAnsi="Arial"/>
                <w:b/>
                <w:bCs/>
                <w:color w:val="1A3A5C"/>
                <w:sz w:val="20"/>
                <w:szCs w:val="20"/>
              </w:rPr>
              <w:t xml:space="preserve">📌  Ce que le dirigeant québécois doit convaincre avant de vendre un outil</w:t>
            </w:r>
          </w:p>
          <w:p>
            <w:pPr>
              <w:jc w:val="both"/>
            </w:pPr>
            <w:r>
              <w:rPr>
                <w:rFonts w:ascii="Arial" w:cs="Arial" w:eastAsia="Arial" w:hAnsi="Arial"/>
                <w:color w:val="1A1A1A"/>
                <w:sz w:val="21"/>
                <w:szCs w:val="21"/>
              </w:rPr>
              <w:t xml:space="preserve">Un entrepreneur américain qui adopte un CRM se dit : « Je vais mieux gérer mes leads et battre mes compétiteurs. » Un entrepreneur québécois doit d'abord traverser une question implicite : « Est-ce que vouloir optimiser mes ventes, c'est compatible avec qui je suis ? » Ce n'est pas de la paresse. Ce n'est pas de l'ignorance. C'est une question de permission culturelle. Et la permission doit être accordée avant que l'outil puisse être utilisé.</w:t>
            </w:r>
          </w:p>
        </w:tc>
      </w:tr>
    </w:tbl>
    <w:p>
      <w:pPr>
        <w:spacing w:after="140" w:before="0"/>
      </w:pPr>
      <w:r>
        <w:t xml:space="preserve"/>
      </w:r>
    </w:p>
    <w:p>
      <w:pPr>
        <w:spacing w:after="160" w:before="0"/>
        <w:jc w:val="both"/>
      </w:pPr>
      <w:r>
        <w:rPr>
          <w:rFonts w:ascii="Arial" w:cs="Arial" w:eastAsia="Arial" w:hAnsi="Arial"/>
          <w:b w:val="false"/>
          <w:bCs w:val="false"/>
          <w:i w:val="false"/>
          <w:iCs w:val="false"/>
          <w:color w:val="1A1A1A"/>
          <w:sz w:val="22"/>
          <w:szCs w:val="22"/>
        </w:rPr>
        <w:t xml:space="preserve">C'est pour cette raison que le même message — « cet outil va améliorer votre productivité de 40 % » — convertit massivement dans un marché anglophone et convertit mal dans un marché francophone québécois. Ce n'est pas le message qui est mauvais. C'est qu'il présuppose une permission culturelle que l'auditoire n'a pas encore accordée.</w:t>
      </w:r>
    </w:p>
    <w:p>
      <w:pPr>
        <w:spacing w:after="80" w:before="0"/>
      </w:pPr>
      <w:r>
        <w:t xml:space="preserve"/>
      </w:r>
    </w:p>
    <w:p>
      <w:pPr>
        <w:pBdr>
          <w:bottom w:val="single" w:color="0063b2" w:sz="6" w:space="1"/>
        </w:pBdr>
        <w:spacing w:after="120" w:before="320"/>
      </w:pPr>
      <w:r>
        <w:rPr>
          <w:rFonts w:ascii="Arial" w:cs="Arial" w:eastAsia="Arial" w:hAnsi="Arial"/>
          <w:b/>
          <w:bCs/>
          <w:color w:val="1A3A5C"/>
          <w:sz w:val="28"/>
          <w:szCs w:val="28"/>
        </w:rPr>
        <w:t xml:space="preserve">Le η culturel : la variable que les économistes ne mesurent pas</w:t>
      </w:r>
    </w:p>
    <w:p>
      <w:pPr>
        <w:spacing w:after="160" w:before="0"/>
        <w:jc w:val="both"/>
      </w:pPr>
      <w:r>
        <w:rPr>
          <w:rFonts w:ascii="Arial" w:cs="Arial" w:eastAsia="Arial" w:hAnsi="Arial"/>
          <w:b w:val="false"/>
          <w:bCs w:val="false"/>
          <w:i w:val="false"/>
          <w:iCs w:val="false"/>
          <w:color w:val="1A1A1A"/>
          <w:sz w:val="22"/>
          <w:szCs w:val="22"/>
        </w:rPr>
        <w:t xml:space="preserve">Dans les modèles économiques standards, la croissance du PIB s'explique par l'accumulation de capital (K), la disponibilité en énergie et ressources (EN), et un facteur d'efficacité institutionnelle souvent noté η (eta). Ma propre formulation : Y = f(K, EN×η).</w:t>
      </w:r>
    </w:p>
    <w:p>
      <w:pPr>
        <w:spacing w:after="160" w:before="0"/>
        <w:jc w:val="both"/>
      </w:pPr>
      <w:r>
        <w:rPr>
          <w:rFonts w:ascii="Arial" w:cs="Arial" w:eastAsia="Arial" w:hAnsi="Arial"/>
          <w:b w:val="false"/>
          <w:bCs w:val="false"/>
          <w:i w:val="false"/>
          <w:iCs w:val="false"/>
          <w:color w:val="1A1A1A"/>
          <w:sz w:val="22"/>
          <w:szCs w:val="22"/>
        </w:rPr>
        <w:t xml:space="preserve">Le η capture ce que les économistes appellent vaguement « qualité des institutions » ou « capital humain ». Mais il contient une composante rarement isolée : la permission culturelle d'aller chercher la productivité. Une société peut avoir le même capital, les mêmes ressources, la même technologie disponible — et produire moins, parce que ses entrepreneurs n'ont pas culturellement la permission d'optimiser à fond.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8F5" w:val="clear"/>
            <w:tcMar>
              <w:top w:type="dxa" w:w="140"/>
              <w:left w:type="dxa" w:w="220"/>
              <w:bottom w:type="dxa" w:w="140"/>
              <w:right w:type="dxa" w:w="220"/>
            </w:tcMar>
          </w:tcPr>
          <w:p>
            <w:pPr>
              <w:spacing w:after="80" w:before="0"/>
            </w:pPr>
            <w:r>
              <w:rPr>
                <w:rFonts w:ascii="Arial" w:cs="Arial" w:eastAsia="Arial" w:hAnsi="Arial"/>
                <w:b/>
                <w:bCs/>
                <w:color w:val="1A3A5C"/>
                <w:sz w:val="20"/>
                <w:szCs w:val="20"/>
              </w:rPr>
              <w:t xml:space="preserve">📊  L'écart mesuré — et la partie invisible</w:t>
            </w:r>
          </w:p>
          <w:p>
            <w:pPr>
              <w:jc w:val="both"/>
            </w:pPr>
            <w:r>
              <w:rPr>
                <w:rFonts w:ascii="Arial" w:cs="Arial" w:eastAsia="Arial" w:hAnsi="Arial"/>
                <w:color w:val="1A1A1A"/>
                <w:sz w:val="21"/>
                <w:szCs w:val="21"/>
              </w:rPr>
              <w:t xml:space="preserve">Le PIB par habitant du Québec représente environ 70 % du niveau américain (OCDE, 2024). Les explications structurelles documentées : taille du marché (8 M vs 330 M), coût du capital, structure industrielle héritée (ressources naturelles vs services à forte valeur ajoutée). Ces facteurs sont réels. Mais ils n'expliquent pas tout. La productivité par heure travaillée au Québec est également inférieure à celle de l'Ontario anglophone, avec des structures industrielles similaires. Le η culturel — la permission d'aller chercher la dernière tranche de performance — est une variable sous-estimée.</w:t>
            </w:r>
          </w:p>
        </w:tc>
      </w:tr>
    </w:tbl>
    <w:p>
      <w:pPr>
        <w:spacing w:after="140" w:before="0"/>
      </w:pPr>
      <w:r>
        <w:t xml:space="preserve"/>
      </w:r>
    </w:p>
    <w:p>
      <w:pPr>
        <w:spacing w:after="160" w:before="0"/>
        <w:jc w:val="both"/>
      </w:pPr>
      <w:r>
        <w:rPr>
          <w:rFonts w:ascii="Arial" w:cs="Arial" w:eastAsia="Arial" w:hAnsi="Arial"/>
          <w:b w:val="false"/>
          <w:bCs w:val="false"/>
          <w:i w:val="false"/>
          <w:iCs w:val="false"/>
          <w:color w:val="1A1A1A"/>
          <w:sz w:val="22"/>
          <w:szCs w:val="22"/>
        </w:rPr>
        <w:t xml:space="preserve">Le Québec n'est pas moins intelligent, moins travaillant, moins capitalisé que ses voisins. Ses entrepreneurs font souvent des produits excellents, construisent des relations durables, créent des emplois stables. Ce que la langue ne leur donne pas facilement, c'est la permission de vouloir dominer leur marché — et les outils mentaux pour le faire méthodiquement.</w:t>
      </w:r>
    </w:p>
    <w:p>
      <w:pPr>
        <w:spacing w:after="160" w:before="0"/>
        <w:jc w:val="both"/>
      </w:pPr>
      <w:r>
        <w:rPr>
          <w:rFonts w:ascii="Arial" w:cs="Arial" w:eastAsia="Arial" w:hAnsi="Arial"/>
          <w:color w:val="1A1A1A"/>
          <w:sz w:val="22"/>
          <w:szCs w:val="22"/>
        </w:rPr>
        <w:t xml:space="preserve">Ce n'est pas une fatalité. C'est un </w:t>
      </w:r>
      <w:r>
        <w:rPr>
          <w:rFonts w:ascii="Arial" w:cs="Arial" w:eastAsia="Arial" w:hAnsi="Arial"/>
          <w:b/>
          <w:bCs/>
          <w:color w:val="1A1A1A"/>
          <w:sz w:val="22"/>
          <w:szCs w:val="22"/>
        </w:rPr>
        <w:t xml:space="preserve">diagnostic économique précis</w:t>
      </w:r>
      <w:r>
        <w:rPr>
          <w:rFonts w:ascii="Arial" w:cs="Arial" w:eastAsia="Arial" w:hAnsi="Arial"/>
          <w:color w:val="1A1A1A"/>
          <w:sz w:val="22"/>
          <w:szCs w:val="22"/>
        </w:rPr>
        <w:t xml:space="preserve">. Et les diagnostics précis sont plus utiles que les encouragements généraux.</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7FF" w:val="clear"/>
            <w:tcMar>
              <w:top w:type="dxa" w:w="140"/>
              <w:left w:type="dxa" w:w="220"/>
              <w:bottom w:type="dxa" w:w="140"/>
              <w:right w:type="dxa" w:w="220"/>
            </w:tcMar>
          </w:tcPr>
          <w:p>
            <w:pPr>
              <w:spacing w:after="80" w:before="0"/>
            </w:pPr>
            <w:r>
              <w:rPr>
                <w:rFonts w:ascii="Arial" w:cs="Arial" w:eastAsia="Arial" w:hAnsi="Arial"/>
                <w:b/>
                <w:bCs/>
                <w:color w:val="1A3A5C"/>
                <w:sz w:val="20"/>
                <w:szCs w:val="20"/>
              </w:rPr>
              <w:t xml:space="preserve">🔍  Les contre-exemples qui confirment le mécanisme</w:t>
            </w:r>
          </w:p>
          <w:p>
            <w:pPr>
              <w:jc w:val="both"/>
            </w:pPr>
            <w:r>
              <w:rPr>
                <w:rFonts w:ascii="Arial" w:cs="Arial" w:eastAsia="Arial" w:hAnsi="Arial"/>
                <w:color w:val="1A1A1A"/>
                <w:sz w:val="21"/>
                <w:szCs w:val="21"/>
              </w:rPr>
              <w:t xml:space="preserve">Couche-Tard, CGI, WSP Global, Saputo, BRP, Dollarama — des entreprises québécoises qui ont bel et bien pensé en mode conquête et dominé leurs marchés. Elles démontrent que le Québec peut produire des bâtisseurs d'empire. Mais regardons ce qu'elles ont en commun : toutes opèrent principalement en anglais au niveau exécutif. Toutes ont crû par acquisition agressive dans des marchés internationaux. Toutes ont été fondées ou dirigées par des gens qui ont traversé une frontière culturelle explicite — réseau anglophone, industrie à compétition mondiale forcée, exposition internationale prolongée. Alain Bouchard de Couche-Tard est admis comme une anomalie dans le milieu des affaires québécois — admiré, rarement imité à l'échelle des PME régionales. La nuance est décisive : le Québec ne produit pas zéro conquérants. Il produit des conquérants qui ont dû s'extraire partiellement du registre culturel local pour le devenir. La permission n'était pas accordée par défaut — elle a dû être gagnée. C'est précisément le mécanisme que décrit cet article.</w:t>
            </w:r>
          </w:p>
        </w:tc>
      </w:tr>
    </w:tbl>
    <w:p>
      <w:pPr>
        <w:spacing w:after="140" w:before="0"/>
      </w:pPr>
      <w:r>
        <w:t xml:space="preserve"/>
      </w:r>
    </w:p>
    <w:p>
      <w:pPr>
        <w:pBdr>
          <w:bottom w:val="single" w:color="0063b2" w:sz="6" w:space="1"/>
        </w:pBdr>
        <w:spacing w:after="120" w:before="320"/>
      </w:pPr>
      <w:r>
        <w:rPr>
          <w:rFonts w:ascii="Arial" w:cs="Arial" w:eastAsia="Arial" w:hAnsi="Arial"/>
          <w:b/>
          <w:bCs/>
          <w:color w:val="1A3A5C"/>
          <w:sz w:val="28"/>
          <w:szCs w:val="28"/>
        </w:rPr>
        <w:t xml:space="preserve">Trois implications concrètes pour un entrepreneur québécois qui veut grandir</w:t>
      </w:r>
    </w:p>
    <w:p>
      <w:pPr>
        <w:spacing w:after="160" w:before="0"/>
        <w:jc w:val="both"/>
      </w:pPr>
      <w:r>
        <w:rPr>
          <w:rFonts w:ascii="Arial" w:cs="Arial" w:eastAsia="Arial" w:hAnsi="Arial"/>
          <w:b w:val="false"/>
          <w:bCs w:val="false"/>
          <w:i w:val="false"/>
          <w:iCs w:val="false"/>
          <w:color w:val="1A1A1A"/>
          <w:sz w:val="22"/>
          <w:szCs w:val="22"/>
        </w:rPr>
        <w:t xml:space="preserve">Le diagnostic n'est utile que s'il change quelque chose. Voici ce qu'il implique pratiquement.</w:t>
      </w:r>
    </w:p>
    <w:p>
      <w:pPr>
        <w:spacing w:after="160" w:before="0"/>
        <w:jc w:val="both"/>
      </w:pPr>
      <w:r>
        <w:rPr>
          <w:rFonts w:ascii="Arial" w:cs="Arial" w:eastAsia="Arial" w:hAnsi="Arial"/>
          <w:b w:val="false"/>
          <w:bCs w:val="false"/>
          <w:i w:val="false"/>
          <w:iCs w:val="false"/>
          <w:color w:val="1A1A1A"/>
          <w:sz w:val="22"/>
          <w:szCs w:val="22"/>
        </w:rPr>
        <w:t xml:space="preserve">Première implication : avant d'adopter un outil ou une stratégie de croissance, identifier explicitement l'objection culturelle implicite. « Mes clients vont penser que je veux juste leur argent » — c'est une objection culturelle, pas commerciale. Elle se traite différemment qu'une objection sur le prix ou la fiabilité du produit.</w:t>
      </w:r>
    </w:p>
    <w:p>
      <w:pPr>
        <w:spacing w:after="160" w:before="0"/>
        <w:jc w:val="both"/>
      </w:pPr>
      <w:r>
        <w:rPr>
          <w:rFonts w:ascii="Arial" w:cs="Arial" w:eastAsia="Arial" w:hAnsi="Arial"/>
          <w:b w:val="false"/>
          <w:bCs w:val="false"/>
          <w:i w:val="false"/>
          <w:iCs w:val="false"/>
          <w:color w:val="1A1A1A"/>
          <w:sz w:val="22"/>
          <w:szCs w:val="22"/>
        </w:rPr>
        <w:t xml:space="preserve">Deuxième implication : la formation en vente et en marketing au Québec doit d'abord travailler la permission avant de travailler la technique. Enseigner comment closer sans d'abord déconstruire la honte culturelle liée à l'acte de vendre, c'est construire sur un terrain instable. C'est pourquoi les résultats des formations de vente au Québec sont souvent décevants — non pas parce que les formateurs sont mauvais, mais parce qu'ils sautent la première étape.</w:t>
      </w:r>
    </w:p>
    <w:p>
      <w:pPr>
        <w:spacing w:after="160" w:before="0"/>
        <w:jc w:val="both"/>
      </w:pPr>
      <w:r>
        <w:rPr>
          <w:rFonts w:ascii="Arial" w:cs="Arial" w:eastAsia="Arial" w:hAnsi="Arial"/>
          <w:b w:val="false"/>
          <w:bCs w:val="false"/>
          <w:i w:val="false"/>
          <w:iCs w:val="false"/>
          <w:color w:val="1A1A1A"/>
          <w:sz w:val="22"/>
          <w:szCs w:val="22"/>
        </w:rPr>
        <w:t xml:space="preserve">Troisième implication : les entrepreneurs québécois qui réussissent à grande échelle sont presque toujours des gens qui ont, d'une façon ou d'une autre, traversé la frontière culturelle — soit par une exposition prolongée au contenu anglophone, soit par une expérience hors Québec, soit par un réseau qui normalise l'ambition commerciale. Ce n'est pas un accident. C'est le mécanisme.</w:t>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5F8" w:val="clear"/>
            <w:tcMar>
              <w:top w:type="dxa" w:w="160"/>
              <w:left w:type="dxa" w:w="240"/>
              <w:bottom w:type="dxa" w:w="160"/>
              <w:right w:type="dxa" w:w="240"/>
            </w:tcMar>
          </w:tcPr>
          <w:p>
            <w:pPr>
              <w:spacing w:after="100" w:before="0"/>
            </w:pPr>
            <w:r>
              <w:rPr>
                <w:rFonts w:ascii="Arial" w:cs="Arial" w:eastAsia="Arial" w:hAnsi="Arial"/>
                <w:b/>
                <w:bCs/>
                <w:caps/>
                <w:color w:val="1A3A5C"/>
                <w:sz w:val="20"/>
                <w:szCs w:val="20"/>
              </w:rPr>
              <w:t xml:space="preserve">CE QU'IL FAUT RETENIR</w:t>
            </w:r>
          </w:p>
          <w:p>
            <w:pPr>
              <w:spacing w:after="80" w:before="0"/>
              <w:jc w:val="both"/>
            </w:pPr>
            <w:r>
              <w:rPr>
                <w:rFonts w:ascii="Arial" w:cs="Arial" w:eastAsia="Arial" w:hAnsi="Arial"/>
                <w:b/>
                <w:bCs/>
                <w:color w:val="0063b2"/>
                <w:sz w:val="21"/>
                <w:szCs w:val="21"/>
              </w:rPr>
              <w:t xml:space="preserve">→  </w:t>
            </w:r>
            <w:r>
              <w:rPr>
                <w:rFonts w:ascii="Arial" w:cs="Arial" w:eastAsia="Arial" w:hAnsi="Arial"/>
                <w:color w:val="1A1A1A"/>
                <w:sz w:val="21"/>
                <w:szCs w:val="21"/>
              </w:rPr>
              <w:t xml:space="preserve">L'Œil du dragon encode la prudence et la responsabilité communautaire. Shark Tank encode la conquête et l'ambition. Les deux façonnent les modèles d'aspiration de leurs téléspectateurs.</w:t>
            </w:r>
          </w:p>
          <w:p>
            <w:pPr>
              <w:spacing w:after="80" w:before="0"/>
              <w:jc w:val="both"/>
            </w:pPr>
            <w:r>
              <w:rPr>
                <w:rFonts w:ascii="Arial" w:cs="Arial" w:eastAsia="Arial" w:hAnsi="Arial"/>
                <w:b/>
                <w:bCs/>
                <w:color w:val="0063b2"/>
                <w:sz w:val="21"/>
                <w:szCs w:val="21"/>
              </w:rPr>
              <w:t xml:space="preserve">→  </w:t>
            </w:r>
            <w:r>
              <w:rPr>
                <w:rFonts w:ascii="Arial" w:cs="Arial" w:eastAsia="Arial" w:hAnsi="Arial"/>
                <w:color w:val="1A1A1A"/>
                <w:sz w:val="21"/>
                <w:szCs w:val="21"/>
              </w:rPr>
              <w:t xml:space="preserve">L'immobilier est la seule forme de croissance québécoise sans compétition directe — ce qui explique son acceptation culturelle là où d'autres stratégies de croissance sont perçues avec méfiance.</w:t>
            </w:r>
          </w:p>
          <w:p>
            <w:pPr>
              <w:spacing w:after="80" w:before="0"/>
              <w:jc w:val="both"/>
            </w:pPr>
            <w:r>
              <w:rPr>
                <w:rFonts w:ascii="Arial" w:cs="Arial" w:eastAsia="Arial" w:hAnsi="Arial"/>
                <w:b/>
                <w:bCs/>
                <w:color w:val="0063b2"/>
                <w:sz w:val="21"/>
                <w:szCs w:val="21"/>
              </w:rPr>
              <w:t xml:space="preserve">→  </w:t>
            </w:r>
            <w:r>
              <w:rPr>
                <w:rFonts w:ascii="Arial" w:cs="Arial" w:eastAsia="Arial" w:hAnsi="Arial"/>
                <w:color w:val="1A1A1A"/>
                <w:sz w:val="21"/>
                <w:szCs w:val="21"/>
              </w:rPr>
              <w:t xml:space="preserve">La résistance aux outils de productivité n'est pas technologique — c'est une question de permission culturelle préalable.</w:t>
            </w:r>
          </w:p>
          <w:p>
            <w:pPr>
              <w:spacing w:after="80" w:before="0"/>
              <w:jc w:val="both"/>
            </w:pPr>
            <w:r>
              <w:rPr>
                <w:rFonts w:ascii="Arial" w:cs="Arial" w:eastAsia="Arial" w:hAnsi="Arial"/>
                <w:b/>
                <w:bCs/>
                <w:color w:val="0063b2"/>
                <w:sz w:val="21"/>
                <w:szCs w:val="21"/>
              </w:rPr>
              <w:t xml:space="preserve">→  </w:t>
            </w:r>
            <w:r>
              <w:rPr>
                <w:rFonts w:ascii="Arial" w:cs="Arial" w:eastAsia="Arial" w:hAnsi="Arial"/>
                <w:color w:val="1A1A1A"/>
                <w:sz w:val="21"/>
                <w:szCs w:val="21"/>
              </w:rPr>
              <w:t xml:space="preserve">Le η culturel dans Y = f(K, EN×η) est la variable sous-estimée qui explique une partie de l'écart de PIB par habitant entre le Québec et ses voisins anglophones.</w:t>
            </w:r>
          </w:p>
          <w:p>
            <w:pPr>
              <w:spacing w:after="80" w:before="0"/>
              <w:jc w:val="both"/>
            </w:pPr>
            <w:r>
              <w:rPr>
                <w:rFonts w:ascii="Arial" w:cs="Arial" w:eastAsia="Arial" w:hAnsi="Arial"/>
                <w:b/>
                <w:bCs/>
                <w:color w:val="0063b2"/>
                <w:sz w:val="21"/>
                <w:szCs w:val="21"/>
              </w:rPr>
              <w:t xml:space="preserve">→  </w:t>
            </w:r>
            <w:r>
              <w:rPr>
                <w:rFonts w:ascii="Arial" w:cs="Arial" w:eastAsia="Arial" w:hAnsi="Arial"/>
                <w:color w:val="1A1A1A"/>
                <w:sz w:val="21"/>
                <w:szCs w:val="21"/>
              </w:rPr>
              <w:t xml:space="preserve">Les formations de vente au Québec échouent souvent parce qu'elles enseignent la technique avant d'accorder la permission. L'ordre est inversé.</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3b2" w:sz="8"/>
              <w:left w:val="none" w:color="FFFFFF" w:sz="0"/>
              <w:bottom w:val="none" w:color="FFFFFF" w:sz="0"/>
              <w:right w:val="none" w:color="FFFFFF" w:sz="0"/>
            </w:tcBorders>
            <w:shd w:fill="F8FBFF" w:val="clear"/>
            <w:tcMar>
              <w:top w:type="dxa" w:w="160"/>
              <w:left w:type="dxa" w:w="0"/>
              <w:bottom w:type="dxa" w:w="160"/>
              <w:right w:type="dxa" w:w="0"/>
            </w:tcMar>
          </w:tcPr>
          <w:p>
            <w:pPr>
              <w:spacing w:after="100" w:before="0"/>
            </w:pPr>
            <w:r>
              <w:rPr>
                <w:rFonts w:ascii="Arial" w:cs="Arial" w:eastAsia="Arial" w:hAnsi="Arial"/>
                <w:b/>
                <w:bCs/>
                <w:caps/>
                <w:color w:val="0063b2"/>
                <w:sz w:val="18"/>
                <w:szCs w:val="18"/>
              </w:rPr>
              <w:t xml:space="preserve">NOTE PERSONNELLE</w:t>
            </w:r>
          </w:p>
          <w:p>
            <w:pPr>
              <w:spacing w:after="120" w:before="0"/>
              <w:jc w:val="both"/>
            </w:pPr>
            <w:r>
              <w:rPr>
                <w:rFonts w:ascii="Arial" w:cs="Arial" w:eastAsia="Arial" w:hAnsi="Arial"/>
                <w:i/>
                <w:iCs/>
                <w:color w:val="1A1A1A"/>
                <w:sz w:val="21"/>
                <w:szCs w:val="21"/>
              </w:rPr>
              <w:t xml:space="preserve">Je travaille depuis plusieurs années à convaincre des PME régionales d'adopter des outils qui transforment leur productivité. La résistance que je rencontre n'est pas technique — elle est identitaire. Ces entrepreneurs ne rejettent pas l'outil. Ils rejettent inconsciemment le type de personne que l'outil leur demande de devenir : quelqu'un qui optimise, qui cherche le dessus, qui veut écraser la compétition. Ce langage-là sonne faux dans leur bouche. Alors j'ai appris à changer de vocabulaire. Je ne parle plus d'optimiser les ventes — je parle de mieux servir les clients existants. Je ne parle plus de croissance agressive — je parle de pérennité et de transmission. Ce n'est pas de la manipulation. C'est de la traduction culturelle. Et c'est, je crois, le travail le plus important qu'on puisse faire pour la productivité des régions du Québec.</w:t>
            </w:r>
          </w:p>
          <w:p>
            <w:r>
              <w:rPr>
                <w:rFonts w:ascii="Arial" w:cs="Arial" w:eastAsia="Arial" w:hAnsi="Arial"/>
                <w:b/>
                <w:bCs/>
                <w:color w:val="0063b2"/>
                <w:sz w:val="20"/>
                <w:szCs w:val="20"/>
              </w:rPr>
              <w:t xml:space="preserve">— Pascal Gagnon, Roberval · Avril 2026</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rFonts w:ascii="Arial" w:cs="Arial" w:eastAsia="Arial" w:hAnsi="Arial"/>
        <w:color w:val="888888"/>
        <w:sz w:val="17"/>
        <w:szCs w:val="17"/>
      </w:rPr>
      <w:t xml:space="preserve">pascalgagnon.ca  ·  Lac-Saint-Jean, Québec</w:t>
    </w:r>
    <w:r>
      <w:rPr>
        <w:rFonts w:ascii="Arial" w:cs="Arial" w:eastAsia="Arial" w:hAnsi="Arial"/>
        <w:sz w:val="17"/>
        <w:szCs w:val="17"/>
      </w:rPr>
      <w:t xml:space="preserve">	</w:t>
    </w:r>
    <w:fldSimple w:instr="PAGE">
      <w:r>
        <w:rPr>
          <w:rFonts w:ascii="Arial" w:cs="Arial" w:eastAsia="Arial" w:hAnsi="Arial"/>
          <w:color w:val="888888"/>
          <w:sz w:val="17"/>
          <w:szCs w:val="17"/>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3b2" w:sz="4" w:space="1"/>
      </w:pBdr>
      <w:tabs>
        <w:tab w:val="right" w:pos="9026"/>
      </w:tabs>
    </w:pPr>
    <w:r>
      <w:rPr>
        <w:rFonts w:ascii="Arial" w:cs="Arial" w:eastAsia="Arial" w:hAnsi="Arial"/>
        <w:color w:val="0063b2"/>
        <w:sz w:val="18"/>
        <w:szCs w:val="18"/>
      </w:rPr>
      <w:t xml:space="preserve">pascalgagnon.ca</w:t>
    </w:r>
    <w:r>
      <w:rPr>
        <w:rFonts w:ascii="Arial" w:cs="Arial" w:eastAsia="Arial" w:hAnsi="Arial"/>
        <w:sz w:val="18"/>
        <w:szCs w:val="18"/>
      </w:rPr>
      <w:t xml:space="preserve">	</w:t>
    </w:r>
    <w:r>
      <w:rPr>
        <w:rFonts w:ascii="Arial" w:cs="Arial" w:eastAsia="Arial" w:hAnsi="Arial"/>
        <w:i/>
        <w:iCs/>
        <w:color w:val="888888"/>
        <w:sz w:val="18"/>
        <w:szCs w:val="18"/>
      </w:rPr>
      <w:t xml:space="preserve">Série : La langue des affaires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2026-04-20T14:01:22.631Z</dcterms:created>
  <dcterms:modified xsi:type="dcterms:W3CDTF">2026-04-20T14:01:22.632Z</dcterms:modified>
</cp:coreProperties>
</file>

<file path=docProps/custom.xml><?xml version="1.0" encoding="utf-8"?>
<Properties xmlns="http://schemas.openxmlformats.org/officeDocument/2006/custom-properties" xmlns:vt="http://schemas.openxmlformats.org/officeDocument/2006/docPropsVTypes"/>
</file>