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40"/>
              <w:left w:type="dxa" w:w="280"/>
              <w:bottom w:type="dxa" w:w="240"/>
              <w:right w:type="dxa" w:w="280"/>
            </w:tcMar>
          </w:tcPr>
          <w:p>
            <w:pPr>
              <w:spacing w:after="80" w:before="0"/>
            </w:pPr>
            <w:r>
              <w:rPr>
                <w:rFonts w:ascii="Arial" w:cs="Arial" w:eastAsia="Arial" w:hAnsi="Arial"/>
                <w:b/>
                <w:bCs/>
                <w:caps/>
                <w:color w:val="8BB8D8"/>
                <w:sz w:val="17"/>
                <w:szCs w:val="17"/>
              </w:rPr>
              <w:t xml:space="preserve">TRADUCTION CULTURELLE  ·  PERMISSION  ·  SÉRIE : LA LANGUE DES AFFAIRES — ARTICLE 3/3</w:t>
            </w:r>
          </w:p>
          <w:p>
            <w:pPr>
              <w:spacing w:after="60" w:before="0"/>
            </w:pPr>
            <w:r>
              <w:rPr>
                <w:rFonts w:ascii="Arial" w:cs="Arial" w:eastAsia="Arial" w:hAnsi="Arial"/>
                <w:b/>
                <w:bCs/>
                <w:color w:val="FFFFFF"/>
                <w:sz w:val="44"/>
                <w:szCs w:val="44"/>
              </w:rPr>
              <w:t xml:space="preserve">Pourquoi je fais ça en français</w:t>
            </w:r>
          </w:p>
          <w:p>
            <w:pPr>
              <w:spacing w:after="100" w:before="0"/>
            </w:pPr>
            <w:r>
              <w:rPr>
                <w:rFonts w:ascii="Arial" w:cs="Arial" w:eastAsia="Arial" w:hAnsi="Arial"/>
                <w:i/>
                <w:iCs/>
                <w:color w:val="C8DCF0"/>
                <w:sz w:val="22"/>
                <w:szCs w:val="22"/>
              </w:rPr>
              <w:t xml:space="preserve">Ce n'est pas juste une question de marché. C'est une question de qui doit faire ce travail — et depuis où.</w:t>
            </w:r>
          </w:p>
          <w:p>
            <w:pPr>
              <w:spacing w:after="0" w:before="0"/>
            </w:pPr>
            <w:r>
              <w:rPr>
                <w:rFonts w:ascii="Arial" w:cs="Arial" w:eastAsia="Arial" w:hAnsi="Arial"/>
                <w:color w:val="8BB8D8"/>
                <w:sz w:val="18"/>
                <w:szCs w:val="18"/>
              </w:rPr>
              <w:t xml:space="preserve">Pascal Gagnon  ·  Avril 2026  ·  Lecture : 11 min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3A5C" w:val="clear"/>
            <w:tcMar>
              <w:top w:type="dxa" w:w="100"/>
              <w:left w:type="dxa" w:w="140"/>
              <w:bottom w:type="dxa" w:w="100"/>
              <w:right w:type="dxa" w:w="140"/>
            </w:tcMar>
          </w:tcPr>
          <w:p>
            <w:pPr>
              <w:jc w:val="center"/>
            </w:pPr>
            <w:r>
              <w:rPr>
                <w:rFonts w:ascii="Arial" w:cs="Arial" w:eastAsia="Arial" w:hAnsi="Arial"/>
                <w:b/>
                <w:bCs/>
                <w:color w:val="4FC3F7"/>
                <w:sz w:val="44"/>
                <w:szCs w:val="44"/>
              </w:rPr>
              <w:t xml:space="preserve">90 %</w:t>
            </w:r>
          </w:p>
          <w:p>
            <w:pPr>
              <w:jc w:val="center"/>
            </w:pPr>
            <w:r>
              <w:rPr>
                <w:rFonts w:ascii="Arial" w:cs="Arial" w:eastAsia="Arial" w:hAnsi="Arial"/>
                <w:b/>
                <w:bCs/>
                <w:color w:val="FFFFFF"/>
                <w:sz w:val="18"/>
                <w:szCs w:val="18"/>
              </w:rPr>
              <w:t xml:space="preserve">de mon contenu éducatif</w:t>
            </w:r>
          </w:p>
          <w:p>
            <w:pPr>
              <w:jc w:val="center"/>
            </w:pPr>
            <w:r>
              <w:rPr>
                <w:rFonts w:ascii="Arial" w:cs="Arial" w:eastAsia="Arial" w:hAnsi="Arial"/>
                <w:color w:val="8BB8D8"/>
                <w:sz w:val="16"/>
                <w:szCs w:val="16"/>
              </w:rPr>
              <w:t xml:space="preserve">consommé en anglais</w:t>
            </w:r>
          </w:p>
        </w:tc>
        <w:tc>
          <w:tcPr>
            <w:tcW w:type="dxa" w:w="3120"/>
            <w:tcBorders>
              <w:top w:val="none" w:color="FFFFFF" w:sz="0"/>
              <w:left w:val="none" w:color="FFFFFF" w:sz="0"/>
              <w:bottom w:val="none" w:color="FFFFFF" w:sz="0"/>
              <w:right w:val="none" w:color="FFFFFF" w:sz="0"/>
            </w:tcBorders>
            <w:shd w:fill="1A3A5C" w:val="clear"/>
            <w:tcMar>
              <w:top w:type="dxa" w:w="100"/>
              <w:left w:type="dxa" w:w="140"/>
              <w:bottom w:type="dxa" w:w="100"/>
              <w:right w:type="dxa" w:w="140"/>
            </w:tcMar>
          </w:tcPr>
          <w:p>
            <w:pPr>
              <w:jc w:val="center"/>
            </w:pPr>
            <w:r>
              <w:rPr>
                <w:rFonts w:ascii="Arial" w:cs="Arial" w:eastAsia="Arial" w:hAnsi="Arial"/>
                <w:b/>
                <w:bCs/>
                <w:color w:val="4FC3F7"/>
                <w:sz w:val="44"/>
                <w:szCs w:val="44"/>
              </w:rPr>
              <w:t xml:space="preserve">8 M</w:t>
            </w:r>
          </w:p>
          <w:p>
            <w:pPr>
              <w:jc w:val="center"/>
            </w:pPr>
            <w:r>
              <w:rPr>
                <w:rFonts w:ascii="Arial" w:cs="Arial" w:eastAsia="Arial" w:hAnsi="Arial"/>
                <w:b/>
                <w:bCs/>
                <w:color w:val="FFFFFF"/>
                <w:sz w:val="18"/>
                <w:szCs w:val="18"/>
              </w:rPr>
              <w:t xml:space="preserve">francophones au Québec</w:t>
            </w:r>
          </w:p>
          <w:p>
            <w:pPr>
              <w:jc w:val="center"/>
            </w:pPr>
            <w:r>
              <w:rPr>
                <w:rFonts w:ascii="Arial" w:cs="Arial" w:eastAsia="Arial" w:hAnsi="Arial"/>
                <w:color w:val="8BB8D8"/>
                <w:sz w:val="16"/>
                <w:szCs w:val="16"/>
              </w:rPr>
              <w:t xml:space="preserve">sans traducteur culturel commercial</w:t>
            </w:r>
          </w:p>
        </w:tc>
        <w:tc>
          <w:tcPr>
            <w:tcW w:type="dxa" w:w="3120"/>
            <w:tcBorders>
              <w:top w:val="none" w:color="FFFFFF" w:sz="0"/>
              <w:left w:val="none" w:color="FFFFFF" w:sz="0"/>
              <w:bottom w:val="none" w:color="FFFFFF" w:sz="0"/>
              <w:right w:val="none" w:color="FFFFFF" w:sz="0"/>
            </w:tcBorders>
            <w:shd w:fill="1A3A5C" w:val="clear"/>
            <w:tcMar>
              <w:top w:type="dxa" w:w="100"/>
              <w:left w:type="dxa" w:w="140"/>
              <w:bottom w:type="dxa" w:w="100"/>
              <w:right w:type="dxa" w:w="140"/>
            </w:tcMar>
          </w:tcPr>
          <w:p>
            <w:pPr>
              <w:jc w:val="center"/>
            </w:pPr>
            <w:r>
              <w:rPr>
                <w:rFonts w:ascii="Arial" w:cs="Arial" w:eastAsia="Arial" w:hAnsi="Arial"/>
                <w:b/>
                <w:bCs/>
                <w:color w:val="4FC3F7"/>
                <w:sz w:val="44"/>
                <w:szCs w:val="44"/>
              </w:rPr>
              <w:t xml:space="preserve">1re</w:t>
            </w:r>
          </w:p>
          <w:p>
            <w:pPr>
              <w:jc w:val="center"/>
            </w:pPr>
            <w:r>
              <w:rPr>
                <w:rFonts w:ascii="Arial" w:cs="Arial" w:eastAsia="Arial" w:hAnsi="Arial"/>
                <w:b/>
                <w:bCs/>
                <w:color w:val="FFFFFF"/>
                <w:sz w:val="18"/>
                <w:szCs w:val="18"/>
              </w:rPr>
              <w:t xml:space="preserve">condition de productivité</w:t>
            </w:r>
          </w:p>
          <w:p>
            <w:pPr>
              <w:jc w:val="center"/>
            </w:pPr>
            <w:r>
              <w:rPr>
                <w:rFonts w:ascii="Arial" w:cs="Arial" w:eastAsia="Arial" w:hAnsi="Arial"/>
                <w:color w:val="8BB8D8"/>
                <w:sz w:val="16"/>
                <w:szCs w:val="16"/>
              </w:rPr>
              <w:t xml:space="preserve">la permission d'être ambitieux</w:t>
            </w:r>
          </w:p>
        </w:tc>
      </w:tr>
    </w:tbl>
    <w:p>
      <w:pPr>
        <w:spacing w:after="240" w:before="0"/>
      </w:pPr>
      <w:r>
        <w:t xml:space="preserve"/>
      </w:r>
    </w:p>
    <w:p>
      <w:pPr>
        <w:spacing w:after="160" w:before="0"/>
        <w:jc w:val="both"/>
      </w:pPr>
      <w:r>
        <w:rPr>
          <w:rFonts w:ascii="Arial" w:cs="Arial" w:eastAsia="Arial" w:hAnsi="Arial"/>
          <w:b w:val="false"/>
          <w:bCs w:val="false"/>
          <w:i w:val="false"/>
          <w:iCs w:val="false"/>
          <w:color w:val="1A1A1A"/>
          <w:sz w:val="22"/>
          <w:szCs w:val="22"/>
        </w:rPr>
        <w:t xml:space="preserve">Je vais commencer par l'aveu qui dérange.</w:t>
      </w:r>
    </w:p>
    <w:p>
      <w:pPr>
        <w:spacing w:after="160" w:before="0"/>
        <w:jc w:val="both"/>
      </w:pPr>
      <w:r>
        <w:rPr>
          <w:rFonts w:ascii="Arial" w:cs="Arial" w:eastAsia="Arial" w:hAnsi="Arial"/>
          <w:b w:val="false"/>
          <w:bCs w:val="false"/>
          <w:i w:val="false"/>
          <w:iCs w:val="false"/>
          <w:color w:val="1A1A1A"/>
          <w:sz w:val="22"/>
          <w:szCs w:val="22"/>
        </w:rPr>
        <w:t xml:space="preserve">Je consomme 90 % de mon contenu éducatif en anglais. Pas parce que le contenu francophone est mauvais. Pas parce que je rejette ma langue. Parce que le contenu qui parle de croissance commerciale, d'optimisation, de stratégie de conquête de marché existe presque exclusivement en anglais. Les deux articles précédents de cette série l'ont documenté — les données, les palmarès, les rayons de librairie. Ce n'est pas un jugement. C'est un constat.</w:t>
      </w:r>
    </w:p>
    <w:p>
      <w:pPr>
        <w:spacing w:after="160" w:before="0"/>
        <w:jc w:val="both"/>
      </w:pPr>
      <w:r>
        <w:rPr>
          <w:rFonts w:ascii="Arial" w:cs="Arial" w:eastAsia="Arial" w:hAnsi="Arial"/>
          <w:b w:val="false"/>
          <w:bCs w:val="false"/>
          <w:i w:val="false"/>
          <w:iCs w:val="false"/>
          <w:color w:val="1A1A1A"/>
          <w:sz w:val="22"/>
          <w:szCs w:val="22"/>
        </w:rPr>
        <w:t xml:space="preserve">Et ce constat m'a posé une question pendant des années : est-ce que je devrais juste travailler en anglais ? Pour la santé métabolique, pour la stratégie d'affaires, pour l'IA appliquée aux PME — le marché anglophone est dix fois plus grand, la permission culturelle est déjà là, et les gens veulent ce que j'ai à offrir sans que j'aie à construire le cadre de permission d'abord.</w:t>
      </w:r>
    </w:p>
    <w:p>
      <w:pPr>
        <w:spacing w:after="160" w:before="160"/>
        <w:jc w:val="center"/>
      </w:pPr>
      <w:r>
        <w:rPr>
          <w:rFonts w:ascii="Arial" w:cs="Arial" w:eastAsia="Arial" w:hAnsi="Arial"/>
          <w:b/>
          <w:bCs/>
          <w:i/>
          <w:iCs/>
          <w:color w:val="1A3A5C"/>
          <w:sz w:val="24"/>
          <w:szCs w:val="24"/>
        </w:rPr>
        <w:t xml:space="preserve">« La réponse que j'ai fini par trouver : ce n'est pas une question de marché. C'est une question de qui doit faire ce travail. »</w:t>
      </w:r>
    </w:p>
    <w:p>
      <w:pPr>
        <w:spacing w:after="8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Je ne suis pas un créateur de contenu — je suis un traducteur culturel</w:t>
      </w:r>
    </w:p>
    <w:p>
      <w:pPr>
        <w:spacing w:after="160" w:before="0"/>
        <w:jc w:val="both"/>
      </w:pPr>
      <w:r>
        <w:rPr>
          <w:rFonts w:ascii="Arial" w:cs="Arial" w:eastAsia="Arial" w:hAnsi="Arial"/>
          <w:b w:val="false"/>
          <w:bCs w:val="false"/>
          <w:i w:val="false"/>
          <w:iCs w:val="false"/>
          <w:color w:val="1A1A1A"/>
          <w:sz w:val="22"/>
          <w:szCs w:val="22"/>
        </w:rPr>
        <w:t xml:space="preserve">J'ai mis du temps à nommer ce que je fais réellement. Ce n'est pas de la vulgarisation. Ce n'est pas du coaching d'affaires classique. Ce n'est pas non plus de l'enseignement.</w:t>
      </w:r>
    </w:p>
    <w:p>
      <w:pPr>
        <w:spacing w:after="160" w:before="0"/>
        <w:jc w:val="both"/>
      </w:pPr>
      <w:r>
        <w:rPr>
          <w:rFonts w:ascii="Arial" w:cs="Arial" w:eastAsia="Arial" w:hAnsi="Arial"/>
          <w:b w:val="false"/>
          <w:bCs w:val="false"/>
          <w:i w:val="false"/>
          <w:iCs w:val="false"/>
          <w:color w:val="1A1A1A"/>
          <w:sz w:val="22"/>
          <w:szCs w:val="22"/>
        </w:rPr>
        <w:t xml:space="preserve">Ce que je fais, c'est traverser une frontière culturelle dans les deux sens, et ramener ce que j'ai trouvé de l'autre côté dans un format qui a du sens ici. Je passe des heures à absorber des concepts développés dans un registre mental de conquête — Barry Sears sur l'optimisation métabolique, les grands stratèges américains du marketing, les frameworks d'automatisation des ventes — et mon travail est de les rendre praticables pour un entrepreneur de Roberval, de Dolbeau, d'Alma.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5" w:val="clear"/>
            <w:tcMar>
              <w:top w:type="dxa" w:w="140"/>
              <w:left w:type="dxa" w:w="220"/>
              <w:bottom w:type="dxa" w:w="140"/>
              <w:right w:type="dxa" w:w="220"/>
            </w:tcMar>
          </w:tcPr>
          <w:p>
            <w:pPr>
              <w:spacing w:after="80" w:before="0"/>
            </w:pPr>
            <w:r>
              <w:rPr>
                <w:rFonts w:ascii="Arial" w:cs="Arial" w:eastAsia="Arial" w:hAnsi="Arial"/>
                <w:b/>
                <w:bCs/>
                <w:color w:val="1A3A5C"/>
                <w:sz w:val="20"/>
                <w:szCs w:val="20"/>
              </w:rPr>
              <w:t xml:space="preserve">🌐  Le profil du traducteur culturel</w:t>
            </w:r>
          </w:p>
          <w:p>
            <w:pPr>
              <w:jc w:val="both"/>
            </w:pPr>
            <w:r>
              <w:rPr>
                <w:rFonts w:ascii="Arial" w:cs="Arial" w:eastAsia="Arial" w:hAnsi="Arial"/>
                <w:color w:val="1A1A1A"/>
                <w:sz w:val="21"/>
                <w:szCs w:val="21"/>
              </w:rPr>
              <w:t xml:space="preserve">Le traducteur culturel n'est pas rare par accident. Il faut réunir des conditions peu communes : une exposition prolongée et profonde aux deux registres, sans perdre ses racines dans l'un. Une capacité à penser dans les deux langues sans traduction consciente — à absorber un concept en anglais et à le restituer en français non pas comme une traduction littérale, mais comme une reformulation dans un autre système de valeurs. Et une motivation de continuer à faire ce travail ingrat : celui de construire la permission avant de livrer le contenu.</w:t>
            </w:r>
          </w:p>
        </w:tc>
      </w:tr>
    </w:tbl>
    <w:p>
      <w:pPr>
        <w:spacing w:after="140" w:before="0"/>
      </w:pPr>
      <w:r>
        <w:t xml:space="preserve"/>
      </w:r>
    </w:p>
    <w:p>
      <w:pPr>
        <w:spacing w:after="160" w:before="0"/>
        <w:jc w:val="both"/>
      </w:pPr>
      <w:r>
        <w:rPr>
          <w:rFonts w:ascii="Arial" w:cs="Arial" w:eastAsia="Arial" w:hAnsi="Arial"/>
          <w:b w:val="false"/>
          <w:bCs w:val="false"/>
          <w:i w:val="false"/>
          <w:iCs w:val="false"/>
          <w:color w:val="1A1A1A"/>
          <w:sz w:val="22"/>
          <w:szCs w:val="22"/>
        </w:rPr>
        <w:t xml:space="preserve">Ce profil, je ne l'ai pas construit délibérément. Il s'est formé sur vingt ans de curiosité tous azimuts — des podcasts en anglais sur l'économie biophysique, la santé métabolique, la stratégie d'entreprise, absorbés depuis le Lac-Saint-Jean. Un pied dans la pensée régionale québécoise, l'autre dans l'écosystème intellectuel nord-américain anglophone. La tension entre les deux, longtemps vécue comme une dissonance, est devenue une compétence.</w:t>
      </w:r>
    </w:p>
    <w:p>
      <w:pPr>
        <w:spacing w:after="8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L'anglais m'offre une salle debout. Le français m'offre une salle vide à meubler.</w:t>
      </w:r>
    </w:p>
    <w:p>
      <w:pPr>
        <w:spacing w:after="160" w:before="0"/>
        <w:jc w:val="both"/>
      </w:pPr>
      <w:r>
        <w:rPr>
          <w:rFonts w:ascii="Arial" w:cs="Arial" w:eastAsia="Arial" w:hAnsi="Arial"/>
          <w:b w:val="false"/>
          <w:bCs w:val="false"/>
          <w:i w:val="false"/>
          <w:iCs w:val="false"/>
          <w:color w:val="1A1A1A"/>
          <w:sz w:val="22"/>
          <w:szCs w:val="22"/>
        </w:rPr>
        <w:t xml:space="preserve">Voici la vérité crue sur la différence entre travailler en anglais et en français dans mes domaines de prédilection.</w:t>
      </w:r>
    </w:p>
    <w:p>
      <w:pPr>
        <w:spacing w:after="160" w:before="0"/>
        <w:jc w:val="both"/>
      </w:pPr>
      <w:r>
        <w:rPr>
          <w:rFonts w:ascii="Arial" w:cs="Arial" w:eastAsia="Arial" w:hAnsi="Arial"/>
          <w:b w:val="false"/>
          <w:bCs w:val="false"/>
          <w:i w:val="false"/>
          <w:iCs w:val="false"/>
          <w:color w:val="1A1A1A"/>
          <w:sz w:val="22"/>
          <w:szCs w:val="22"/>
        </w:rPr>
        <w:t xml:space="preserve">Quand je produis du contenu en anglais sur la santé métabolique — le jeûne intermittent, l'hyperinsulinémie, les mécanismes de l'obésité hormonale — j'entre dans une salle où les gens sont déjà debout. Ils savent que chercher à optimiser leur corps, c'est légitime. Ils veulent le edge. Même une personne en surpoids qui lutte depuis vingt ans porte en elle, si elle a grandi dans la culture anglophone, un modèle de référence où l'optimisation corporelle est une responsabilité envers soi-même. Je n'ai pas à leur vendre la permission. Je livre directement le contenu.</w:t>
      </w:r>
    </w:p>
    <w:p>
      <w:pPr>
        <w:spacing w:after="160" w:before="0"/>
        <w:jc w:val="both"/>
      </w:pPr>
      <w:r>
        <w:rPr>
          <w:rFonts w:ascii="Arial" w:cs="Arial" w:eastAsia="Arial" w:hAnsi="Arial"/>
          <w:b w:val="false"/>
          <w:bCs w:val="false"/>
          <w:i w:val="false"/>
          <w:iCs w:val="false"/>
          <w:color w:val="1A1A1A"/>
          <w:sz w:val="22"/>
          <w:szCs w:val="22"/>
        </w:rPr>
        <w:t xml:space="preserve">Quand je produis le même contenu en français québécois, la première résistance n'est pas scientifique. Elle est culturelle. « C'est tu vraiment correct de vouloir transformer son corps comme ça ? » « Est-ce que je suis pas en train de tomber dans quelque chose d'obsessionnel ? » « Les autres vont-tu penser que je suis superficiel ? » Ces questions ne surgissent pas parce que les gens sont moins intelligents ou moins motivés. Elles surgissent parce que le registre culturel dans lequel ils ont appris à penser leur corps encode la modestie, la normalité, la non-exhibition.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D" w:val="clear"/>
            <w:tcMar>
              <w:top w:type="dxa" w:w="140"/>
              <w:left w:type="dxa" w:w="220"/>
              <w:bottom w:type="dxa" w:w="140"/>
              <w:right w:type="dxa" w:w="220"/>
            </w:tcMar>
          </w:tcPr>
          <w:p>
            <w:pPr>
              <w:spacing w:after="80" w:before="0"/>
            </w:pPr>
            <w:r>
              <w:rPr>
                <w:rFonts w:ascii="Arial" w:cs="Arial" w:eastAsia="Arial" w:hAnsi="Arial"/>
                <w:b/>
                <w:bCs/>
                <w:color w:val="1A3A5C"/>
                <w:sz w:val="20"/>
                <w:szCs w:val="20"/>
              </w:rPr>
              <w:t xml:space="preserve">💡  La permission culturelle : ce qui se passe avant que le contenu compte</w:t>
            </w:r>
          </w:p>
          <w:p>
            <w:pPr>
              <w:jc w:val="both"/>
            </w:pPr>
            <w:r>
              <w:rPr>
                <w:rFonts w:ascii="Arial" w:cs="Arial" w:eastAsia="Arial" w:hAnsi="Arial"/>
                <w:color w:val="1A1A1A"/>
                <w:sz w:val="21"/>
                <w:szCs w:val="21"/>
              </w:rPr>
              <w:t xml:space="preserve">En marketing, on parle de « temperature du lead » — est-ce que le client potentiel est froid, tiède ou chaud ? Dans le marché anglophone, pour mes sujets, les leads arrivent tièdes ou chauds. La culture a déjà réchauffé le terrain. Dans le marché francophone québécois, beaucoup arrivent froids — non pas par manque d'intérêt, mais parce que la permission culturelle d'être intéressé n'a pas encore été accordée. Mon travail en français commence là où mon travail en anglais ne commence jamais : à la permission elle-même.</w:t>
            </w:r>
          </w:p>
        </w:tc>
      </w:tr>
    </w:tbl>
    <w:p>
      <w:pPr>
        <w:spacing w:after="140" w:before="0"/>
      </w:pPr>
      <w:r>
        <w:t xml:space="preserve"/>
      </w:r>
    </w:p>
    <w:p>
      <w:pPr>
        <w:spacing w:after="160" w:before="0"/>
        <w:jc w:val="both"/>
      </w:pPr>
      <w:r>
        <w:rPr>
          <w:rFonts w:ascii="Arial" w:cs="Arial" w:eastAsia="Arial" w:hAnsi="Arial"/>
          <w:b w:val="false"/>
          <w:bCs w:val="false"/>
          <w:i w:val="false"/>
          <w:iCs w:val="false"/>
          <w:color w:val="1A1A1A"/>
          <w:sz w:val="22"/>
          <w:szCs w:val="22"/>
        </w:rPr>
        <w:t xml:space="preserve">C'est pour ça que certains de mes projets sont naturellement bilingues, et que je sais dès le départ dans quelle langue je vais faire quoi. L'outil technique — le guide PDF, le programme de transformation — peut exister dans les deux langues. Mais le travail de construction de la permission doit se faire en français, localement, avec les références culturelles qui font sens ici.</w:t>
      </w:r>
    </w:p>
    <w:p>
      <w:pPr>
        <w:spacing w:after="8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Je reste en français parce que personne d'autre ne le fera depuis ici</w:t>
      </w:r>
    </w:p>
    <w:p>
      <w:pPr>
        <w:spacing w:after="160" w:before="0"/>
        <w:jc w:val="both"/>
      </w:pPr>
      <w:r>
        <w:rPr>
          <w:rFonts w:ascii="Arial" w:cs="Arial" w:eastAsia="Arial" w:hAnsi="Arial"/>
          <w:b w:val="false"/>
          <w:bCs w:val="false"/>
          <w:i w:val="false"/>
          <w:iCs w:val="false"/>
          <w:color w:val="1A1A1A"/>
          <w:sz w:val="22"/>
          <w:szCs w:val="22"/>
        </w:rPr>
        <w:t xml:space="preserve">Si la salle anglophone est plus facile à remplir, pourquoi rester en français ?</w:t>
      </w:r>
    </w:p>
    <w:p>
      <w:pPr>
        <w:spacing w:after="160" w:before="0"/>
        <w:jc w:val="both"/>
      </w:pPr>
      <w:r>
        <w:rPr>
          <w:rFonts w:ascii="Arial" w:cs="Arial" w:eastAsia="Arial" w:hAnsi="Arial"/>
          <w:b w:val="false"/>
          <w:bCs w:val="false"/>
          <w:i w:val="false"/>
          <w:iCs w:val="false"/>
          <w:color w:val="1A1A1A"/>
          <w:sz w:val="22"/>
          <w:szCs w:val="22"/>
        </w:rPr>
        <w:t xml:space="preserve">La réponse courte : parce que le travail de traduction culturelle doit être fait par quelqu'un qui vient de là. Un Américain qui essaie de convaincre un entrepreneur de Roberval d'optimiser ses ventes va se heurter à une résistance identitaire immédiate. Ce n'est pas son marché, ce n'est pas sa culture, et il ne comprend pas pourquoi le message ne passe pas. La résistance lui semblera irrationnelle.</w:t>
      </w:r>
    </w:p>
    <w:p>
      <w:pPr>
        <w:spacing w:after="160" w:before="0"/>
        <w:jc w:val="both"/>
      </w:pPr>
      <w:r>
        <w:rPr>
          <w:rFonts w:ascii="Arial" w:cs="Arial" w:eastAsia="Arial" w:hAnsi="Arial"/>
          <w:b w:val="false"/>
          <w:bCs w:val="false"/>
          <w:i w:val="false"/>
          <w:iCs w:val="false"/>
          <w:color w:val="1A1A1A"/>
          <w:sz w:val="22"/>
          <w:szCs w:val="22"/>
        </w:rPr>
        <w:t xml:space="preserve">Moi, je comprends la résistance de l'intérieur. Je l'ai vécue. Je sais que ce n'est pas de l'irrationnel — c'est une cohérence parfaite dans un système de valeurs que je respecte. Et c'est précisément cette compréhension qui me permet de construire le pont.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5" w:val="clear"/>
            <w:tcMar>
              <w:top w:type="dxa" w:w="140"/>
              <w:left w:type="dxa" w:w="220"/>
              <w:bottom w:type="dxa" w:w="140"/>
              <w:right w:type="dxa" w:w="220"/>
            </w:tcMar>
          </w:tcPr>
          <w:p>
            <w:pPr>
              <w:spacing w:after="80" w:before="0"/>
            </w:pPr>
            <w:r>
              <w:rPr>
                <w:rFonts w:ascii="Arial" w:cs="Arial" w:eastAsia="Arial" w:hAnsi="Arial"/>
                <w:b/>
                <w:bCs/>
                <w:color w:val="1A3A5C"/>
                <w:sz w:val="20"/>
                <w:szCs w:val="20"/>
              </w:rPr>
              <w:t xml:space="preserve">📌  Le vide que je cherche à combler</w:t>
            </w:r>
          </w:p>
          <w:p>
            <w:pPr>
              <w:jc w:val="both"/>
            </w:pPr>
            <w:r>
              <w:rPr>
                <w:rFonts w:ascii="Arial" w:cs="Arial" w:eastAsia="Arial" w:hAnsi="Arial"/>
                <w:color w:val="1A1A1A"/>
                <w:sz w:val="21"/>
                <w:szCs w:val="21"/>
              </w:rPr>
              <w:t xml:space="preserve">Il n'existe pas, à ma connaissance, de voix francophone québécoise qui fait ce travail de manière systématique : documenter les mécanismes de croissance économique avec rigueur, les connecter à la réalité des PME régionales, et les rendre praticables dans un registre culturel qui n'est pas naturellement porté vers la conquête commerciale. Les Affaires fait du journalisme d'affaires sérieux. Les coachs d'affaires font de l'accompagnement terrain. Mais le pont entre la pensée économique rigoureuse et la permission culturelle d'agir — ce pont-là, je ne l'ai pas encore vu construit en français depuis le Lac-Saint-Jean.</w:t>
            </w:r>
          </w:p>
        </w:tc>
      </w:tr>
    </w:tbl>
    <w:p>
      <w:pPr>
        <w:spacing w:after="140" w:before="0"/>
      </w:pPr>
      <w:r>
        <w:t xml:space="preserve"/>
      </w:r>
    </w:p>
    <w:p>
      <w:pPr>
        <w:spacing w:after="160" w:before="0"/>
        <w:jc w:val="both"/>
      </w:pPr>
      <w:r>
        <w:rPr>
          <w:rFonts w:ascii="Arial" w:cs="Arial" w:eastAsia="Arial" w:hAnsi="Arial"/>
          <w:b w:val="false"/>
          <w:bCs w:val="false"/>
          <w:i w:val="false"/>
          <w:iCs w:val="false"/>
          <w:color w:val="1A1A1A"/>
          <w:sz w:val="22"/>
          <w:szCs w:val="22"/>
        </w:rPr>
        <w:t xml:space="preserve">La portée provinciale de ce site n'est pas un défaut de vision. C'est un choix stratégique. Si je réussis à déplacer la permission culturelle de quelques degrés — à normaliser l'idée qu'un entrepreneur québécois peut vouloir dominer son marché, optimiser ses opérations et chercher la croissance agressive sans trahir ses valeurs communautaires — l'impact sur la productivité régionale sera plus grand que n'importe quel outil ou formation technique que je pourrais offrir.</w:t>
      </w:r>
    </w:p>
    <w:p>
      <w:pPr>
        <w:spacing w:after="8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Travailler dans deux registres à la fois : ce que ça change concrètement</w:t>
      </w:r>
    </w:p>
    <w:p>
      <w:pPr>
        <w:spacing w:after="160" w:before="0"/>
        <w:jc w:val="both"/>
      </w:pPr>
      <w:r>
        <w:rPr>
          <w:rFonts w:ascii="Arial" w:cs="Arial" w:eastAsia="Arial" w:hAnsi="Arial"/>
          <w:b w:val="false"/>
          <w:bCs w:val="false"/>
          <w:i w:val="false"/>
          <w:iCs w:val="false"/>
          <w:color w:val="1A1A1A"/>
          <w:sz w:val="22"/>
          <w:szCs w:val="22"/>
        </w:rPr>
        <w:t xml:space="preserve">Comprendre ce mécanisme a changé la façon dont je structure tout ce que je produis.</w:t>
      </w:r>
    </w:p>
    <w:p>
      <w:pPr>
        <w:spacing w:after="160" w:before="0"/>
        <w:jc w:val="both"/>
      </w:pPr>
      <w:r>
        <w:rPr>
          <w:rFonts w:ascii="Arial" w:cs="Arial" w:eastAsia="Arial" w:hAnsi="Arial"/>
          <w:b w:val="false"/>
          <w:bCs w:val="false"/>
          <w:i w:val="false"/>
          <w:iCs w:val="false"/>
          <w:color w:val="1A1A1A"/>
          <w:sz w:val="22"/>
          <w:szCs w:val="22"/>
        </w:rPr>
        <w:t xml:space="preserve">Pour la santé métabolique — la Méthode Reset, les vidéos éducatives sur le jeûne et l'insuline — je sais que le premier travail n'est pas d'expliquer la science. C'est de dire : chercher à transformer ton corps, c'est un acte de respect envers toi-même, pas de la vanité. Cette phrase, formulée dans le registre québécois, doit précéder toute donnée sur l'hyperinsulinémie. En anglais, elle est inutile — la culture l'a déjà dite à sa place.</w:t>
      </w:r>
    </w:p>
    <w:p>
      <w:pPr>
        <w:spacing w:after="160" w:before="0"/>
        <w:jc w:val="both"/>
      </w:pPr>
      <w:r>
        <w:rPr>
          <w:rFonts w:ascii="Arial" w:cs="Arial" w:eastAsia="Arial" w:hAnsi="Arial"/>
          <w:b w:val="false"/>
          <w:bCs w:val="false"/>
          <w:i w:val="false"/>
          <w:iCs w:val="false"/>
          <w:color w:val="1A1A1A"/>
          <w:sz w:val="22"/>
          <w:szCs w:val="22"/>
        </w:rPr>
        <w:t xml:space="preserve">Pour l'IA appliquée aux PME — mon travail quotidien — je ne commence plus par les outils. Je commence par une question : qu'est-ce qui vous empêche de vouloir être meilleur que vos compétiteurs ? La réponse à cette question me donne la résistance culturelle spécifique à cette personne. Et c'est cette résistance que je dois traverser avant que l'outil puisse être adopté.</w:t>
      </w:r>
    </w:p>
    <w:p>
      <w:pPr>
        <w:spacing w:after="160" w:before="0"/>
        <w:jc w:val="both"/>
      </w:pPr>
      <w:r>
        <w:rPr>
          <w:rFonts w:ascii="Arial" w:cs="Arial" w:eastAsia="Arial" w:hAnsi="Arial"/>
          <w:color w:val="1A1A1A"/>
          <w:sz w:val="22"/>
          <w:szCs w:val="22"/>
        </w:rPr>
        <w:t xml:space="preserve">C'est ce que j'appelle la </w:t>
      </w:r>
      <w:r>
        <w:rPr>
          <w:rFonts w:ascii="Arial" w:cs="Arial" w:eastAsia="Arial" w:hAnsi="Arial"/>
          <w:b/>
          <w:bCs/>
          <w:color w:val="1A1A1A"/>
          <w:sz w:val="22"/>
          <w:szCs w:val="22"/>
        </w:rPr>
        <w:t xml:space="preserve">séquence correcte</w:t>
      </w:r>
      <w:r>
        <w:rPr>
          <w:rFonts w:ascii="Arial" w:cs="Arial" w:eastAsia="Arial" w:hAnsi="Arial"/>
          <w:color w:val="1A1A1A"/>
          <w:sz w:val="22"/>
          <w:szCs w:val="22"/>
        </w:rPr>
        <w:t xml:space="preserve"> : permission → cadre → outil. Dans le marché anglophone, la permission est souvent déjà acquise — on peut commencer par le cadre. Dans le marché francophone québécois, on ne peut jamais sauter la première étape.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160"/>
              <w:left w:type="dxa" w:w="240"/>
              <w:bottom w:type="dxa" w:w="160"/>
              <w:right w:type="dxa" w:w="240"/>
            </w:tcMar>
          </w:tcPr>
          <w:p>
            <w:pPr>
              <w:spacing w:after="100" w:before="0"/>
            </w:pPr>
            <w:r>
              <w:rPr>
                <w:rFonts w:ascii="Arial" w:cs="Arial" w:eastAsia="Arial" w:hAnsi="Arial"/>
                <w:b/>
                <w:bCs/>
                <w:caps/>
                <w:color w:val="1A3A5C"/>
                <w:sz w:val="20"/>
                <w:szCs w:val="20"/>
              </w:rPr>
              <w:t xml:space="preserve">CE QU'IL FAUT RETENIR</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Travailler en français dans des domaines de croissance, c'est commencer par un travail que le marché anglophone n'exige jamais : construire la permission culturelle d'être ambitieux.</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Le traducteur culturel n'est pas un vulgarisateur. Il traverse une frontière dans les deux sens et reformule les concepts dans le système de valeurs de destination.</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La séquence correcte au Québec : permission → cadre → outil. Sauter la première étape explique pourquoi la plupart des formations de vente et de productivité échouent ici.</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Rester en français n'est pas un sacrifice de portée. C'est un choix stratégique : ce travail de traduction culturelle doit être fait par quelqu'un qui vient de là.</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Si la permission culturelle d'être ambitieux se déplace de quelques degrés au Québec, l'impact sur la productivité régionale dépasse tout outil ou formation technique.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3b2" w:sz="8"/>
              <w:left w:val="none" w:color="FFFFFF" w:sz="0"/>
              <w:bottom w:val="none" w:color="FFFFFF" w:sz="0"/>
              <w:right w:val="none" w:color="FFFFFF" w:sz="0"/>
            </w:tcBorders>
            <w:shd w:fill="F8FBFF" w:val="clear"/>
            <w:tcMar>
              <w:top w:type="dxa" w:w="160"/>
              <w:left w:type="dxa" w:w="0"/>
              <w:bottom w:type="dxa" w:w="160"/>
              <w:right w:type="dxa" w:w="0"/>
            </w:tcMar>
          </w:tcPr>
          <w:p>
            <w:pPr>
              <w:spacing w:after="100" w:before="0"/>
            </w:pPr>
            <w:r>
              <w:rPr>
                <w:rFonts w:ascii="Arial" w:cs="Arial" w:eastAsia="Arial" w:hAnsi="Arial"/>
                <w:b/>
                <w:bCs/>
                <w:caps/>
                <w:color w:val="0063b2"/>
                <w:sz w:val="18"/>
                <w:szCs w:val="18"/>
              </w:rPr>
              <w:t xml:space="preserve">NOTE PERSONNELLE</w:t>
            </w:r>
          </w:p>
          <w:p>
            <w:pPr>
              <w:spacing w:after="120" w:before="0"/>
              <w:jc w:val="both"/>
            </w:pPr>
            <w:r>
              <w:rPr>
                <w:rFonts w:ascii="Arial" w:cs="Arial" w:eastAsia="Arial" w:hAnsi="Arial"/>
                <w:i/>
                <w:iCs/>
                <w:color w:val="1A1A1A"/>
                <w:sz w:val="21"/>
                <w:szCs w:val="21"/>
              </w:rPr>
              <w:t xml:space="preserve">Ces trois articles, je les ai écrits d'une traite — et je réalise qu'ils décrivent quelque chose que je fais depuis longtemps sans l'avoir nommé clairement. Je suis un Jeannois qui pense en anglais les deux tiers du temps, qui a absorbé vingt ans de pensée nord-américaine sur la croissance et la performance, et qui choisit délibérément de rester en français. Pas par nostalgie, pas par militantisme linguistique. Parce que le travail que j'ai à faire est ici, dans cette salle qui n'est pas encore debout. Construire la permission — c'est le seul travail qui ne peut pas être importé.</w:t>
            </w:r>
          </w:p>
          <w:p>
            <w:r>
              <w:rPr>
                <w:rFonts w:ascii="Arial" w:cs="Arial" w:eastAsia="Arial" w:hAnsi="Arial"/>
                <w:b/>
                <w:bCs/>
                <w:color w:val="0063b2"/>
                <w:sz w:val="20"/>
                <w:szCs w:val="20"/>
              </w:rPr>
              <w:t xml:space="preserve">— Pascal Gagnon, Roberval · Avril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7"/>
        <w:szCs w:val="17"/>
      </w:rPr>
      <w:t xml:space="preserve">pascalgagnon.ca  ·  Lac-Saint-Jean, Québec</w:t>
    </w:r>
    <w:r>
      <w:t xml:space="preserve">	</w:t>
    </w:r>
    <w:fldSimple w:instr="PAGE">
      <w:r>
        <w:rPr>
          <w:rFonts w:ascii="Arial" w:cs="Arial" w:eastAsia="Arial" w:hAnsi="Arial"/>
          <w:color w:val="888888"/>
          <w:sz w:val="17"/>
          <w:szCs w:val="17"/>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3b2" w:sz="4" w:space="1"/>
      </w:pBdr>
      <w:tabs>
        <w:tab w:val="right" w:pos="9026"/>
      </w:tabs>
    </w:pPr>
    <w:r>
      <w:rPr>
        <w:rFonts w:ascii="Arial" w:cs="Arial" w:eastAsia="Arial" w:hAnsi="Arial"/>
        <w:color w:val="0063b2"/>
        <w:sz w:val="18"/>
        <w:szCs w:val="18"/>
      </w:rPr>
      <w:t xml:space="preserve">pascalgagnon.ca</w:t>
    </w:r>
    <w:r>
      <w:t xml:space="preserve">	</w:t>
    </w:r>
    <w:r>
      <w:rPr>
        <w:rFonts w:ascii="Arial" w:cs="Arial" w:eastAsia="Arial" w:hAnsi="Arial"/>
        <w:i/>
        <w:iCs/>
        <w:color w:val="888888"/>
        <w:sz w:val="18"/>
        <w:szCs w:val="18"/>
      </w:rPr>
      <w:t xml:space="preserve">Série : La langue des affaires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2026-04-20T14:10:49.210Z</dcterms:created>
  <dcterms:modified xsi:type="dcterms:W3CDTF">2026-04-20T14:10:49.212Z</dcterms:modified>
</cp:coreProperties>
</file>

<file path=docProps/custom.xml><?xml version="1.0" encoding="utf-8"?>
<Properties xmlns="http://schemas.openxmlformats.org/officeDocument/2006/custom-properties" xmlns:vt="http://schemas.openxmlformats.org/officeDocument/2006/docPropsVTypes"/>
</file>