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pascalin/biosemiotics@1f2ccb7</w:t>
        </w:r>
      </w:hyperlink>
      <w:r>
        <w:t xml:space="preserve"> </w:t>
      </w:r>
      <w:r>
        <w:t xml:space="preserve">on June 25,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multifacético, o plural, para expresarlo en términos más actuales.</w:t>
      </w:r>
      <w:r>
        <w:t xml:space="preserve"> </w:t>
      </w:r>
      <w:r>
        <w:t xml:space="preserve">De hecho se ha descrito como un campo inter- o incluso transdisciplinario, por lo que tiene mucho sentido plantearse la pregunta con respecto a su relación con la biología.</w:t>
      </w:r>
      <w:r>
        <w:t xml:space="preserve"> </w:t>
      </w:r>
      <w:r>
        <w:t xml:space="preserve">Tanto desde el punto de vista teórico, como desde el histórico o incluso del sociológico, esta pregunta resulta interesante.</w:t>
      </w:r>
      <w:r>
        <w:t xml:space="preserve"> </w:t>
      </w:r>
      <w:r>
        <w:t xml:space="preserve">Sin embargo,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r>
        <w:t xml:space="preserve"> </w:t>
      </w:r>
      <w:r>
        <w:t xml:space="preserve">Después de este examen, se propone que incluso cuando la biosemiótica, entendida en sentido amplio, tiene algunas conexiones con otras disciplinas más allá de la biología, tales como la semiótica y la filosofía, en términos estrictos se trata de una nueva teoría biológica que articula una manera original de aproximarse a los seres vivos y a los procesos biológicos.</w:t>
      </w:r>
    </w:p>
    <w:bookmarkEnd w:id="45"/>
    <w:bookmarkStart w:id="46" w:name="abstract"/>
    <w:p>
      <w:pPr>
        <w:pStyle w:val="Heading2"/>
      </w:pPr>
      <w:r>
        <w:t xml:space="preserve">Abstract</w:t>
      </w:r>
    </w:p>
    <w:p>
      <w:pPr>
        <w:pStyle w:val="FirstParagraph"/>
      </w:pPr>
      <w:r>
        <w:t xml:space="preserve">Contemporary biosemiotics is multi-faceted, or plural (to employ a more current term).</w:t>
      </w:r>
      <w:r>
        <w:t xml:space="preserve"> </w:t>
      </w:r>
      <w:r>
        <w:t xml:space="preserve">Indeed, it has been depicted as an inter- or even a transdisciplinary field, which turns the issue of its relationship with biology into a very relevant question.</w:t>
      </w:r>
      <w:r>
        <w:t xml:space="preserve"> </w:t>
      </w:r>
      <w:r>
        <w:t xml:space="preserve">This problem can be approached from a theoretical, historical, or sociological perspective.</w:t>
      </w:r>
      <w:r>
        <w:t xml:space="preserve"> </w:t>
      </w:r>
      <w:r>
        <w:t xml:space="preserve">However, based on its unclear disciplinary status and the contrived character of some theses to which it has been related, it is necessary to analyze whether bio</w:t>
      </w:r>
      <w:r>
        <w:rPr>
          <w:iCs/>
          <w:i/>
        </w:rPr>
        <w:t xml:space="preserve">semiotics</w:t>
      </w:r>
      <w:r>
        <w:t xml:space="preserve"> </w:t>
      </w:r>
      <w:r>
        <w:t xml:space="preserve">is a new biological theory, an application of semiotics to biology (something similar to disciplines such as bio</w:t>
      </w:r>
      <w:r>
        <w:rPr>
          <w:iCs/>
          <w:i/>
        </w:rPr>
        <w:t xml:space="preserve">physics</w:t>
      </w:r>
      <w:r>
        <w:t xml:space="preserve">, bio</w:t>
      </w:r>
      <w:r>
        <w:rPr>
          <w:iCs/>
          <w:i/>
        </w:rPr>
        <w:t xml:space="preserve">chemistry</w:t>
      </w:r>
      <w:r>
        <w:t xml:space="preserve">, bio</w:t>
      </w:r>
      <w:r>
        <w:rPr>
          <w:iCs/>
          <w:i/>
        </w:rPr>
        <w:t xml:space="preserve">statistics</w:t>
      </w:r>
      <w:r>
        <w:t xml:space="preserve">, etc.), or rather a philosophical proposal.</w:t>
      </w:r>
      <w:r>
        <w:t xml:space="preserve"> </w:t>
      </w:r>
      <w:r>
        <w:t xml:space="preserve">To answer some of these questions, this paper deals mainly with theoretical issues to analyze two central biosemiotic theses (code-duality and organic interpretation), their consequences for today’s biology, and their relationships with other biological theories.</w:t>
      </w:r>
      <w:r>
        <w:t xml:space="preserve"> </w:t>
      </w:r>
      <w:r>
        <w:t xml:space="preserve">After this examination, the conclusion is advanced that even though biosemiotics, construed in broad terms, has some connections with disciplines beyond biology, such as semiotics and philosophy, strictly speaking, it is a new biological theory that articulates an original approach to living beings and to biological processes.</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como propuse previamente</w:t>
      </w:r>
      <w:r>
        <w:t xml:space="preserve"> </w:t>
      </w:r>
      <w:r>
        <w:t xml:space="preserve">(</w:t>
      </w:r>
      <w:hyperlink w:anchor="ref-DI7UW0KI">
        <w:r>
          <w:rPr>
            <w:rStyle w:val="Hyperlink"/>
          </w:rPr>
          <w:t xml:space="preserve">Suárez Pascal, 2021, pp. 9-10</w:t>
        </w:r>
      </w:hyperlink>
      <w:r>
        <w:t xml:space="preserve">)</w:t>
      </w:r>
      <w:r>
        <w:t xml:space="preserv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interpretación orgánica (como la hemos titulado aquí).</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tanto términos teóricos como filosóficos, es posible 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 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la naturaleza;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hago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la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propongo que son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simple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pretensión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interactúa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 aventurarse,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postulo que se trata de una de las vías más promisorias que se pueden plantear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señalé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preponderante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31" w:name="references"/>
    <w:p>
      <w:pPr>
        <w:pStyle w:val="Heading2"/>
      </w:pPr>
      <w:r>
        <w:t xml:space="preserve">References</w:t>
      </w:r>
    </w:p>
    <w:bookmarkStart w:id="130" w:name="refs"/>
    <w:bookmarkStart w:id="56" w:name="ref-FUBA4hgk"/>
    <w:p>
      <w:pPr>
        <w:pStyle w:val="Bibliography"/>
      </w:pPr>
      <w:r>
        <w:t xml:space="preserve">Anderson, M., &amp; Merrell, F. (Eds.). (1991).</w:t>
      </w:r>
      <w:r>
        <w:t xml:space="preserve"> </w:t>
      </w:r>
      <w:r>
        <w:rPr>
          <w:iCs/>
          <w:i/>
        </w:rPr>
        <w:t xml:space="preserve">On semiotic modeling</w:t>
      </w:r>
      <w:r>
        <w:t xml:space="preserve">. Mouton de Gruyter.</w:t>
      </w:r>
    </w:p>
    <w:bookmarkEnd w:id="56"/>
    <w:bookmarkStart w:id="58"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7">
        <w:r>
          <w:rPr>
            <w:rStyle w:val="Hyperlink"/>
          </w:rPr>
          <w:t xml:space="preserve">https://doi.org/10.1007/s00114-008-0368-x</w:t>
        </w:r>
      </w:hyperlink>
    </w:p>
    <w:bookmarkEnd w:id="58"/>
    <w:bookmarkStart w:id="60"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9">
        <w:r>
          <w:rPr>
            <w:rStyle w:val="Hyperlink"/>
          </w:rPr>
          <w:t xml:space="preserve">https://doi.org/10.1007/978-1-4020-6340-4_2</w:t>
        </w:r>
      </w:hyperlink>
    </w:p>
    <w:bookmarkEnd w:id="60"/>
    <w:bookmarkStart w:id="62"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1">
        <w:r>
          <w:rPr>
            <w:rStyle w:val="Hyperlink"/>
          </w:rPr>
          <w:t xml:space="preserve">https://doi.org/10.1007/s12304-009-9042-8</w:t>
        </w:r>
      </w:hyperlink>
    </w:p>
    <w:bookmarkEnd w:id="62"/>
    <w:bookmarkStart w:id="64" w:name="ref-CUbLggqm"/>
    <w:p>
      <w:pPr>
        <w:pStyle w:val="Bibliography"/>
      </w:pPr>
      <w:r>
        <w:t xml:space="preserve">Bernstein, J. H. (2015). Transdisciplinarity: A Review of Its Origins, Development, and Current Issues.</w:t>
      </w:r>
      <w:r>
        <w:t xml:space="preserve"> </w:t>
      </w:r>
      <w:r>
        <w:rPr>
          <w:iCs/>
          <w:i/>
        </w:rPr>
        <w:t xml:space="preserve">Journal of Research Practice</w:t>
      </w:r>
      <w:r>
        <w:t xml:space="preserve">,</w:t>
      </w:r>
      <w:r>
        <w:t xml:space="preserve"> </w:t>
      </w:r>
      <w:r>
        <w:rPr>
          <w:iCs/>
          <w:i/>
        </w:rPr>
        <w:t xml:space="preserve">11</w:t>
      </w:r>
      <w:r>
        <w:t xml:space="preserve">(1), R1-R1.</w:t>
      </w:r>
      <w:r>
        <w:t xml:space="preserve"> </w:t>
      </w:r>
      <w:hyperlink r:id="rId63">
        <w:r>
          <w:rPr>
            <w:rStyle w:val="Hyperlink"/>
          </w:rPr>
          <w:t xml:space="preserve">http://jrp.icaap.org/index.php/jrp/article/view/510</w:t>
        </w:r>
      </w:hyperlink>
    </w:p>
    <w:bookmarkEnd w:id="64"/>
    <w:bookmarkStart w:id="66"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5">
        <w:r>
          <w:rPr>
            <w:rStyle w:val="Hyperlink"/>
          </w:rPr>
          <w:t xml:space="preserve">https://www.pdcnet.org/pdc/bvdb.nsf/purchase?openform&amp;fp=theoria&amp;id=theoria_2013_0028_0001_0097_0114</w:t>
        </w:r>
      </w:hyperlink>
    </w:p>
    <w:bookmarkEnd w:id="66"/>
    <w:bookmarkStart w:id="68"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7">
        <w:r>
          <w:rPr>
            <w:rStyle w:val="Hyperlink"/>
          </w:rPr>
          <w:t xml:space="preserve">https://doi.org/10.2307/4444260</w:t>
        </w:r>
      </w:hyperlink>
    </w:p>
    <w:bookmarkEnd w:id="68"/>
    <w:bookmarkStart w:id="70"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9">
        <w:r>
          <w:rPr>
            <w:rStyle w:val="Hyperlink"/>
          </w:rPr>
          <w:t xml:space="preserve">https://doi.org/10.1007/978-1-4020-9650-1_1</w:t>
        </w:r>
      </w:hyperlink>
    </w:p>
    <w:bookmarkEnd w:id="70"/>
    <w:bookmarkStart w:id="71"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1"/>
    <w:bookmarkStart w:id="72"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72"/>
    <w:bookmarkStart w:id="74"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3">
        <w:r>
          <w:rPr>
            <w:rStyle w:val="Hyperlink"/>
          </w:rPr>
          <w:t xml:space="preserve">https://doi.org/10.15304/ag.31.2.1055</w:t>
        </w:r>
      </w:hyperlink>
    </w:p>
    <w:bookmarkEnd w:id="74"/>
    <w:bookmarkStart w:id="76"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5">
        <w:r>
          <w:rPr>
            <w:rStyle w:val="Hyperlink"/>
          </w:rPr>
          <w:t xml:space="preserve">https://doi.org/10.1387/theoria.490</w:t>
        </w:r>
      </w:hyperlink>
    </w:p>
    <w:bookmarkEnd w:id="76"/>
    <w:bookmarkStart w:id="77"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7"/>
    <w:bookmarkStart w:id="78"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8"/>
    <w:bookmarkStart w:id="80"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79">
        <w:r>
          <w:rPr>
            <w:rStyle w:val="Hyperlink"/>
          </w:rPr>
          <w:t xml:space="preserve">https://doi.org/10.1086/344621</w:t>
        </w:r>
      </w:hyperlink>
    </w:p>
    <w:bookmarkEnd w:id="80"/>
    <w:bookmarkStart w:id="81" w:name="ref-iWTyQl69"/>
    <w:p>
      <w:pPr>
        <w:pStyle w:val="Bibliography"/>
      </w:pPr>
      <w:r>
        <w:rPr>
          <w:iCs/>
          <w:i/>
        </w:rPr>
        <w:t xml:space="preserve">Jakob von Uexkull: the discovery of the umwelt between biosemiotics and theoretical biology</w:t>
      </w:r>
      <w:r>
        <w:t xml:space="preserve">. (2015). Springer Berlin Heidelberg.</w:t>
      </w:r>
    </w:p>
    <w:bookmarkEnd w:id="81"/>
    <w:bookmarkStart w:id="82"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2"/>
    <w:bookmarkStart w:id="84"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3">
        <w:r>
          <w:rPr>
            <w:rStyle w:val="Hyperlink"/>
          </w:rPr>
          <w:t xml:space="preserve">https://doi.org/10.1515/semi.2001.013</w:t>
        </w:r>
      </w:hyperlink>
    </w:p>
    <w:bookmarkEnd w:id="84"/>
    <w:bookmarkStart w:id="86"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5">
        <w:r>
          <w:rPr>
            <w:rStyle w:val="Hyperlink"/>
          </w:rPr>
          <w:t xml:space="preserve">https://www.pdcnet.org/pdc/bvdb.nsf/purchase?openform&amp;fp=signsystems&amp;id=signsystems_2004_0032_40910_0099_0114</w:t>
        </w:r>
      </w:hyperlink>
    </w:p>
    <w:bookmarkEnd w:id="86"/>
    <w:bookmarkStart w:id="88"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7">
        <w:r>
          <w:rPr>
            <w:rStyle w:val="Hyperlink"/>
          </w:rPr>
          <w:t xml:space="preserve">https://doi.org/10.1111/bij.12124</w:t>
        </w:r>
      </w:hyperlink>
    </w:p>
    <w:bookmarkEnd w:id="88"/>
    <w:bookmarkStart w:id="89"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9"/>
    <w:bookmarkStart w:id="91"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90">
        <w:r>
          <w:rPr>
            <w:rStyle w:val="Hyperlink"/>
          </w:rPr>
          <w:t xml:space="preserve">https://doi.org/10.7551/mitpress/3824.003.0002</w:t>
        </w:r>
      </w:hyperlink>
    </w:p>
    <w:bookmarkEnd w:id="91"/>
    <w:bookmarkStart w:id="92"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2"/>
    <w:bookmarkStart w:id="93"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3"/>
    <w:bookmarkStart w:id="94"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4"/>
    <w:bookmarkStart w:id="96"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5">
        <w:r>
          <w:rPr>
            <w:rStyle w:val="Hyperlink"/>
          </w:rPr>
          <w:t xml:space="preserve">https://doi.org/10.1126/science.134.3489.1501</w:t>
        </w:r>
      </w:hyperlink>
    </w:p>
    <w:bookmarkEnd w:id="96"/>
    <w:bookmarkStart w:id="97"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7"/>
    <w:bookmarkStart w:id="98"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8"/>
    <w:bookmarkStart w:id="99" w:name="ref-j0BgISRh"/>
    <w:p>
      <w:pPr>
        <w:pStyle w:val="Bibliography"/>
      </w:pPr>
      <w:r>
        <w:t xml:space="preserve">Morin, E. (1982).</w:t>
      </w:r>
      <w:r>
        <w:t xml:space="preserve"> </w:t>
      </w:r>
      <w:r>
        <w:rPr>
          <w:iCs/>
          <w:i/>
        </w:rPr>
        <w:t xml:space="preserve">Science avec conscience</w:t>
      </w:r>
      <w:r>
        <w:t xml:space="preserve">. Fayard.</w:t>
      </w:r>
    </w:p>
    <w:bookmarkEnd w:id="99"/>
    <w:bookmarkStart w:id="100" w:name="ref-2dB95zQK"/>
    <w:p>
      <w:pPr>
        <w:pStyle w:val="Bibliography"/>
      </w:pPr>
      <w:r>
        <w:t xml:space="preserve">Nicolescu, B. (1996).</w:t>
      </w:r>
      <w:r>
        <w:t xml:space="preserve"> </w:t>
      </w:r>
      <w:r>
        <w:rPr>
          <w:iCs/>
          <w:i/>
        </w:rPr>
        <w:t xml:space="preserve">La transdisciplinarité: manifeste</w:t>
      </w:r>
      <w:r>
        <w:t xml:space="preserve">. Editions du Rocher.</w:t>
      </w:r>
    </w:p>
    <w:bookmarkEnd w:id="100"/>
    <w:bookmarkStart w:id="101"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101"/>
    <w:bookmarkStart w:id="102"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102"/>
    <w:bookmarkStart w:id="104" w:name="ref-bhNCs7h4"/>
    <w:p>
      <w:pPr>
        <w:pStyle w:val="Bibliography"/>
      </w:pPr>
      <w:r>
        <w:t xml:space="preserve">Piaget, J. (1972). The Epistemology of Interdisciplinary Relationships. En</w:t>
      </w:r>
      <w:r>
        <w:t xml:space="preserve"> </w:t>
      </w:r>
      <w:r>
        <w:rPr>
          <w:iCs/>
          <w:i/>
        </w:rPr>
        <w:t xml:space="preserve">Interdisciplinarity: Problems of Teaching and Research in Universities</w:t>
      </w:r>
      <w:r>
        <w:t xml:space="preserve"> </w:t>
      </w:r>
      <w:r>
        <w:t xml:space="preserve">(pp. 127-139). OECD Publications Center, Suite 1207, 1750 Pennsylvania Avenue, N.</w:t>
      </w:r>
      <w:r>
        <w:t xml:space="preserve"> </w:t>
      </w:r>
      <w:hyperlink r:id="rId103">
        <w:r>
          <w:rPr>
            <w:rStyle w:val="Hyperlink"/>
          </w:rPr>
          <w:t xml:space="preserve">https://eric.ed.gov/?id=ED061895</w:t>
        </w:r>
      </w:hyperlink>
    </w:p>
    <w:bookmarkEnd w:id="104"/>
    <w:bookmarkStart w:id="106"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5">
        <w:r>
          <w:rPr>
            <w:rStyle w:val="Hyperlink"/>
          </w:rPr>
          <w:t xml:space="preserve">https://doi.org/10.1126/science.160.3834.1308</w:t>
        </w:r>
      </w:hyperlink>
    </w:p>
    <w:bookmarkEnd w:id="106"/>
    <w:bookmarkStart w:id="107"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7"/>
    <w:bookmarkStart w:id="108"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8"/>
    <w:bookmarkStart w:id="110"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9">
        <w:r>
          <w:rPr>
            <w:rStyle w:val="Hyperlink"/>
          </w:rPr>
          <w:t xml:space="preserve">https://doi.org/10.22201/iifs.18704913e.1984.30.771</w:t>
        </w:r>
      </w:hyperlink>
    </w:p>
    <w:bookmarkEnd w:id="110"/>
    <w:bookmarkStart w:id="112"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11">
        <w:r>
          <w:rPr>
            <w:rStyle w:val="Hyperlink"/>
          </w:rPr>
          <w:t xml:space="preserve">https://doi.org/10.1007/s12304-024-09569-8</w:t>
        </w:r>
      </w:hyperlink>
    </w:p>
    <w:bookmarkEnd w:id="112"/>
    <w:bookmarkStart w:id="114"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13">
        <w:r>
          <w:rPr>
            <w:rStyle w:val="Hyperlink"/>
          </w:rPr>
          <w:t xml:space="preserve">https://doi.org/10.12697/sss.2004.32.1-2.02</w:t>
        </w:r>
      </w:hyperlink>
    </w:p>
    <w:bookmarkEnd w:id="114"/>
    <w:bookmarkStart w:id="115"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15"/>
    <w:bookmarkStart w:id="117"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6">
        <w:r>
          <w:rPr>
            <w:rStyle w:val="Hyperlink"/>
          </w:rPr>
          <w:t xml:space="preserve">https://www.jstor.org/stable/2096742</w:t>
        </w:r>
      </w:hyperlink>
    </w:p>
    <w:bookmarkEnd w:id="117"/>
    <w:bookmarkStart w:id="118"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8"/>
    <w:bookmarkStart w:id="119"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9"/>
    <w:bookmarkStart w:id="12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20">
        <w:r>
          <w:rPr>
            <w:rStyle w:val="Hyperlink"/>
          </w:rPr>
          <w:t xml:space="preserve">https://doi.org/10.1007/s10838-021-09552-8</w:t>
        </w:r>
      </w:hyperlink>
    </w:p>
    <w:bookmarkEnd w:id="121"/>
    <w:bookmarkStart w:id="12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22"/>
    <w:bookmarkStart w:id="12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23"/>
    <w:bookmarkStart w:id="12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24">
        <w:r>
          <w:rPr>
            <w:rStyle w:val="Hyperlink"/>
          </w:rPr>
          <w:t xml:space="preserve">https://doi.org/10.1007/978-3-642-91036-4_15</w:t>
        </w:r>
      </w:hyperlink>
    </w:p>
    <w:bookmarkEnd w:id="125"/>
    <w:bookmarkStart w:id="12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6">
        <w:r>
          <w:rPr>
            <w:rStyle w:val="Hyperlink"/>
          </w:rPr>
          <w:t xml:space="preserve">https://doi.org/10.1007/978-3-662-36634-9</w:t>
        </w:r>
      </w:hyperlink>
    </w:p>
    <w:bookmarkEnd w:id="127"/>
    <w:bookmarkStart w:id="12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8">
        <w:r>
          <w:rPr>
            <w:rStyle w:val="Hyperlink"/>
          </w:rPr>
          <w:t xml:space="preserve">https://doi.org/10.1515/semi.1982.42.1.25</w:t>
        </w:r>
      </w:hyperlink>
    </w:p>
    <w:bookmarkEnd w:id="129"/>
    <w:bookmarkEnd w:id="130"/>
    <w:bookmarkEnd w:id="1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bhNCs7h4">
        <w:r>
          <w:rPr>
            <w:rStyle w:val="Hyperlink"/>
          </w:rPr>
          <w:t xml:space="preserve">Piaget, 1972</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r>
        <w:t xml:space="preserve"> </w:t>
      </w:r>
      <w:r>
        <w:t xml:space="preserve">(</w:t>
      </w:r>
      <w:hyperlink w:anchor="ref-CUbLggqm">
        <w:r>
          <w:rPr>
            <w:rStyle w:val="Hyperlink"/>
          </w:rPr>
          <w:t xml:space="preserve">Bernstein, 2015</w:t>
        </w:r>
      </w:hyperlink>
      <w:r>
        <w:t xml:space="preserve">)</w:t>
      </w:r>
      <w:r>
        <w:t xml:space="preserve">.</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respecto a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3" Target="http://jrp.icaap.org/index.php/jrp/article/view/510" TargetMode="External"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11" Target="https://doi.org/10.1007/s12304-024-09569-8" TargetMode="External" /><Relationship Type="http://schemas.openxmlformats.org/officeDocument/2006/relationships/hyperlink" Id="rId79"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5" Target="https://doi.org/10.1126/science.160.3834.1308" TargetMode="External" /><Relationship Type="http://schemas.openxmlformats.org/officeDocument/2006/relationships/hyperlink" Id="rId113" Target="https://doi.org/10.12697/sss.2004.32.1-2.02" TargetMode="External" /><Relationship Type="http://schemas.openxmlformats.org/officeDocument/2006/relationships/hyperlink" Id="rId75"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3" Target="https://doi.org/10.15304/ag.31.2.1055" TargetMode="External" /><Relationship Type="http://schemas.openxmlformats.org/officeDocument/2006/relationships/hyperlink" Id="rId109"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103"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1f2ccb7945dfe1dd72b493325481c44aaf4a0e88"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1f2ccb7945dfe1dd72b493325481c44aaf4a0e88/"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6"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63" Target="http://jrp.icaap.org/index.php/jrp/article/view/510" TargetMode="External" /><Relationship Type="http://schemas.openxmlformats.org/officeDocument/2006/relationships/hyperlink" Id="rId47" Target="http://www.biosemiotics.org/" TargetMode="External" /><Relationship Type="http://schemas.openxmlformats.org/officeDocument/2006/relationships/hyperlink" Id="rId59"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7"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1" Target="https://doi.org/10.1007/s12304-009-9042-8" TargetMode="External" /><Relationship Type="http://schemas.openxmlformats.org/officeDocument/2006/relationships/hyperlink" Id="rId111" Target="https://doi.org/10.1007/s12304-024-09569-8" TargetMode="External" /><Relationship Type="http://schemas.openxmlformats.org/officeDocument/2006/relationships/hyperlink" Id="rId79"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5" Target="https://doi.org/10.1126/science.160.3834.1308" TargetMode="External" /><Relationship Type="http://schemas.openxmlformats.org/officeDocument/2006/relationships/hyperlink" Id="rId113" Target="https://doi.org/10.12697/sss.2004.32.1-2.02" TargetMode="External" /><Relationship Type="http://schemas.openxmlformats.org/officeDocument/2006/relationships/hyperlink" Id="rId75"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3" Target="https://doi.org/10.15304/ag.31.2.1055" TargetMode="External" /><Relationship Type="http://schemas.openxmlformats.org/officeDocument/2006/relationships/hyperlink" Id="rId109"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103"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1f2ccb7945dfe1dd72b493325481c44aaf4a0e88"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1f2ccb7945dfe1dd72b493325481c44aaf4a0e88/"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6"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teoría biológica</dc:title>
  <dc:creator/>
  <dc:language>es</dc:language>
  <cp:keywords>biosemiótica, teorías biológicas, dualidad de código, interpretación orgánica, genética, evolución</cp:keywords>
  <dcterms:created xsi:type="dcterms:W3CDTF">2024-06-25T18:26:08Z</dcterms:created>
  <dcterms:modified xsi:type="dcterms:W3CDTF">2024-06-25T18:26:08Z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