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una</w:t>
      </w:r>
      <w:r>
        <w:t xml:space="preserve"> </w:t>
      </w:r>
      <w:r>
        <w:t xml:space="preserve">nueva</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pascalin/biosemiotics@ba16885</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p>
    <w:bookmarkEnd w:id="45"/>
    <w:bookmarkStart w:id="46" w:name="abstract"/>
    <w:p>
      <w:pPr>
        <w:pStyle w:val="Heading2"/>
      </w:pPr>
      <w:r>
        <w:t xml:space="preserve">Abstract</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X00ca53486c1a73127ac83bd07ce43adfab1045e"/>
    <w:p>
      <w:pPr>
        <w:pStyle w:val="Heading2"/>
      </w:pPr>
      <w:r>
        <w:t xml:space="preserve">¿Interdisciplina, transdisciplina o nueva disciplina biológica?</w:t>
      </w:r>
    </w:p>
    <w:p>
      <w:pPr>
        <w:pStyle w:val="FirstParagraph"/>
      </w:pPr>
      <w:r>
        <w:t xml:space="preserve">Al principio de este trabajo se mencionó que la biosemiótica ha sido descrita como una transdisciplina por algunos autores, mientras que su nombre, parecido al de otras áreas como la biofísica, la bioestadística, la biotecnología o la bioética, podría llevarnos a considerarla como una interdisciplina.</w:t>
      </w:r>
      <w:r>
        <w:t xml:space="preserve"> </w:t>
      </w:r>
      <w:r>
        <w:t xml:space="preserve">Si bien las interdisciplinas forman una parte esencial del panorama contemporáneo de cualquier ciencia, a la cual contribuyen ampliando su rango de aplicación y enriqueciendo sus metodologías de investigación, se suele nombrar de esta manera a aquellos ámbitos en los que se encuentras dos disciplinas maduras, con metodologías y marcos teóricos bien definidos y en los que se abordan de manera conjunta problemas particulares.</w:t>
      </w:r>
      <w:r>
        <w:t xml:space="preserve"> </w:t>
      </w:r>
      <w:r>
        <w:t xml:space="preserve">Ejemplos claros de estas áreas son la biofísica, que consiste en la aplicación de la física a problemas biológicos, la bioquímica, que igualmente aborda el estudio de la química de los sistemas biológicos, y la biotecnología, que se enfoca en el desarrollo de soluciones tecnológicas a partir del conocimiento biológico.</w:t>
      </w:r>
    </w:p>
    <w:p>
      <w:pPr>
        <w:pStyle w:val="BodyText"/>
      </w:pPr>
      <w:r>
        <w:t xml:space="preserve">En cambio, aquello que se ha argumentado en este trabajo es que la biosemiótica incluye tesis estrictamente biológicas, que propone un nuevo modelo para los seres vivos, el cual enriquece el panorama teórico de la biología contemporánea al abordar la relación entre los seres vivos y su organización, y que se propone explicar, entre otras cosas, tanto la existencia de códigos biológicos, como la relación entre esos códigos y los más distintos fenómenos biológicos.</w:t>
      </w:r>
      <w:r>
        <w:t xml:space="preserve"> </w:t>
      </w:r>
      <w:r>
        <w:t xml:space="preserve">Como se ha señalado aquí, las propuestas que hace la biosemiótica con respecto a los seres vivos tienen impacto sobre otras teorías biológicas existentes, tales como la genética y la evolución, en donde plantean nuevas soluciones a problemas existentes, a la vez que abren nuevas vías de investigación.</w:t>
      </w:r>
      <w:r>
        <w:t xml:space="preserve"> </w:t>
      </w:r>
      <w:r>
        <w:t xml:space="preserve">De la misma manera, con respecto a otras áreas de la biología, tales como la biología comparada, la ecología o la fisiología, la biosemiótica introduce una nueva perspectiva que puede dar lugar, de ser explorada, a nuevas revelaciones con respecto a los sistemas biológicos.</w:t>
      </w:r>
    </w:p>
    <w:p>
      <w:pPr>
        <w:pStyle w:val="BodyText"/>
      </w:pPr>
      <w:r>
        <w:t xml:space="preserve">En conjunto, la consideración de todos estos aspectos debería ser suficiente para aceptar que más que una interdisciplina, la biosemiótica constituye una nueva teoría biológica, con sus propios conceptos teóricos, tales como los elaborados por Uexküll, Adolf Portmann, Hoffmeyer, etc., y con conceptos observacionales (o T-no teóricos, empleando la nomenclatura del estructuralismo metateórico</w:t>
      </w:r>
      <w:r>
        <w:t xml:space="preserve"> </w:t>
      </w:r>
      <w:r>
        <w:t xml:space="preserve">(</w:t>
      </w:r>
      <w:hyperlink w:anchor="ref-qWQhLvlQ">
        <w:r>
          <w:rPr>
            <w:rStyle w:val="Hyperlink"/>
          </w:rPr>
          <w:t xml:space="preserve">Balzer et al., 2014</w:t>
        </w:r>
      </w:hyperlink>
      <w:r>
        <w:t xml:space="preserve">)</w:t>
      </w:r>
      <w:r>
        <w:t xml:space="preserve">) que provienen de distintas áreas de la biología, de la física y de la química, particularmente.</w:t>
      </w:r>
      <w:r>
        <w:t xml:space="preserve"> </w:t>
      </w:r>
      <w:r>
        <w:t xml:space="preserve">Tal conjunción entre conceptos teóricos y observacionales permite establecer relaciones interteóricas entre la biosemiótica y otras áreas de la biología, tales como aquellas que han sido exploradas aquí de manera informal, así como formular propuestas de explicación con respecto a los más distintos fenómenos biológicos e incluso formular tanto predicciones como retrodicciones que podrán tener mayor o menor éxito en función de los datos disponibles.</w:t>
      </w:r>
    </w:p>
    <w:p>
      <w:pPr>
        <w:pStyle w:val="BodyText"/>
      </w:pPr>
      <w:r>
        <w:t xml:space="preserve">Ahora bien, si las propuestas de la biosemiótica que se han analizado en este trabajo entran en el terreno de la biología actual y podrían formar la base de una nueva disciplina biológica, tiene caso que nos preguntemos tanto con respecto a la relación de esta nueva disciplina con la semiótica, como con respecto al término de transdisciplina, que como ya se ha señalado, ha sido aplicado en ocasiones a este campo.</w:t>
      </w:r>
      <w:r>
        <w:t xml:space="preserve"> </w:t>
      </w:r>
      <w:r>
        <w:t xml:space="preserve">Aunque ambas cuestiones tienen, por supuesto, un componente histórico, que se relaciona con el desarrollo de esta disciplina, en este trabajo nos hemos enfocado mucho más en los aspectos sincrónicos, por lo que la respuesta que intentaremos ofrecer aquí se enfocará mucho más en la situación actual de la biosemiótica que en otros aspectos.</w:t>
      </w:r>
      <w:r>
        <w:t xml:space="preserve"> </w:t>
      </w:r>
      <w:r>
        <w:t xml:space="preserve">Así, lo que podríamos apuntar con respecto a la primera cuestión es que, como ya señalabamos con respecto a la genética, el reconocimiento de la dualidad de código conlleva un reconocimiento de la existencia de códigos biológicos con un cierto grado de convencionalidad o arbitrariedad (desde el punto de vista físico-químico).</w:t>
      </w:r>
      <w:r>
        <w:t xml:space="preserve"> </w:t>
      </w:r>
      <w:r>
        <w:t xml:space="preserve">De la misma manera, la tesis de la interpretación orgánica conlleva la aceptación de que el comportamiento de un sistema organizado no se explica adecuadamente en función de los procesos físicoquímicos que tienen lugar tanto al interior como al exterior del mismo, sino que para esto se requiere apelar a la organización particular del sistema.</w:t>
      </w:r>
      <w:r>
        <w:t xml:space="preserve"> </w:t>
      </w:r>
      <w:r>
        <w:t xml:space="preserve">Una manera de reformular esto es que es explicación tiene que darse en función del significado para el sistema de aquellos factores que inciden sobre el mismo.</w:t>
      </w:r>
    </w:p>
    <w:p>
      <w:pPr>
        <w:pStyle w:val="BodyText"/>
      </w:pPr>
      <w:r>
        <w:t xml:space="preserve">Tanto el concepto de código, como el concepto de significado, si bien se vinculan con aspectos específicos de la construcción teórica de la biosemiótica, también tienen su contraparte en relación con otras disciplinas tales como la lingüistica, la semiología, la semiótica, las ciencias de la computación y la epistemología.</w:t>
      </w:r>
      <w:r>
        <w:t xml:space="preserve"> </w:t>
      </w:r>
      <w:r>
        <w:t xml:space="preserve">Si bien históricamente hablando la relación interdisciplinaria más fuerte se ha establecido entre la biosemiótica y la semiótica o semeótica propuesta por Charles Peirce</w:t>
      </w:r>
      <w:r>
        <w:t xml:space="preserve"> </w:t>
      </w:r>
      <w:r>
        <w:t xml:space="preserve">(</w:t>
      </w:r>
      <w:hyperlink w:anchor="ref-11rzEPTk5">
        <w:r>
          <w:rPr>
            <w:rStyle w:val="Hyperlink"/>
          </w:rPr>
          <w:t xml:space="preserve">Peirce &amp; Hoopes, 1991</w:t>
        </w:r>
      </w:hyperlink>
      <w:r>
        <w:t xml:space="preserve">;</w:t>
      </w:r>
      <w:r>
        <w:t xml:space="preserve"> </w:t>
      </w:r>
      <w:hyperlink w:anchor="ref-53H8iLZf">
        <w:r>
          <w:rPr>
            <w:rStyle w:val="Hyperlink"/>
          </w:rPr>
          <w:t xml:space="preserve">Short, 2007</w:t>
        </w:r>
      </w:hyperlink>
      <w:r>
        <w:t xml:space="preserve">)</w:t>
      </w:r>
      <w:r>
        <w:t xml:space="preserve">, esto no quiere decir que las propuestas teóricas de la biosemiótica dependan, en términos estrictos, de ella, ni mucho menos de las otras disciplinas mencionadas.</w:t>
      </w:r>
      <w:r>
        <w:t xml:space="preserve"> </w:t>
      </w:r>
      <w:r>
        <w:t xml:space="preserve">De la misma manera en que se han señalado aquí ciertas conexiones entre la biosemiótica y la teoría evolutiva, entre la semiótica de Peirce y la biosemiótica se pueden establecer también vínculos muy interesantes, aunque tanto el ámbito de aplicación como la metodología de las dos propuestas es distinto.</w:t>
      </w:r>
    </w:p>
    <w:p>
      <w:pPr>
        <w:pStyle w:val="BodyText"/>
      </w:pPr>
      <w:r>
        <w:t xml:space="preserve">Por otro lado, la cuestión de la categoría de transdisciplina y su posible aplicación a la biosemiótica nos lleva a considerar un aspecto de la biosemiótica que no ha sido mencionado hasta ahora pero que sí ha ocupado a diversos autores tales como Thüre von Uexküll (el hijo de Jakob)</w:t>
      </w:r>
      <w:r>
        <w:t xml:space="preserve"> </w:t>
      </w:r>
      <w:r>
        <w:t xml:space="preserve">(</w:t>
      </w:r>
      <w:hyperlink w:anchor="ref-xeLEgneo">
        <w:r>
          <w:rPr>
            <w:rStyle w:val="Hyperlink"/>
          </w:rPr>
          <w:t xml:space="preserve">Grassi &amp; Uexküll, 1950</w:t>
        </w:r>
      </w:hyperlink>
      <w:r>
        <w:t xml:space="preserve">)</w:t>
      </w:r>
      <w:r>
        <w:t xml:space="preserve">, Wendy Wheeler</w:t>
      </w:r>
      <w:r>
        <w:t xml:space="preserve"> </w:t>
      </w:r>
      <w:r>
        <w:t xml:space="preserve">(</w:t>
      </w:r>
      <w:hyperlink w:anchor="ref-i01XgUGx">
        <w:r>
          <w:rPr>
            <w:rStyle w:val="Hyperlink"/>
          </w:rPr>
          <w:t xml:space="preserve">Wheeler, 2006</w:t>
        </w:r>
      </w:hyperlink>
      <w:r>
        <w:t xml:space="preserve">)</w:t>
      </w:r>
      <w:r>
        <w:t xml:space="preserve">, Thomas Sebeok y Hoffmeyer, entre otros, quienes se plantean la posibilidad de que la biosemiótica pueda servir a manera de puente entre las ciencias y las humanidades.</w:t>
      </w:r>
      <w:r>
        <w:t xml:space="preserve"> </w:t>
      </w:r>
      <w:r>
        <w:t xml:space="preserve">De manera relacionada, también se ha planteado que la biosemiótica podría servir como vía media para proyectos de naturalización de distintas nociones de interés filosófico particular como la teleología, la creatividad y la idea misma de conocimiento</w:t>
      </w:r>
      <w:r>
        <w:t xml:space="preserve"> </w:t>
      </w:r>
      <w:r>
        <w:t xml:space="preserve">(</w:t>
      </w:r>
      <w:hyperlink w:anchor="ref-Oo9zF7fF">
        <w:r>
          <w:rPr>
            <w:rStyle w:val="Hyperlink"/>
          </w:rPr>
          <w:t xml:space="preserve">Suárez Pascal, 2017</w:t>
        </w:r>
      </w:hyperlink>
      <w:r>
        <w:t xml:space="preserve">;</w:t>
      </w:r>
      <w:r>
        <w:t xml:space="preserve"> </w:t>
      </w:r>
      <w:hyperlink w:anchor="ref-DI7UW0KI">
        <w:r>
          <w:rPr>
            <w:rStyle w:val="Hyperlink"/>
          </w:rPr>
          <w:t xml:space="preserve">Suárez Pascal, 2021</w:t>
        </w:r>
      </w:hyperlink>
      <w:r>
        <w:t xml:space="preserve">)</w:t>
      </w:r>
      <w:r>
        <w:t xml:space="preserve">.</w:t>
      </w:r>
      <w:r>
        <w:t xml:space="preserve"> </w:t>
      </w:r>
      <w:r>
        <w:t xml:space="preserve">Esta misma idea parecería ser la que está detrás de algunos esfuerzos por vincular la biosemiótica con ciertos ámbitos de las ciencias de la comunicación, de las ciencias cognitivas, e incluso de las ciencias de la computación, pues, en efecto, la manera en que la biosemiótica reconstruye las relaciones que se establecen tanto entre los organismos y su entorno como entre distintas especies es muy cercana a la idea de comunicación.</w:t>
      </w:r>
      <w:r>
        <w:t xml:space="preserve"> </w:t>
      </w:r>
      <w:r>
        <w:t xml:space="preserve">De manera complementaria, el papel que se le otorga a la acción y a la organización en la explicación de los procesos biológicos configura una noción de información mucho más rica que la proporcionada por la teoría matemática de la información, por lo que bien puede ser adoptada como modelo en otras disciplinas.</w:t>
      </w:r>
    </w:p>
    <w:bookmarkEnd w:id="55"/>
    <w:bookmarkStart w:id="56"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6"/>
    <w:bookmarkStart w:id="132" w:name="references"/>
    <w:p>
      <w:pPr>
        <w:pStyle w:val="Heading2"/>
      </w:pPr>
      <w:r>
        <w:t xml:space="preserve">References</w:t>
      </w:r>
    </w:p>
    <w:bookmarkStart w:id="131" w:name="refs"/>
    <w:bookmarkStart w:id="57" w:name="ref-FUBA4hgk"/>
    <w:p>
      <w:pPr>
        <w:pStyle w:val="Bibliography"/>
      </w:pPr>
      <w:r>
        <w:t xml:space="preserve">Anderson, M., &amp; Merrell, F. (Eds.). (1991).</w:t>
      </w:r>
      <w:r>
        <w:t xml:space="preserve"> </w:t>
      </w:r>
      <w:r>
        <w:rPr>
          <w:iCs/>
          <w:i/>
        </w:rPr>
        <w:t xml:space="preserve">On semiotic modeling</w:t>
      </w:r>
      <w:r>
        <w:t xml:space="preserve">. Mouton de Gruyter.</w:t>
      </w:r>
    </w:p>
    <w:bookmarkEnd w:id="57"/>
    <w:bookmarkStart w:id="58" w:name="ref-qWQhLvlQ"/>
    <w:p>
      <w:pPr>
        <w:pStyle w:val="Bibliography"/>
      </w:pPr>
      <w:r>
        <w:t xml:space="preserve">Balzer, W., Moulines, C. U., &amp; Sneed, J. D. (2014).</w:t>
      </w:r>
      <w:r>
        <w:t xml:space="preserve"> </w:t>
      </w:r>
      <w:r>
        <w:rPr>
          <w:iCs/>
          <w:i/>
        </w:rPr>
        <w:t xml:space="preserve">An architectonic for science: the structuralist program</w:t>
      </w:r>
      <w:r>
        <w:t xml:space="preserve"> </w:t>
      </w:r>
      <w:r>
        <w:t xml:space="preserve">(Softcover reprint of the hardcover 1st edition 1987). Springer-Science+Business Media, B.V.</w:t>
      </w:r>
    </w:p>
    <w:bookmarkEnd w:id="58"/>
    <w:bookmarkStart w:id="60"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9">
        <w:r>
          <w:rPr>
            <w:rStyle w:val="Hyperlink"/>
          </w:rPr>
          <w:t xml:space="preserve">https://doi.org/10.1007/s00114-008-0368-x</w:t>
        </w:r>
      </w:hyperlink>
    </w:p>
    <w:bookmarkEnd w:id="60"/>
    <w:bookmarkStart w:id="62"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61">
        <w:r>
          <w:rPr>
            <w:rStyle w:val="Hyperlink"/>
          </w:rPr>
          <w:t xml:space="preserve">https://doi.org/10.1007/978-1-4020-6340-4_2</w:t>
        </w:r>
      </w:hyperlink>
    </w:p>
    <w:bookmarkEnd w:id="62"/>
    <w:bookmarkStart w:id="64"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3">
        <w:r>
          <w:rPr>
            <w:rStyle w:val="Hyperlink"/>
          </w:rPr>
          <w:t xml:space="preserve">https://doi.org/10.1007/s12304-009-9042-8</w:t>
        </w:r>
      </w:hyperlink>
    </w:p>
    <w:bookmarkEnd w:id="64"/>
    <w:bookmarkStart w:id="65" w:name="ref-iWTyQl69"/>
    <w:p>
      <w:pPr>
        <w:pStyle w:val="Bibliography"/>
      </w:pPr>
      <w:r>
        <w:t xml:space="preserve">Brentari, C., &amp; Brentari, C. (2015).</w:t>
      </w:r>
      <w:r>
        <w:t xml:space="preserve"> </w:t>
      </w:r>
      <w:r>
        <w:rPr>
          <w:iCs/>
          <w:i/>
        </w:rPr>
        <w:t xml:space="preserve">Jakob von Uexküll: the discovery of the umwelt between biosemiotics and theoretical biology</w:t>
      </w:r>
      <w:r>
        <w:t xml:space="preserve">. Springer.</w:t>
      </w:r>
    </w:p>
    <w:bookmarkEnd w:id="65"/>
    <w:bookmarkStart w:id="67"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6">
        <w:r>
          <w:rPr>
            <w:rStyle w:val="Hyperlink"/>
          </w:rPr>
          <w:t xml:space="preserve">https://www.pdcnet.org/pdc/bvdb.nsf/purchase?openform&amp;fp=theoria&amp;id=theoria_2013_0028_0001_0097_0114</w:t>
        </w:r>
      </w:hyperlink>
    </w:p>
    <w:bookmarkEnd w:id="67"/>
    <w:bookmarkStart w:id="69"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8">
        <w:r>
          <w:rPr>
            <w:rStyle w:val="Hyperlink"/>
          </w:rPr>
          <w:t xml:space="preserve">https://doi.org/10.2307/4444260</w:t>
        </w:r>
      </w:hyperlink>
    </w:p>
    <w:bookmarkEnd w:id="69"/>
    <w:bookmarkStart w:id="71"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70">
        <w:r>
          <w:rPr>
            <w:rStyle w:val="Hyperlink"/>
          </w:rPr>
          <w:t xml:space="preserve">https://doi.org/10.1007/978-1-4020-9650-1_1</w:t>
        </w:r>
      </w:hyperlink>
    </w:p>
    <w:bookmarkEnd w:id="71"/>
    <w:bookmarkStart w:id="72"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2"/>
    <w:bookmarkStart w:id="74"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3">
        <w:r>
          <w:rPr>
            <w:rStyle w:val="Hyperlink"/>
          </w:rPr>
          <w:t xml:space="preserve">https://doi.org/10.15304/ag.31.2.1055</w:t>
        </w:r>
      </w:hyperlink>
    </w:p>
    <w:bookmarkEnd w:id="74"/>
    <w:bookmarkStart w:id="76"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5">
        <w:r>
          <w:rPr>
            <w:rStyle w:val="Hyperlink"/>
          </w:rPr>
          <w:t xml:space="preserve">https://doi.org/10.1387/theoria.490</w:t>
        </w:r>
      </w:hyperlink>
    </w:p>
    <w:bookmarkEnd w:id="76"/>
    <w:bookmarkStart w:id="77" w:name="ref-xeLEgneo"/>
    <w:p>
      <w:pPr>
        <w:pStyle w:val="Bibliography"/>
      </w:pPr>
      <w:r>
        <w:t xml:space="preserve">Grassi, E., &amp; Uexküll, T. von. (1950).</w:t>
      </w:r>
      <w:r>
        <w:t xml:space="preserve"> </w:t>
      </w:r>
      <w:r>
        <w:rPr>
          <w:iCs/>
          <w:i/>
        </w:rPr>
        <w:t xml:space="preserve">Von Ursprung und Grenzen der Geisteswissenschaften und Naturwissenschaften</w:t>
      </w:r>
      <w:r>
        <w:t xml:space="preserve">. L. Lehnen.</w:t>
      </w:r>
    </w:p>
    <w:bookmarkEnd w:id="77"/>
    <w:bookmarkStart w:id="78"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8"/>
    <w:bookmarkStart w:id="79"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9"/>
    <w:bookmarkStart w:id="81"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80">
        <w:r>
          <w:rPr>
            <w:rStyle w:val="Hyperlink"/>
          </w:rPr>
          <w:t xml:space="preserve">https://doi.org/10.1086/344621</w:t>
        </w:r>
      </w:hyperlink>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7"/>
    <w:bookmarkStart w:id="98"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8"/>
    <w:bookmarkStart w:id="99"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9"/>
    <w:bookmarkStart w:id="100"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0"/>
    <w:bookmarkStart w:id="101" w:name="ref-11rzEPTk5"/>
    <w:p>
      <w:pPr>
        <w:pStyle w:val="Bibliography"/>
      </w:pPr>
      <w:r>
        <w:t xml:space="preserve">Peirce, C. S., &amp; Hoopes, J. (1991).</w:t>
      </w:r>
      <w:r>
        <w:t xml:space="preserve"> </w:t>
      </w:r>
      <w:r>
        <w:rPr>
          <w:iCs/>
          <w:i/>
        </w:rPr>
        <w:t xml:space="preserve">Peirce on signs: writings on semiotic</w:t>
      </w:r>
      <w:r>
        <w:t xml:space="preserve">. University of North Carolina Press.</w:t>
      </w:r>
    </w:p>
    <w:bookmarkEnd w:id="101"/>
    <w:bookmarkStart w:id="103"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2">
        <w:r>
          <w:rPr>
            <w:rStyle w:val="Hyperlink"/>
          </w:rPr>
          <w:t xml:space="preserve">https://doi.org/10.1126/science.160.3834.1308</w:t>
        </w:r>
      </w:hyperlink>
    </w:p>
    <w:bookmarkEnd w:id="103"/>
    <w:bookmarkStart w:id="104"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4"/>
    <w:bookmarkStart w:id="105"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5"/>
    <w:bookmarkStart w:id="107"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6">
        <w:r>
          <w:rPr>
            <w:rStyle w:val="Hyperlink"/>
          </w:rPr>
          <w:t xml:space="preserve">https://doi.org/10.22201/iifs.18704913e.1984.30.771</w:t>
        </w:r>
      </w:hyperlink>
    </w:p>
    <w:bookmarkEnd w:id="107"/>
    <w:bookmarkStart w:id="109"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8">
        <w:r>
          <w:rPr>
            <w:rStyle w:val="Hyperlink"/>
          </w:rPr>
          <w:t xml:space="preserve">https://doi.org/10.1007/s12304-024-09569-8</w:t>
        </w:r>
      </w:hyperlink>
    </w:p>
    <w:bookmarkEnd w:id="109"/>
    <w:bookmarkStart w:id="111"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0">
        <w:r>
          <w:rPr>
            <w:rStyle w:val="Hyperlink"/>
          </w:rPr>
          <w:t xml:space="preserve">https://doi.org/10.12697/sss.2004.32.1-2.02</w:t>
        </w:r>
      </w:hyperlink>
    </w:p>
    <w:bookmarkEnd w:id="111"/>
    <w:bookmarkStart w:id="112"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2"/>
    <w:bookmarkStart w:id="113" w:name="ref-53H8iLZf"/>
    <w:p>
      <w:pPr>
        <w:pStyle w:val="Bibliography"/>
      </w:pPr>
      <w:r>
        <w:t xml:space="preserve">Short, T. L. (2007).</w:t>
      </w:r>
      <w:r>
        <w:t xml:space="preserve"> </w:t>
      </w:r>
      <w:r>
        <w:rPr>
          <w:iCs/>
          <w:i/>
        </w:rPr>
        <w:t xml:space="preserve">Peirce's theory of signs</w:t>
      </w:r>
      <w:r>
        <w:t xml:space="preserve">. Cambridge Univ Press.</w:t>
      </w:r>
    </w:p>
    <w:bookmarkEnd w:id="113"/>
    <w:bookmarkStart w:id="115"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4">
        <w:r>
          <w:rPr>
            <w:rStyle w:val="Hyperlink"/>
          </w:rPr>
          <w:t xml:space="preserve">https://www.jstor.org/stable/2096742</w:t>
        </w:r>
      </w:hyperlink>
    </w:p>
    <w:bookmarkEnd w:id="115"/>
    <w:bookmarkStart w:id="116"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6"/>
    <w:bookmarkStart w:id="117"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7"/>
    <w:bookmarkStart w:id="119" w:name="ref-Oo9zF7fF"/>
    <w:p>
      <w:pPr>
        <w:pStyle w:val="Bibliography"/>
      </w:pPr>
      <w:r>
        <w:t xml:space="preserve">Suárez Pascal, C. D. (2017). Merging Biological Metaphors. Creativity, Darwinism and Biosemiotics.</w:t>
      </w:r>
      <w:r>
        <w:t xml:space="preserve"> </w:t>
      </w:r>
      <w:r>
        <w:rPr>
          <w:iCs/>
          <w:i/>
        </w:rPr>
        <w:t xml:space="preserve">Biosemiotics</w:t>
      </w:r>
      <w:r>
        <w:t xml:space="preserve">,</w:t>
      </w:r>
      <w:r>
        <w:t xml:space="preserve"> </w:t>
      </w:r>
      <w:r>
        <w:rPr>
          <w:iCs/>
          <w:i/>
        </w:rPr>
        <w:t xml:space="preserve">10</w:t>
      </w:r>
      <w:r>
        <w:t xml:space="preserve">(3), 369-378.</w:t>
      </w:r>
      <w:r>
        <w:t xml:space="preserve"> </w:t>
      </w:r>
      <w:hyperlink r:id="rId118">
        <w:r>
          <w:rPr>
            <w:rStyle w:val="Hyperlink"/>
          </w:rPr>
          <w:t xml:space="preserve">https://doi.org/10.1007/s12304-017-9297-4</w:t>
        </w:r>
      </w:hyperlink>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Start w:id="130" w:name="ref-i01XgUGx"/>
    <w:p>
      <w:pPr>
        <w:pStyle w:val="Bibliography"/>
      </w:pPr>
      <w:r>
        <w:t xml:space="preserve">Wheeler, W. (2006).</w:t>
      </w:r>
      <w:r>
        <w:t xml:space="preserve"> </w:t>
      </w:r>
      <w:r>
        <w:rPr>
          <w:iCs/>
          <w:i/>
        </w:rPr>
        <w:t xml:space="preserve">The whole creature: complexity, biosemiotics and the evolution of culture</w:t>
      </w:r>
      <w:r>
        <w:t xml:space="preserve">. Lawrence &amp; Wishart.</w:t>
      </w:r>
    </w:p>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ba1688535ffca781e7e970f086ec1bb49e475d0b"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ba1688535ffca781e7e970f086ec1bb49e475d0b/"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ba1688535ffca781e7e970f086ec1bb49e475d0b"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ba1688535ffca781e7e970f086ec1bb49e475d0b/"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una nueva teoría biológica</dc:title>
  <dc:creator/>
  <dc:language>es</dc:language>
  <cp:keywords>biosemiótica, teorías biológicas, dualidad de código, interpretación orgánica, genética, evolución</cp:keywords>
  <dcterms:created xsi:type="dcterms:W3CDTF">2024-06-22T01:36:16Z</dcterms:created>
  <dcterms:modified xsi:type="dcterms:W3CDTF">2024-06-22T01:36:16Z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