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lugar</w:t>
      </w:r>
      <w:r>
        <w:t xml:space="preserve"> </w:t>
      </w:r>
      <w:r>
        <w:t xml:space="preserve">de</w:t>
      </w:r>
      <w:r>
        <w:t xml:space="preserve"> </w:t>
      </w:r>
      <w:r>
        <w:t xml:space="preserve">la</w:t>
      </w:r>
      <w:r>
        <w:t xml:space="preserve"> </w:t>
      </w:r>
      <w:r>
        <w:t xml:space="preserve">biosemiótica</w:t>
      </w:r>
      <w:r>
        <w:t xml:space="preserve"> </w:t>
      </w:r>
      <w:r>
        <w:t xml:space="preserve">en</w:t>
      </w:r>
      <w:r>
        <w:t xml:space="preserve"> </w:t>
      </w:r>
      <w:r>
        <w:t xml:space="preserve">la</w:t>
      </w:r>
      <w:r>
        <w:t xml:space="preserve"> </w:t>
      </w:r>
      <w:r>
        <w:t xml:space="preserve">biología</w:t>
      </w:r>
      <w:r>
        <w:t xml:space="preserve"> </w:t>
      </w:r>
      <w:r>
        <w:t xml:space="preserve">actual</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pascalin/biosemiotics@9594ac9</w:t>
        </w:r>
      </w:hyperlink>
      <w:r>
        <w:t xml:space="preserve"> </w:t>
      </w:r>
      <w:r>
        <w:t xml:space="preserve">on June 17,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las tesis centrales de la biosemiótica, las implicaciones de su irrupción para la biología contemporánea y su relación con otras teorías biológicas.</w:t>
      </w:r>
    </w:p>
    <w:bookmarkEnd w:id="45"/>
    <w:bookmarkStart w:id="47"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 International Society for Biosemiotic Studies),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t xml:space="preserve">Sin embargo, tampoco es factible atribuir toda la responsabilidad de esta situación a factores sociológicos o incluso políticos; aunque estos sin duda han jugado un papel tanto en el abandono anterior como en la recuperación reciente de algunas de las tesis que sostiene la biosemiótica actualmente.</w:t>
      </w:r>
      <w:r>
        <w:t xml:space="preserve"> </w:t>
      </w:r>
      <w:r>
        <w:t xml:space="preserve">Para explicar de manera más adecuada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6"/>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47"/>
    <w:bookmarkStart w:id="49"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De acuerdo con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sistema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1AEKznuGk">
        <w:r>
          <w:rPr>
            <w:rStyle w:val="Hyperlink"/>
            <w:iCs/>
            <w:i/>
          </w:rPr>
          <w:t xml:space="preserve">CEEOL - Error</w:t>
        </w:r>
        <w:r>
          <w:rPr>
            <w:rStyle w:val="Hyperlink"/>
          </w:rPr>
          <w:t xml:space="preserve">, s. f., pp. =275603,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a la biosemiótica como al trabajo de Uexküll, o incluso al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48"/>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p>
    <w:p>
      <w:pPr>
        <w:pStyle w:val="BodyText"/>
      </w:pPr>
      <w:r>
        <w:t xml:space="preserve">Una segunda tesis, defendida de manera implícita o explícita por múltiples proponentes en la biosemiótica, es la tesis de la causalidad semiótica, aunque, como veremos, un mejor nombre podría ser quizás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independencia parcial o total del ser vivo con respecto a aquellos procesos físicos y químicos subyacentes.</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 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considero que tiene sentido distinguirlas a fin de mostrar las diferentes maneras en que se pueden interpretar para dar lugar a distintas posturas al interior de la biosemiótica y podrían servir de base para caracterizar la posición defendida por diferentes exponentes, lo cual, a su vez, podría servir para examinar qué tan interrelacionadas están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de la biosemiótica como analizar su relación con las dos tesis básicas que acabamos de exponer.</w:t>
      </w:r>
      <w:r>
        <w:t xml:space="preserve"> </w:t>
      </w: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particularmente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de un sistema bajo control dual, tal como las máquinas y los seres vivos, lo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r>
        <w:t xml:space="preserve"> </w:t>
      </w: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r>
        <w:t xml:space="preserve"> </w:t>
      </w: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r>
        <w:t xml:space="preserve"> </w:t>
      </w:r>
      <w:r>
        <w:t xml:space="preserve">(</w:t>
      </w:r>
      <w:hyperlink w:anchor="ref-163PNLUMD">
        <w:r>
          <w:rPr>
            <w:rStyle w:val="Hyperlink"/>
          </w:rPr>
          <w:t xml:space="preserve">von Uexküll, 1928, p. 102</w:t>
        </w:r>
      </w:hyperlink>
      <w:r>
        <w:t xml:space="preserve">)</w:t>
      </w:r>
      <w:r>
        <w:t xml:space="preserve">:</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perceptual (</w:t>
      </w:r>
      <w:r>
        <w:rPr>
          <w:iCs/>
          <w:i/>
        </w:rPr>
        <w:t xml:space="preserve">Merkwelt</w:t>
      </w:r>
      <w:r>
        <w:t xml:space="preserve">) y mundo efectual (</w:t>
      </w:r>
      <w:r>
        <w:rPr>
          <w:iCs/>
          <w:i/>
        </w:rPr>
        <w:t xml:space="preserve">Wirkwelt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planteado por el círculo funcional las acciones desplegadas por el organismo son explicadas en términos del significado de los estímulos para el organismo, con base en su organización anatómica y fisiológica particular, más que en función de su naturaleza físico-química.</w:t>
      </w:r>
      <w:r>
        <w:t xml:space="preserve"> </w:t>
      </w:r>
      <w:r>
        <w:t xml:space="preserve">Así, si bien la tesis de la dualidad pareciera tener en Uexküll también un carácter ontológico, la tesis de la interpretación orgánica podría entenderse, en principio, en un sentido tanto pragmático como epistémico.</w:t>
      </w:r>
    </w:p>
    <w:p>
      <w:pPr>
        <w:pStyle w:val="BodyText"/>
      </w:pPr>
      <w:r>
        <w:t xml:space="preserve">No obstante, independientemente del sentido preciso en que se entiendan, las dos tesis descritas aquí pretenden contribuir teóricamente a la biología, esto es, son propuestas que buscan ayudar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49"/>
    <w:bookmarkStart w:id="50"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atención preponderante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pondría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r>
        <w:t xml:space="preserve"> </w:t>
      </w: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w:t>
      </w:r>
      <w:r>
        <w:t xml:space="preserve"> </w:t>
      </w:r>
      <w:r>
        <w:t xml:space="preserve">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misma idea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punto quizás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construir.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o que el desajuste en la coordinación entre los organismos y su entorno influyera directamente en la organización adaptándola a fin de eliminar el desajuste, o que los procesos físico-químicos por su simple operación fueran suficientes para generar la organización de manera espontánea.</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w:t>
      </w:r>
      <w:r>
        <w:t xml:space="preserve"> </w:t>
      </w:r>
      <w:r>
        <w:t xml:space="preserve">De hecho, dependiendo de cómo esté estructurado el entorno de un organismo, parece más factible el pensar que esas variaciones provoquen errores,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equivaldrían a la codificación analógica de ese pool génico</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propuesta de Hoffmeyer rescata, al menos parcialmente, la concepción poblacional asociada particularmente al darwinismo, la aplicación de su tesis de dualidad del código a las poblaciones biológicas podría resultar un poco forzada, pues en conjunto con su identificación del DNA con un sistema con dualidad de código, que mencionamos anteriormente y según la cual tanto las proteínas como el organismo corresponderían a codificaciones análogas, su aplicación a las poblaciones podría corresponder con una proliferación innecesaria de su modelo, equiparable con la idea, extrapolada de la síntesis moderna, de que la selección natural opera (y domina) en los más distintos niveles de la realidad.</w:t>
      </w:r>
      <w:r>
        <w:t xml:space="preserve"> </w:t>
      </w:r>
      <w:r>
        <w:t xml:space="preserve">En cualquier caso, la cuestión sobre los ámbitos de aplicación de la dualidad de código es algo que sería necesario explorar de forma empírica.</w:t>
      </w:r>
      <w:r>
        <w:t xml:space="preserve"> </w:t>
      </w:r>
      <w:r>
        <w:t xml:space="preserve">En cambio, un segundo aspecto de su propuesta que puede resultar esclarecedor tiene que ver con el papel de la codificación analógica,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 y podríamos aventurar, siguiendo esta observación de Uexküll, que es precisamente la interacción analógica la que sirve de semilla para la construcción de nuevos planes de organización.</w:t>
      </w:r>
      <w:r>
        <w:t xml:space="preserve"> </w:t>
      </w:r>
      <w:r>
        <w:t xml:space="preserve">Sin embargo, actualmente desconocemos cómo es que esto puede ocurrir.</w:t>
      </w:r>
    </w:p>
    <w:p>
      <w:pPr>
        <w:pStyle w:val="BodyText"/>
      </w:pPr>
      <w:r>
        <w:t xml:space="preserve">Autores como Hoffmeyer y Kull 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muy notables con las propuestas del primero</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teoría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echa de menos en la biología contemporánea.</w:t>
      </w:r>
      <w:r>
        <w:t xml:space="preserve"> </w:t>
      </w:r>
      <w:r>
        <w:t xml:space="preserve">Por otro lado, el establecimiento de convenciones naturales por medio de procesos biológicos de codificación hacia el que apunta Barbieri pareciera estar un poco más lejos de lo que el logro de la síntesis evolutiva moderna parecía indicarnos.</w:t>
      </w:r>
      <w:r>
        <w:t xml:space="preserve"> </w:t>
      </w:r>
      <w:r>
        <w:t xml:space="preserve">En particular, como sugieren tanto Uexküll como Hoffmeyer,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revelaciones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w:t>
      </w:r>
      <w:r>
        <w:t xml:space="preserve"> </w:t>
      </w:r>
      <w:r>
        <w:t xml:space="preserve">Ambos problemas sumamente relevantes para comprender y enfrentar las crisis a las que nos enfrentamos actualmente en relación con el cambio climático.</w:t>
      </w:r>
    </w:p>
    <w:bookmarkEnd w:id="50"/>
    <w:bookmarkStart w:id="51" w:name="conclusiones"/>
    <w:p>
      <w:pPr>
        <w:pStyle w:val="Heading2"/>
      </w:pPr>
      <w:r>
        <w:t xml:space="preserve">Conclusiones</w:t>
      </w:r>
    </w:p>
    <w:p>
      <w:pPr>
        <w:pStyle w:val="FirstParagraph"/>
      </w:pPr>
      <w:r>
        <w:t xml:space="preserve">Ya hace más de medio siglo Ernst Mayr creía estar en posesión de la respuesta a la pregunta sobre dónde sí y dónde no era legítimo hablar de propósito y de concordancia a un propósito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 de organizado.</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Ya Uexküll señalaba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r>
        <w:t xml:space="preserve"> </w:t>
      </w: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1"/>
    <w:bookmarkStart w:id="101" w:name="references"/>
    <w:p>
      <w:pPr>
        <w:pStyle w:val="Heading2"/>
      </w:pPr>
      <w:r>
        <w:t xml:space="preserve">References</w:t>
      </w:r>
    </w:p>
    <w:bookmarkStart w:id="100" w:name="refs"/>
    <w:bookmarkStart w:id="53" w:name="ref-458UG3nq"/>
    <w:p>
      <w:pPr>
        <w:pStyle w:val="Bibliography"/>
      </w:pPr>
      <w:r>
        <w:t xml:space="preserve">(s. f.).</w:t>
      </w:r>
      <w:r>
        <w:t xml:space="preserve"> </w:t>
      </w:r>
      <w:hyperlink r:id="rId52">
        <w:r>
          <w:rPr>
            <w:rStyle w:val="Hyperlink"/>
          </w:rPr>
          <w:t xml:space="preserve">https://jrp.icaap.org/index.php/jrp/article/view/510/412</w:t>
        </w:r>
      </w:hyperlink>
    </w:p>
    <w:bookmarkEnd w:id="53"/>
    <w:bookmarkStart w:id="54" w:name="ref-FUBA4hgk"/>
    <w:p>
      <w:pPr>
        <w:pStyle w:val="Bibliography"/>
      </w:pPr>
      <w:r>
        <w:t xml:space="preserve">Anderson, M., &amp; Merrell, F. (Eds.). (1991).</w:t>
      </w:r>
      <w:r>
        <w:t xml:space="preserve"> </w:t>
      </w:r>
      <w:r>
        <w:rPr>
          <w:iCs/>
          <w:i/>
        </w:rPr>
        <w:t xml:space="preserve">On semiotic modeling</w:t>
      </w:r>
      <w:r>
        <w:t xml:space="preserve">. Mouton de Gruyter.</w:t>
      </w:r>
    </w:p>
    <w:bookmarkEnd w:id="54"/>
    <w:bookmarkStart w:id="56"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5">
        <w:r>
          <w:rPr>
            <w:rStyle w:val="Hyperlink"/>
          </w:rPr>
          <w:t xml:space="preserve">https://doi.org/10.1007/s00114-008-0368-x</w:t>
        </w:r>
      </w:hyperlink>
    </w:p>
    <w:bookmarkEnd w:id="56"/>
    <w:bookmarkStart w:id="58"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7">
        <w:r>
          <w:rPr>
            <w:rStyle w:val="Hyperlink"/>
          </w:rPr>
          <w:t xml:space="preserve">https://doi.org/10.1007/978-1-4020-6340-4_2</w:t>
        </w:r>
      </w:hyperlink>
    </w:p>
    <w:bookmarkEnd w:id="58"/>
    <w:bookmarkStart w:id="60" w:name="ref-1AEKznuGk"/>
    <w:p>
      <w:pPr>
        <w:pStyle w:val="Bibliography"/>
      </w:pPr>
      <w:r>
        <w:rPr>
          <w:iCs/>
          <w:i/>
        </w:rPr>
        <w:t xml:space="preserve">CEEOL - Error</w:t>
      </w:r>
      <w:r>
        <w:t xml:space="preserve">. (s. f.). Recuperado 17 de junio de 2024, de</w:t>
      </w:r>
      <w:r>
        <w:t xml:space="preserve"> </w:t>
      </w:r>
      <w:hyperlink r:id="rId59">
        <w:r>
          <w:rPr>
            <w:rStyle w:val="Hyperlink"/>
          </w:rPr>
          <w:t xml:space="preserve">https://www.ceeol.com/error-pages/object-not-found</w:t>
        </w:r>
      </w:hyperlink>
    </w:p>
    <w:bookmarkEnd w:id="60"/>
    <w:bookmarkStart w:id="62"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1">
        <w:r>
          <w:rPr>
            <w:rStyle w:val="Hyperlink"/>
          </w:rPr>
          <w:t xml:space="preserve">https://doi.org/10.2307/4444260</w:t>
        </w:r>
      </w:hyperlink>
    </w:p>
    <w:bookmarkEnd w:id="62"/>
    <w:bookmarkStart w:id="64"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3">
        <w:r>
          <w:rPr>
            <w:rStyle w:val="Hyperlink"/>
          </w:rPr>
          <w:t xml:space="preserve">https://doi.org/10.1007/978-1-4020-9650-1_1</w:t>
        </w:r>
      </w:hyperlink>
    </w:p>
    <w:bookmarkEnd w:id="64"/>
    <w:bookmarkStart w:id="65"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65"/>
    <w:bookmarkStart w:id="66" w:name="ref-16UDFCguE"/>
    <w:p>
      <w:pPr>
        <w:pStyle w:val="Bibliography"/>
      </w:pPr>
      <w:r>
        <w:t xml:space="preserve">Gibbons, M. (1994).</w:t>
      </w:r>
      <w:r>
        <w:t xml:space="preserve"> </w:t>
      </w:r>
      <w:r>
        <w:rPr>
          <w:iCs/>
          <w:i/>
        </w:rPr>
        <w:t xml:space="preserve">The new production of knowledge: the dynamics of science and research in contemporary societies</w:t>
      </w:r>
      <w:r>
        <w:t xml:space="preserve">. SAGE Publications.</w:t>
      </w:r>
    </w:p>
    <w:bookmarkEnd w:id="66"/>
    <w:bookmarkStart w:id="67"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67"/>
    <w:bookmarkStart w:id="68"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68"/>
    <w:bookmarkStart w:id="70"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69">
        <w:r>
          <w:rPr>
            <w:rStyle w:val="Hyperlink"/>
          </w:rPr>
          <w:t xml:space="preserve">https://doi.org/10.1086/344621</w:t>
        </w:r>
      </w:hyperlink>
    </w:p>
    <w:bookmarkEnd w:id="70"/>
    <w:bookmarkStart w:id="71"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71"/>
    <w:bookmarkStart w:id="73"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72">
        <w:r>
          <w:rPr>
            <w:rStyle w:val="Hyperlink"/>
          </w:rPr>
          <w:t xml:space="preserve">https://doi.org/10.7551/mitpress/3824.003.0002</w:t>
        </w:r>
      </w:hyperlink>
    </w:p>
    <w:bookmarkEnd w:id="73"/>
    <w:bookmarkStart w:id="74"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74"/>
    <w:bookmarkStart w:id="75"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75"/>
    <w:bookmarkStart w:id="76"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76"/>
    <w:bookmarkStart w:id="78"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77">
        <w:r>
          <w:rPr>
            <w:rStyle w:val="Hyperlink"/>
          </w:rPr>
          <w:t xml:space="preserve">https://doi.org/10.1126/science.134.3489.1501</w:t>
        </w:r>
      </w:hyperlink>
    </w:p>
    <w:bookmarkEnd w:id="78"/>
    <w:bookmarkStart w:id="79" w:name="ref-j0BgISRh"/>
    <w:p>
      <w:pPr>
        <w:pStyle w:val="Bibliography"/>
      </w:pPr>
      <w:r>
        <w:t xml:space="preserve">Morin, E. (1982).</w:t>
      </w:r>
      <w:r>
        <w:t xml:space="preserve"> </w:t>
      </w:r>
      <w:r>
        <w:rPr>
          <w:iCs/>
          <w:i/>
        </w:rPr>
        <w:t xml:space="preserve">Science avec conscience</w:t>
      </w:r>
      <w:r>
        <w:t xml:space="preserve">. Fayard.</w:t>
      </w:r>
    </w:p>
    <w:bookmarkEnd w:id="79"/>
    <w:bookmarkStart w:id="80" w:name="ref-2dB95zQK"/>
    <w:p>
      <w:pPr>
        <w:pStyle w:val="Bibliography"/>
      </w:pPr>
      <w:r>
        <w:t xml:space="preserve">Nicolescu, B. (1996).</w:t>
      </w:r>
      <w:r>
        <w:t xml:space="preserve"> </w:t>
      </w:r>
      <w:r>
        <w:rPr>
          <w:iCs/>
          <w:i/>
        </w:rPr>
        <w:t xml:space="preserve">La transdisciplinarité: manifeste</w:t>
      </w:r>
      <w:r>
        <w:t xml:space="preserve">. Editions du Rocher.</w:t>
      </w:r>
    </w:p>
    <w:bookmarkEnd w:id="80"/>
    <w:bookmarkStart w:id="81"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81"/>
    <w:bookmarkStart w:id="82"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82"/>
    <w:bookmarkStart w:id="84"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83">
        <w:r>
          <w:rPr>
            <w:rStyle w:val="Hyperlink"/>
          </w:rPr>
          <w:t xml:space="preserve">https://doi.org/10.1126/science.160.3834.1308</w:t>
        </w:r>
      </w:hyperlink>
    </w:p>
    <w:bookmarkEnd w:id="84"/>
    <w:bookmarkStart w:id="86"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85">
        <w:r>
          <w:rPr>
            <w:rStyle w:val="Hyperlink"/>
          </w:rPr>
          <w:t xml:space="preserve">https://doi.org/10.1007/s12304-024-09569-8</w:t>
        </w:r>
      </w:hyperlink>
    </w:p>
    <w:bookmarkEnd w:id="86"/>
    <w:bookmarkStart w:id="87"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87"/>
    <w:bookmarkStart w:id="89"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88">
        <w:r>
          <w:rPr>
            <w:rStyle w:val="Hyperlink"/>
          </w:rPr>
          <w:t xml:space="preserve">https://www.jstor.org/stable/2096742</w:t>
        </w:r>
      </w:hyperlink>
    </w:p>
    <w:bookmarkEnd w:id="89"/>
    <w:bookmarkStart w:id="91"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90">
        <w:r>
          <w:rPr>
            <w:rStyle w:val="Hyperlink"/>
          </w:rPr>
          <w:t xml:space="preserve">https://doi.org/10.1007/s10838-021-09552-8</w:t>
        </w:r>
      </w:hyperlink>
    </w:p>
    <w:bookmarkEnd w:id="91"/>
    <w:bookmarkStart w:id="92"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92"/>
    <w:bookmarkStart w:id="93"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93"/>
    <w:bookmarkStart w:id="95"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94">
        <w:r>
          <w:rPr>
            <w:rStyle w:val="Hyperlink"/>
          </w:rPr>
          <w:t xml:space="preserve">https://doi.org/10.1007/978-3-642-91036-4_15</w:t>
        </w:r>
      </w:hyperlink>
    </w:p>
    <w:bookmarkEnd w:id="95"/>
    <w:bookmarkStart w:id="97"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96">
        <w:r>
          <w:rPr>
            <w:rStyle w:val="Hyperlink"/>
          </w:rPr>
          <w:t xml:space="preserve">https://doi.org/10.1007/978-3-662-36634-9</w:t>
        </w:r>
      </w:hyperlink>
    </w:p>
    <w:bookmarkEnd w:id="97"/>
    <w:bookmarkStart w:id="99"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98">
        <w:r>
          <w:rPr>
            <w:rStyle w:val="Hyperlink"/>
          </w:rPr>
          <w:t xml:space="preserve">https://doi.org/10.1515/semi.1982.42.1.25</w:t>
        </w:r>
      </w:hyperlink>
    </w:p>
    <w:bookmarkEnd w:id="99"/>
    <w:bookmarkEnd w:id="100"/>
    <w:bookmarkEnd w:id="10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El concepto de transdisciplina fue propuesto originalmente por Piaget</w:t>
      </w:r>
      <w:r>
        <w:t xml:space="preserve"> </w:t>
      </w:r>
      <w:r>
        <w:t xml:space="preserve">(</w:t>
      </w:r>
      <w:hyperlink w:anchor="ref-458UG3nq">
        <w:r>
          <w:rPr>
            <w:rStyle w:val="Hyperlink"/>
          </w:rPr>
          <w:t xml:space="preserve">s. f.</w:t>
        </w:r>
      </w:hyperlink>
      <w:r>
        <w:t xml:space="preserve">)</w:t>
      </w:r>
      <w:r>
        <w:t xml:space="preserve"> </w:t>
      </w:r>
      <w:r>
        <w:t xml:space="preserve">y fue desarrollado por Morin</w:t>
      </w:r>
      <w:r>
        <w:t xml:space="preserve"> </w:t>
      </w:r>
      <w:r>
        <w:t xml:space="preserve">(</w:t>
      </w:r>
      <w:hyperlink w:anchor="ref-j0BgISRh">
        <w:r>
          <w:rPr>
            <w:rStyle w:val="Hyperlink"/>
          </w:rPr>
          <w:t xml:space="preserve">Morin, 1982</w:t>
        </w:r>
      </w:hyperlink>
      <w:r>
        <w:t xml:space="preserve">)</w:t>
      </w:r>
      <w:r>
        <w:t xml:space="preserve"> </w:t>
      </w:r>
      <w:r>
        <w:t xml:space="preserve">y por Nicolescu</w:t>
      </w:r>
      <w:r>
        <w:t xml:space="preserve"> </w:t>
      </w:r>
      <w:r>
        <w:t xml:space="preserve">(</w:t>
      </w:r>
      <w:hyperlink w:anchor="ref-2dB95zQK">
        <w:r>
          <w:rPr>
            <w:rStyle w:val="Hyperlink"/>
          </w:rPr>
          <w:t xml:space="preserve">Nicolescu, 1996</w:t>
        </w:r>
      </w:hyperlink>
      <w:r>
        <w:t xml:space="preserve">)</w:t>
      </w:r>
      <w:r>
        <w:t xml:space="preserve"> </w:t>
      </w:r>
      <w:r>
        <w:t xml:space="preserve">como una ambiciosa propuesta metateórica (o meta-metateórica), y por Gibbons, Limoges, Nowotny, Schwartzman, Scott &amp; Trow</w:t>
      </w:r>
      <w:r>
        <w:t xml:space="preserve"> </w:t>
      </w:r>
      <w:r>
        <w:t xml:space="preserve">(</w:t>
      </w:r>
      <w:hyperlink w:anchor="ref-16UDFCguE">
        <w:r>
          <w:rPr>
            <w:rStyle w:val="Hyperlink"/>
          </w:rPr>
          <w:t xml:space="preserve">Gibbons, 1994</w:t>
        </w:r>
      </w:hyperlink>
      <w:r>
        <w:t xml:space="preserve">)</w:t>
      </w:r>
      <w:r>
        <w:t xml:space="preserve"> </w:t>
      </w:r>
      <w:r>
        <w:t xml:space="preserve">como una propuesta también metateórica pero más enfocada en las condiciones actuales de producción del conocimiento.</w:t>
      </w:r>
    </w:p>
  </w:footnote>
  <w:footnote w:id="48">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 Si bien se trata de una diferencia sutil con respecto a la posición de Polanyi y de otros autores, este señalamiento de Hoffmeyer colocaría su versión de la dualidad de código más cerca de la propuesta de Uexküll, como señalaremos más adelante.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57" Target="https://doi.org/10.1007/978-1-4020-6340-4_2" TargetMode="External" /><Relationship Type="http://schemas.openxmlformats.org/officeDocument/2006/relationships/hyperlink" Id="rId63" Target="https://doi.org/10.1007/978-1-4020-9650-1_1" TargetMode="External" /><Relationship Type="http://schemas.openxmlformats.org/officeDocument/2006/relationships/hyperlink" Id="rId94" Target="https://doi.org/10.1007/978-3-642-91036-4_15" TargetMode="External" /><Relationship Type="http://schemas.openxmlformats.org/officeDocument/2006/relationships/hyperlink" Id="rId96" Target="https://doi.org/10.1007/978-3-662-36634-9" TargetMode="External" /><Relationship Type="http://schemas.openxmlformats.org/officeDocument/2006/relationships/hyperlink" Id="rId55" Target="https://doi.org/10.1007/s00114-008-0368-x" TargetMode="External" /><Relationship Type="http://schemas.openxmlformats.org/officeDocument/2006/relationships/hyperlink" Id="rId90" Target="https://doi.org/10.1007/s10838-021-09552-8" TargetMode="External" /><Relationship Type="http://schemas.openxmlformats.org/officeDocument/2006/relationships/hyperlink" Id="rId85" Target="https://doi.org/10.1007/s12304-024-09569-8" TargetMode="External" /><Relationship Type="http://schemas.openxmlformats.org/officeDocument/2006/relationships/hyperlink" Id="rId69" Target="https://doi.org/10.1086/344621" TargetMode="External" /><Relationship Type="http://schemas.openxmlformats.org/officeDocument/2006/relationships/hyperlink" Id="rId77" Target="https://doi.org/10.1126/science.134.3489.1501" TargetMode="External" /><Relationship Type="http://schemas.openxmlformats.org/officeDocument/2006/relationships/hyperlink" Id="rId83" Target="https://doi.org/10.1126/science.160.3834.1308" TargetMode="External" /><Relationship Type="http://schemas.openxmlformats.org/officeDocument/2006/relationships/hyperlink" Id="rId98" Target="https://doi.org/10.1515/semi.1982.42.1.25" TargetMode="External" /><Relationship Type="http://schemas.openxmlformats.org/officeDocument/2006/relationships/hyperlink" Id="rId61" Target="https://doi.org/10.2307/4444260" TargetMode="External" /><Relationship Type="http://schemas.openxmlformats.org/officeDocument/2006/relationships/hyperlink" Id="rId72"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9594ac95e43cdf92c6a7bb3a1f159eff3ff38c7e" TargetMode="External" /><Relationship Type="http://schemas.openxmlformats.org/officeDocument/2006/relationships/hyperlink" Id="rId52" Target="https://jrp.icaap.org/index.php/jrp/article/view/510/412"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9594ac95e43cdf92c6a7bb3a1f159eff3ff38c7e/"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59" Target="https://www.ceeol.com/error-pages/object-not-found" TargetMode="External" /><Relationship Type="http://schemas.openxmlformats.org/officeDocument/2006/relationships/hyperlink" Id="rId88" Target="https://www.jstor.org/stable/2096742"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978-1-4020-6340-4_2" TargetMode="External" /><Relationship Type="http://schemas.openxmlformats.org/officeDocument/2006/relationships/hyperlink" Id="rId63" Target="https://doi.org/10.1007/978-1-4020-9650-1_1" TargetMode="External" /><Relationship Type="http://schemas.openxmlformats.org/officeDocument/2006/relationships/hyperlink" Id="rId94" Target="https://doi.org/10.1007/978-3-642-91036-4_15" TargetMode="External" /><Relationship Type="http://schemas.openxmlformats.org/officeDocument/2006/relationships/hyperlink" Id="rId96" Target="https://doi.org/10.1007/978-3-662-36634-9" TargetMode="External" /><Relationship Type="http://schemas.openxmlformats.org/officeDocument/2006/relationships/hyperlink" Id="rId55" Target="https://doi.org/10.1007/s00114-008-0368-x" TargetMode="External" /><Relationship Type="http://schemas.openxmlformats.org/officeDocument/2006/relationships/hyperlink" Id="rId90" Target="https://doi.org/10.1007/s10838-021-09552-8" TargetMode="External" /><Relationship Type="http://schemas.openxmlformats.org/officeDocument/2006/relationships/hyperlink" Id="rId85" Target="https://doi.org/10.1007/s12304-024-09569-8" TargetMode="External" /><Relationship Type="http://schemas.openxmlformats.org/officeDocument/2006/relationships/hyperlink" Id="rId69" Target="https://doi.org/10.1086/344621" TargetMode="External" /><Relationship Type="http://schemas.openxmlformats.org/officeDocument/2006/relationships/hyperlink" Id="rId77" Target="https://doi.org/10.1126/science.134.3489.1501" TargetMode="External" /><Relationship Type="http://schemas.openxmlformats.org/officeDocument/2006/relationships/hyperlink" Id="rId83" Target="https://doi.org/10.1126/science.160.3834.1308" TargetMode="External" /><Relationship Type="http://schemas.openxmlformats.org/officeDocument/2006/relationships/hyperlink" Id="rId98" Target="https://doi.org/10.1515/semi.1982.42.1.25" TargetMode="External" /><Relationship Type="http://schemas.openxmlformats.org/officeDocument/2006/relationships/hyperlink" Id="rId61" Target="https://doi.org/10.2307/4444260" TargetMode="External" /><Relationship Type="http://schemas.openxmlformats.org/officeDocument/2006/relationships/hyperlink" Id="rId72"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9594ac95e43cdf92c6a7bb3a1f159eff3ff38c7e" TargetMode="External" /><Relationship Type="http://schemas.openxmlformats.org/officeDocument/2006/relationships/hyperlink" Id="rId52" Target="https://jrp.icaap.org/index.php/jrp/article/view/510/412"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9594ac95e43cdf92c6a7bb3a1f159eff3ff38c7e/"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59" Target="https://www.ceeol.com/error-pages/object-not-found" TargetMode="External" /><Relationship Type="http://schemas.openxmlformats.org/officeDocument/2006/relationships/hyperlink" Id="rId88" Target="https://www.jstor.org/stable/20967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lugar de la biosemiótica en la biología actual</dc:title>
  <dc:creator/>
  <dc:language>es</dc:language>
  <cp:keywords>biosemiótica, teorías biológicas, darwinismo, dualidad de código</cp:keywords>
  <dcterms:created xsi:type="dcterms:W3CDTF">2024-06-17T13:23:34Z</dcterms:created>
  <dcterms:modified xsi:type="dcterms:W3CDTF">2024-06-17T13:23:34Z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