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teoría</w:t>
      </w:r>
      <w:r>
        <w:t xml:space="preserve"> </w:t>
      </w:r>
      <w:r>
        <w:t xml:space="preserve">biológica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pascalin/biosemiotics@ee968e1</w:t>
        </w:r>
      </w:hyperlink>
      <w:r>
        <w:t xml:space="preserve"> </w:t>
      </w:r>
      <w:r>
        <w:t xml:space="preserve">on June 22,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multifacético, o plural, para expresarlo en términos más actuales.</w:t>
      </w:r>
      <w:r>
        <w:t xml:space="preserve"> </w:t>
      </w:r>
      <w:r>
        <w:t xml:space="preserve">De hecho se ha descrito como un campo inter- o incluso transdisciplinario, por lo que tiene mucho sentido plantearse la pregunta con respecto a su relación con la biología.</w:t>
      </w:r>
      <w:r>
        <w:t xml:space="preserve"> </w:t>
      </w:r>
      <w:r>
        <w:t xml:space="preserve">Tanto desde el punto de vista teórico, como desde el histórico o incluso del sociológico, esta pregunta resulta interesante.</w:t>
      </w:r>
      <w:r>
        <w:t xml:space="preserve"> </w:t>
      </w:r>
      <w:r>
        <w:t xml:space="preserve">Sin embargo,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dos tesis centrales de la biosemiótica (la dualidad de código y la interpretación orgánica), las implicaciones de su irrupción para la biología contemporánea y su relación con otras teorías biológicas.</w:t>
      </w:r>
      <w:r>
        <w:t xml:space="preserve"> </w:t>
      </w:r>
      <w:r>
        <w:t xml:space="preserve">Después de este examen, se propone que incluso cuando la biosemiótica, entendida en sentido amplio, tiene algunas conexiones con otras disciplinas más allá de la biología, tales como la semiótica y la filosofía, en términos estrictos se trata de una nueva teoría biológica que articula una manera original de aproximarse a los seres vivos y a los procesos biológicos.</w:t>
      </w:r>
    </w:p>
    <w:bookmarkEnd w:id="45"/>
    <w:bookmarkStart w:id="46" w:name="abstract"/>
    <w:p>
      <w:pPr>
        <w:pStyle w:val="Heading2"/>
      </w:pPr>
      <w:r>
        <w:t xml:space="preserve">Abstract</w:t>
      </w:r>
    </w:p>
    <w:p>
      <w:pPr>
        <w:pStyle w:val="FirstParagraph"/>
      </w:pPr>
      <w:r>
        <w:t xml:space="preserve">Contemporary biosemiotics is multi-faceted, or plural (to employ a more current term).</w:t>
      </w:r>
      <w:r>
        <w:t xml:space="preserve"> </w:t>
      </w:r>
      <w:r>
        <w:t xml:space="preserve">Indeed, it has been depicted as an inter- or even a transdisciplinary field, which turns the issue of its relationship with biology into a very relevant question.</w:t>
      </w:r>
      <w:r>
        <w:t xml:space="preserve"> </w:t>
      </w:r>
      <w:r>
        <w:t xml:space="preserve">This problem can be approached from a theoretical, historical, or sociological perspective.</w:t>
      </w:r>
      <w:r>
        <w:t xml:space="preserve"> </w:t>
      </w:r>
      <w:r>
        <w:t xml:space="preserve">However, based on its unclear disciplinary status and the contrived character of some theses to which it has been related, it is necessary to analyze whether bio</w:t>
      </w:r>
      <w:r>
        <w:rPr>
          <w:iCs/>
          <w:i/>
        </w:rPr>
        <w:t xml:space="preserve">semiotics</w:t>
      </w:r>
      <w:r>
        <w:t xml:space="preserve"> </w:t>
      </w:r>
      <w:r>
        <w:t xml:space="preserve">is a new biological theory, an application of semiotics to biology (something similar to disciplines such as bio</w:t>
      </w:r>
      <w:r>
        <w:rPr>
          <w:iCs/>
          <w:i/>
        </w:rPr>
        <w:t xml:space="preserve">physics</w:t>
      </w:r>
      <w:r>
        <w:t xml:space="preserve">, bio</w:t>
      </w:r>
      <w:r>
        <w:rPr>
          <w:iCs/>
          <w:i/>
        </w:rPr>
        <w:t xml:space="preserve">chemistry</w:t>
      </w:r>
      <w:r>
        <w:t xml:space="preserve">, bio</w:t>
      </w:r>
      <w:r>
        <w:rPr>
          <w:iCs/>
          <w:i/>
        </w:rPr>
        <w:t xml:space="preserve">statistics</w:t>
      </w:r>
      <w:r>
        <w:t xml:space="preserve">, etc.), or rather a philosophical proposal.</w:t>
      </w:r>
      <w:r>
        <w:t xml:space="preserve"> </w:t>
      </w:r>
      <w:r>
        <w:t xml:space="preserve">To answer some of these questions, this paper deals mainly with theoretical issues to analyze two central biosemiotic theses (code-duality and organic interpretation), their consequences for today’s biology, and their relationships with other biological theories.</w:t>
      </w:r>
      <w:r>
        <w:t xml:space="preserve"> </w:t>
      </w:r>
      <w:r>
        <w:t xml:space="preserve">After this examination, the conclusion is advanced that even though biosemiotics, construed in broad terms, has some connections with disciplines beyond biology, such as semiotics and philosophy, strictly speaking, it is a new biological theory that articulates an original approach to living beings and to biological processes.</w:t>
      </w:r>
    </w:p>
    <w:bookmarkEnd w:id="46"/>
    <w:bookmarkStart w:id="50"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7">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rPr>
          <w:rStyle w:val="FootnoteReference"/>
        </w:rPr>
        <w:footnoteReference w:id="48"/>
      </w:r>
      <w:r>
        <w:t xml:space="preserve">.</w:t>
      </w:r>
      <w:r>
        <w:t xml:space="preserve"> </w:t>
      </w:r>
      <w:r>
        <w:t xml:space="preserve">Sin embargo, tampoco es factible atribuir toda la responsabilidad de esta situación a factores sociológicos o incluso políticos; aunque estos sin duda han jugado un papel importante tanto en el abandono anterior como en la recuperación reciente de algunas de las tesis que sostiene la biosemiótica actualmente.</w:t>
      </w:r>
      <w:r>
        <w:t xml:space="preserve"> </w:t>
      </w:r>
      <w:r>
        <w:t xml:space="preserve">Otro factor importante es con seguridad simplemente el desconocimiento de las propuestas concretas planteadas por la biosemiótica, lo que dificulta a su vez el análisis desde el punto de vista de los estudios sobre la ciencia.</w:t>
      </w:r>
      <w:r>
        <w:t xml:space="preserve"> </w:t>
      </w:r>
      <w:r>
        <w:t xml:space="preserve">Por lo tanto, si queremos entender a cabalidad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r>
        <w:t xml:space="preserve"> </w:t>
      </w:r>
      <w:r>
        <w:t xml:space="preserve">Eso es precisamente lo que nos hemos propuesto hacer en este trabajo.</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las biomatemáticas,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9"/>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50"/>
    <w:bookmarkStart w:id="52"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como propuse previamente</w:t>
      </w:r>
      <w:r>
        <w:t xml:space="preserve"> </w:t>
      </w:r>
      <w:r>
        <w:t xml:space="preserve">(</w:t>
      </w:r>
      <w:hyperlink w:anchor="ref-DI7UW0KI">
        <w:r>
          <w:rPr>
            <w:rStyle w:val="Hyperlink"/>
          </w:rPr>
          <w:t xml:space="preserve">Suárez Pascal, 2021, pp. 9-10</w:t>
        </w:r>
      </w:hyperlink>
      <w:r>
        <w:t xml:space="preserve">)</w:t>
      </w:r>
      <w:r>
        <w:t xml:space="preserv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Según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ser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de la biosemiótica como del trabajo de Uexküll, o incluso del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51"/>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r>
        <w:t xml:space="preserve"> </w:t>
      </w:r>
      <w:r>
        <w:t xml:space="preserve">De hecho, como señalaremos más adelante, Polanyi acepta la posibilidad de gradualidad con respecto al control dual, lo que, en conjunto con su reconocimiento del carácter pragmático de la distinción entre los dos tipos de fronteras, flexibilizaría un poco su posición ontológica.</w:t>
      </w:r>
    </w:p>
    <w:p>
      <w:pPr>
        <w:pStyle w:val="BodyText"/>
      </w:pPr>
      <w:r>
        <w:t xml:space="preserve">Una segunda tesis, defendida de manera implícita o explícita por múltiples proponentes en la biosemiótica, es la tesis de la interpretación orgánica (como la hemos titulado aquí).</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Por esto mismo podrían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clave de la biosemiótica como analizar su relación con las dos tesis básicas que acabamos de exponer.</w:t>
      </w:r>
    </w:p>
    <w:p>
      <w:pPr>
        <w:pStyle w:val="BodyText"/>
      </w:pP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directamente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en un sistema bajo control dual (tal como las máquinas y los seres vivos) la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del círculo funcional las acciones desplegadas por el organismo son explicadas en términos del significado de los estímulos para el organismo, con base en su organización anatómica y fisiológica particular, más que en función de la naturaleza físico-química de aquellos factores que inciden sobre él.</w:t>
      </w:r>
      <w:r>
        <w:t xml:space="preserve"> </w:t>
      </w:r>
      <w:r>
        <w:t xml:space="preserve">Así, si bien la tesis de la dualidad pareciera tener en Uexküll también un carácter ontológico, la tesis de la interpretación orgánica podría entenderse, en principio, en un sentido tanto pragmático como epistémico, o incluso ontológico, dependiendo del rol que se asigne a la organización en la explicación del comportamiento de los organismos.</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2"/>
    <w:bookmarkStart w:id="54"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Ernst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tanto términos teóricos como filosóficos, es posible 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 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pone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 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idea misma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la naturaleza;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r>
        <w:t xml:space="preserve"> </w:t>
      </w:r>
      <w:r>
        <w:rPr>
          <w:rStyle w:val="FootnoteReference"/>
        </w:rPr>
        <w:footnoteReference w:id="53"/>
      </w:r>
      <w:r>
        <w:t xml:space="preserve">.</w:t>
      </w:r>
    </w:p>
    <w:p>
      <w:pPr>
        <w:pStyle w:val="BodyText"/>
      </w:pPr>
      <w:r>
        <w:t xml:space="preserve">Aunque la exploración detallada de las relaciones interteóricas entre la biosemiótica y otras teorías existentes en la biología contemporánea rebasa el alcance de este trabajo, a continuación hago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plantear.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la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propongo que son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 directamente en la organización adaptándola a fin de eliminar el desajuste, pero si tal desajuste puede ser percibido por el organismo, y si este puede modificar su comportamiento en respuesta al mismo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simple bobina eléctrica.</w:t>
      </w:r>
      <w:r>
        <w:t xml:space="preserve"> </w:t>
      </w:r>
      <w:r>
        <w:t xml:space="preserve">En tanto que no podemos descartar la importancia para la evolución de fenómenos como los autoorganizativos, en los que un proceso físico-químico genera sus propias condiciones de frontera, esto es muy diferente de las propuestas lamarckianas, pues más que explicar el surgimiento de la organización éstas parecen asumirla a la hora de explicar el cambio adaptativo.</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 pues, para empezar, cada variación en el organismo tendrá que ser compensada por cambios en otras partes de manera que se siga manteniendo la coordinación, lo cual difícilmente podría ocurrir de manera azarosa.</w:t>
      </w:r>
      <w:r>
        <w:t xml:space="preserve"> </w:t>
      </w:r>
      <w:r>
        <w:t xml:space="preserve">De hecho, dependiendo de cómo esté estructurado el entorno de un organismo, parece más factible el pensar que esas variaciones provoquen errores, posiblemente catastróficos para el organismo,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también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físico, equivaldrían a la codificación analógica de ese pool génico.</w:t>
      </w:r>
    </w:p>
    <w:p>
      <w:pPr>
        <w:pStyle w:val="BodyText"/>
      </w:pPr>
      <w:r>
        <w:t xml:space="preserve">Esta propuesta de Hoffmeyer es notable, en primer lugar, porque rescata parte de la concepción poblacional asociada particularmente al darwinismo, sin embargo, a pesar de su parecido, introduce una diferencia con respecto a autores como Dawkins, Sober, o el mismo Mayr al aclarar que el tipo de interacción que se da entre las poblaciones y su entorno se relaciona con su concepción de codificación analógica.</w:t>
      </w:r>
      <w:r>
        <w:t xml:space="preserve"> </w:t>
      </w:r>
      <w:r>
        <w:t xml:space="preserve">En sus propios términos:</w:t>
      </w:r>
      <w:r>
        <w:t xml:space="preserve"> </w:t>
      </w:r>
      <w:r>
        <w:t xml:space="preserve">“</w:t>
      </w:r>
      <w:r>
        <w:t xml:space="preserve">The population could in this sense be considered a codification that itself expresses a message.</w:t>
      </w:r>
      <w:r>
        <w:t xml:space="preserve"> </w:t>
      </w:r>
      <w:r>
        <w:t xml:space="preserve">This codification, however, is necessarily analog—since it has to interact with the physical surroundings, and thus must share with these surroundings the properties of physical extension and contiguity</w:t>
      </w:r>
      <w:r>
        <w:t xml:space="preserve">”</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diferencia planteada por este autor con respecto a otros modelos poblacionales parece menor, esto es también porque requiere un mayor refinamiento en dos sentidos distintos.</w:t>
      </w:r>
      <w:r>
        <w:t xml:space="preserve"> </w:t>
      </w:r>
      <w:r>
        <w:t xml:space="preserve">En primer lugar tendríamos que examinar la cuestión de la legitimidad de la atribución de dualidad de código a las poblaciones biológicas, pues, en función de lo que hemos descrito con respecto a esta tesis, esto dependería o de la existencia de una cierta estructura en las poblaciones que nos permitiera aplicar hasta un cierto punto la idea de la interpretación orgánica, o de la existencia de una codificación digital que sirva de auto-referencia a la población y determine su estructura.</w:t>
      </w:r>
      <w:r>
        <w:t xml:space="preserve"> </w:t>
      </w:r>
      <w:r>
        <w:t xml:space="preserve">Este asunto no queda del todo claro en Hoffmeyer, aunque él ubica tal codificación en el pool génico.</w:t>
      </w:r>
      <w:r>
        <w:t xml:space="preserve"> </w:t>
      </w:r>
      <w:r>
        <w:t xml:space="preserve">Sin embargo, igual que ocurre con otros modelos como los de la autoorganización, o aquellos que se basan en la idea de selección natural, la aplicabilidad de las tesis propuestas por la biosemiótica a los distintos niveles de la realidad debería ser examinada caso por caso, aún cuando cierta pretensión expansionista sea comprensible desde la perspectiva de la dinámica científica.</w:t>
      </w:r>
    </w:p>
    <w:p>
      <w:pPr>
        <w:pStyle w:val="BodyText"/>
      </w:pPr>
      <w:r>
        <w:t xml:space="preserve">En segundo lugar, algo que está esbozado en la propuesta de Hoffmeyer, pero que él no desarrolla lo suficiente tiene que ver con el papel particular que le atribuye a la codificación analógica en este proceso, pues es ésta la que interactúa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w:t>
      </w:r>
      <w:r>
        <w:t xml:space="preserve"> </w:t>
      </w:r>
      <w:r>
        <w:t xml:space="preserve">(</w:t>
      </w:r>
      <w:hyperlink w:anchor="ref-DrMYyFdG">
        <w:r>
          <w:rPr>
            <w:rStyle w:val="Hyperlink"/>
          </w:rPr>
          <w:t xml:space="preserve">VON UEXKÜLL, 1982, pp. 65-68</w:t>
        </w:r>
      </w:hyperlink>
      <w:r>
        <w:t xml:space="preserve">)</w:t>
      </w:r>
      <w:r>
        <w:t xml:space="preserve">; y podría aventurarse, siguiendo esta observación de Uexküll, que es precisamente la interacción analógica la que serviría de semilla para la construcción de nuevos planes de organización.</w:t>
      </w:r>
      <w:r>
        <w:t xml:space="preserve"> </w:t>
      </w:r>
      <w:r>
        <w:t xml:space="preserve">Este asunto parece pasar desapercibido para Hoffmeyer, quizás debido a su aceptación de una separación, al estilo de Weismann, entre ambas formas de codificación.</w:t>
      </w:r>
      <w:r>
        <w:t xml:space="preserve"> </w:t>
      </w:r>
      <w:r>
        <w:t xml:space="preserve">Sin embargo, aun cuando actualmente desconocemos cómo es que esto puede ocurrir, postulo que se trata de una de las vías más promisorias que se pueden plantear a partir de la biosemiótica y cuyas ramificaciones teóricas valdría la pena explorar.</w:t>
      </w:r>
    </w:p>
    <w:p>
      <w:pPr>
        <w:pStyle w:val="BodyText"/>
      </w:pPr>
      <w:r>
        <w:t xml:space="preserve">Autores como Hoffmeyer y Kull</w:t>
      </w:r>
      <w:r>
        <w:t xml:space="preserve"> </w:t>
      </w:r>
      <w:r>
        <w:t xml:space="preserve">(</w:t>
      </w:r>
      <w:hyperlink w:anchor="ref-14sQOAJD1">
        <w:r>
          <w:rPr>
            <w:rStyle w:val="Hyperlink"/>
          </w:rPr>
          <w:t xml:space="preserve">Kull, 1999</w:t>
        </w:r>
      </w:hyperlink>
      <w:r>
        <w:t xml:space="preserve">,</w:t>
      </w:r>
      <w:r>
        <w:t xml:space="preserve"> </w:t>
      </w:r>
      <w:hyperlink w:anchor="ref-1FrmVIFmA">
        <w:r>
          <w:rPr>
            <w:rStyle w:val="Hyperlink"/>
          </w:rPr>
          <w:t xml:space="preserve">2004</w:t>
        </w:r>
      </w:hyperlink>
      <w:r>
        <w:t xml:space="preserve">,</w:t>
      </w:r>
      <w:r>
        <w:t xml:space="preserve"> </w:t>
      </w:r>
      <w:hyperlink w:anchor="ref-bsEYD3vb">
        <w:r>
          <w:rPr>
            <w:rStyle w:val="Hyperlink"/>
          </w:rPr>
          <w:t xml:space="preserve">2013</w:t>
        </w:r>
      </w:hyperlink>
      <w:r>
        <w:t xml:space="preserve">)</w:t>
      </w:r>
      <w:r>
        <w:t xml:space="preserve"> </w:t>
      </w:r>
      <w:r>
        <w:t xml:space="preserve">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señalé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y amplios sectores de la biosemiótica echan de menos en la biología contemporánea.</w:t>
      </w:r>
      <w:r>
        <w:t xml:space="preserve"> </w:t>
      </w:r>
      <w:r>
        <w:t xml:space="preserve">Por otro lado, el esclarecimiento de la manera en que se establecen convenciones naturales por medio de procesos biológicos de codificación hacia los que apunta Barbieri pareciera requerir otros recursos teóricos, adicionales a los que la síntesis evolutiva moderna e incluso la así llamada síntesis extendida nos han proporcionado hasta ahora.</w:t>
      </w:r>
    </w:p>
    <w:p>
      <w:pPr>
        <w:pStyle w:val="BodyText"/>
      </w:pPr>
      <w:r>
        <w:t xml:space="preserve">En particular, como sugiere Uexküll,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preponderante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avances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todos ellos problemas sumamente relevantes para comprender y enfrentar las crisis a las que nos enfrentamos actualmente en relación con el cambio climático.</w:t>
      </w:r>
    </w:p>
    <w:bookmarkEnd w:id="54"/>
    <w:bookmarkStart w:id="55" w:name="conclusiones"/>
    <w:p>
      <w:pPr>
        <w:pStyle w:val="Heading2"/>
      </w:pPr>
      <w:r>
        <w:t xml:space="preserve">Conclusiones</w:t>
      </w:r>
    </w:p>
    <w:p>
      <w:pPr>
        <w:pStyle w:val="FirstParagraph"/>
      </w:pPr>
      <w:r>
        <w:t xml:space="preserve">Hace ya más de medio siglo Ernst Mayr creía estar en posesión de la respuesta a la pregunta sobre dónde sí y dónde no era legítimo hablar de propósito y de intencionalidad (</w:t>
      </w:r>
      <w:r>
        <w:rPr>
          <w:iCs/>
          <w:i/>
        </w:rPr>
        <w:t xml:space="preserve">purposefulness</w:t>
      </w:r>
      <w:r>
        <w:t xml:space="preserve">)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5"/>
    <w:bookmarkStart w:id="131" w:name="references"/>
    <w:p>
      <w:pPr>
        <w:pStyle w:val="Heading2"/>
      </w:pPr>
      <w:r>
        <w:t xml:space="preserve">References</w:t>
      </w:r>
    </w:p>
    <w:bookmarkStart w:id="130" w:name="refs"/>
    <w:bookmarkStart w:id="56" w:name="ref-FUBA4hgk"/>
    <w:p>
      <w:pPr>
        <w:pStyle w:val="Bibliography"/>
      </w:pPr>
      <w:r>
        <w:t xml:space="preserve">Anderson, M., &amp; Merrell, F. (Eds.). (1991).</w:t>
      </w:r>
      <w:r>
        <w:t xml:space="preserve"> </w:t>
      </w:r>
      <w:r>
        <w:rPr>
          <w:iCs/>
          <w:i/>
        </w:rPr>
        <w:t xml:space="preserve">On semiotic modeling</w:t>
      </w:r>
      <w:r>
        <w:t xml:space="preserve">. Mouton de Gruyter.</w:t>
      </w:r>
    </w:p>
    <w:bookmarkEnd w:id="56"/>
    <w:bookmarkStart w:id="58"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7">
        <w:r>
          <w:rPr>
            <w:rStyle w:val="Hyperlink"/>
          </w:rPr>
          <w:t xml:space="preserve">https://doi.org/10.1007/s00114-008-0368-x</w:t>
        </w:r>
      </w:hyperlink>
    </w:p>
    <w:bookmarkEnd w:id="58"/>
    <w:bookmarkStart w:id="60"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59">
        <w:r>
          <w:rPr>
            <w:rStyle w:val="Hyperlink"/>
          </w:rPr>
          <w:t xml:space="preserve">https://doi.org/10.1007/978-1-4020-6340-4_2</w:t>
        </w:r>
      </w:hyperlink>
    </w:p>
    <w:bookmarkEnd w:id="60"/>
    <w:bookmarkStart w:id="62" w:name="ref-1ECXYs1vk"/>
    <w:p>
      <w:pPr>
        <w:pStyle w:val="Bibliography"/>
      </w:pPr>
      <w:r>
        <w:t xml:space="preserve">Barbieri, M. (2009). A Short History of Biosemiotics.</w:t>
      </w:r>
      <w:r>
        <w:t xml:space="preserve"> </w:t>
      </w:r>
      <w:r>
        <w:rPr>
          <w:iCs/>
          <w:i/>
        </w:rPr>
        <w:t xml:space="preserve">Biosemiotics</w:t>
      </w:r>
      <w:r>
        <w:t xml:space="preserve">,</w:t>
      </w:r>
      <w:r>
        <w:t xml:space="preserve"> </w:t>
      </w:r>
      <w:r>
        <w:rPr>
          <w:iCs/>
          <w:i/>
        </w:rPr>
        <w:t xml:space="preserve">2</w:t>
      </w:r>
      <w:r>
        <w:t xml:space="preserve">(2), 221-245.</w:t>
      </w:r>
      <w:r>
        <w:t xml:space="preserve"> </w:t>
      </w:r>
      <w:hyperlink r:id="rId61">
        <w:r>
          <w:rPr>
            <w:rStyle w:val="Hyperlink"/>
          </w:rPr>
          <w:t xml:space="preserve">https://doi.org/10.1007/s12304-009-9042-8</w:t>
        </w:r>
      </w:hyperlink>
    </w:p>
    <w:bookmarkEnd w:id="62"/>
    <w:bookmarkStart w:id="64" w:name="ref-CUbLggqm"/>
    <w:p>
      <w:pPr>
        <w:pStyle w:val="Bibliography"/>
      </w:pPr>
      <w:r>
        <w:t xml:space="preserve">Bernstein, J. H. (2015). Transdisciplinarity: A Review of Its Origins, Development, and Current Issues.</w:t>
      </w:r>
      <w:r>
        <w:t xml:space="preserve"> </w:t>
      </w:r>
      <w:r>
        <w:rPr>
          <w:iCs/>
          <w:i/>
        </w:rPr>
        <w:t xml:space="preserve">Journal of Research Practice</w:t>
      </w:r>
      <w:r>
        <w:t xml:space="preserve">,</w:t>
      </w:r>
      <w:r>
        <w:t xml:space="preserve"> </w:t>
      </w:r>
      <w:r>
        <w:rPr>
          <w:iCs/>
          <w:i/>
        </w:rPr>
        <w:t xml:space="preserve">11</w:t>
      </w:r>
      <w:r>
        <w:t xml:space="preserve">(1), R1-R1.</w:t>
      </w:r>
      <w:r>
        <w:t xml:space="preserve"> </w:t>
      </w:r>
      <w:hyperlink r:id="rId63">
        <w:r>
          <w:rPr>
            <w:rStyle w:val="Hyperlink"/>
          </w:rPr>
          <w:t xml:space="preserve">http://jrp.icaap.org/index.php/jrp/article/view/510</w:t>
        </w:r>
      </w:hyperlink>
    </w:p>
    <w:bookmarkEnd w:id="64"/>
    <w:bookmarkStart w:id="65" w:name="ref-iWTyQl69"/>
    <w:p>
      <w:pPr>
        <w:pStyle w:val="Bibliography"/>
      </w:pPr>
      <w:r>
        <w:t xml:space="preserve">Brentari, C., &amp; Brentari, C. (2015).</w:t>
      </w:r>
      <w:r>
        <w:t xml:space="preserve"> </w:t>
      </w:r>
      <w:r>
        <w:rPr>
          <w:iCs/>
          <w:i/>
        </w:rPr>
        <w:t xml:space="preserve">Jakob von Uexküll: the discovery of the umwelt between biosemiotics and theoretical biology</w:t>
      </w:r>
      <w:r>
        <w:t xml:space="preserve">. Springer.</w:t>
      </w:r>
    </w:p>
    <w:bookmarkEnd w:id="65"/>
    <w:bookmarkStart w:id="67" w:name="ref-v4zOjEho"/>
    <w:p>
      <w:pPr>
        <w:pStyle w:val="Bibliography"/>
      </w:pPr>
      <w:r>
        <w:t xml:space="preserve">Caponi, G. (2013). Teleología Naturalizada (Naturalized Teleology): Los conceptos de función, aptitud y adaptación en la Teoría de la Selección Natural (The concepts of function, fitness and adaptation in Natural Selection Theory).</w:t>
      </w:r>
      <w:r>
        <w:t xml:space="preserve"> </w:t>
      </w:r>
      <w:r>
        <w:rPr>
          <w:iCs/>
          <w:i/>
        </w:rPr>
        <w:t xml:space="preserve">Theoria: An International Journal for Theory, History and Foundations of Science</w:t>
      </w:r>
      <w:r>
        <w:t xml:space="preserve">,</w:t>
      </w:r>
      <w:r>
        <w:t xml:space="preserve"> </w:t>
      </w:r>
      <w:r>
        <w:rPr>
          <w:iCs/>
          <w:i/>
        </w:rPr>
        <w:t xml:space="preserve">28</w:t>
      </w:r>
      <w:r>
        <w:t xml:space="preserve">(1), 97-114.</w:t>
      </w:r>
      <w:r>
        <w:t xml:space="preserve"> </w:t>
      </w:r>
      <w:hyperlink r:id="rId66">
        <w:r>
          <w:rPr>
            <w:rStyle w:val="Hyperlink"/>
          </w:rPr>
          <w:t xml:space="preserve">https://www.pdcnet.org/pdc/bvdb.nsf/purchase?openform&amp;fp=theoria&amp;id=theoria_2013_0028_0001_0097_0114</w:t>
        </w:r>
      </w:hyperlink>
    </w:p>
    <w:bookmarkEnd w:id="67"/>
    <w:bookmarkStart w:id="69"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8">
        <w:r>
          <w:rPr>
            <w:rStyle w:val="Hyperlink"/>
          </w:rPr>
          <w:t xml:space="preserve">https://doi.org/10.2307/4444260</w:t>
        </w:r>
      </w:hyperlink>
    </w:p>
    <w:bookmarkEnd w:id="69"/>
    <w:bookmarkStart w:id="71"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70">
        <w:r>
          <w:rPr>
            <w:rStyle w:val="Hyperlink"/>
          </w:rPr>
          <w:t xml:space="preserve">https://doi.org/10.1007/978-1-4020-9650-1_1</w:t>
        </w:r>
      </w:hyperlink>
    </w:p>
    <w:bookmarkEnd w:id="71"/>
    <w:bookmarkStart w:id="72"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72"/>
    <w:bookmarkStart w:id="73" w:name="ref-16UDFCguE"/>
    <w:p>
      <w:pPr>
        <w:pStyle w:val="Bibliography"/>
      </w:pPr>
      <w:r>
        <w:t xml:space="preserve">Gibbons, M. (1994).</w:t>
      </w:r>
      <w:r>
        <w:t xml:space="preserve"> </w:t>
      </w:r>
      <w:r>
        <w:rPr>
          <w:iCs/>
          <w:i/>
        </w:rPr>
        <w:t xml:space="preserve">The new production of knowledge: the dynamics of science and research in contemporary societies</w:t>
      </w:r>
      <w:r>
        <w:t xml:space="preserve">. SAGE Publications.</w:t>
      </w:r>
    </w:p>
    <w:bookmarkEnd w:id="73"/>
    <w:bookmarkStart w:id="75" w:name="ref-9uUCimkt"/>
    <w:p>
      <w:pPr>
        <w:pStyle w:val="Bibliography"/>
      </w:pPr>
      <w:r>
        <w:t xml:space="preserve">Ginnobili, S. (1970). Reconstrucción estructuralista de la teoría de la selección natural.</w:t>
      </w:r>
      <w:r>
        <w:t xml:space="preserve"> </w:t>
      </w:r>
      <w:r>
        <w:rPr>
          <w:iCs/>
          <w:i/>
        </w:rPr>
        <w:t xml:space="preserve">Agora: papeles de Filosofía</w:t>
      </w:r>
      <w:r>
        <w:t xml:space="preserve">,</w:t>
      </w:r>
      <w:r>
        <w:t xml:space="preserve"> </w:t>
      </w:r>
      <w:r>
        <w:rPr>
          <w:iCs/>
          <w:i/>
        </w:rPr>
        <w:t xml:space="preserve">31</w:t>
      </w:r>
      <w:r>
        <w:t xml:space="preserve">(2).</w:t>
      </w:r>
      <w:r>
        <w:t xml:space="preserve"> </w:t>
      </w:r>
      <w:hyperlink r:id="rId74">
        <w:r>
          <w:rPr>
            <w:rStyle w:val="Hyperlink"/>
          </w:rPr>
          <w:t xml:space="preserve">https://doi.org/10.15304/ag.31.2.1055</w:t>
        </w:r>
      </w:hyperlink>
    </w:p>
    <w:bookmarkEnd w:id="75"/>
    <w:bookmarkStart w:id="77" w:name="ref-jR3eBnkS"/>
    <w:p>
      <w:pPr>
        <w:pStyle w:val="Bibliography"/>
      </w:pPr>
      <w:r>
        <w:t xml:space="preserve">Ginnobili, S. (2010). La teoría de la selección natural darwiniana.</w:t>
      </w:r>
      <w:r>
        <w:t xml:space="preserve"> </w:t>
      </w:r>
      <w:r>
        <w:rPr>
          <w:iCs/>
          <w:i/>
        </w:rPr>
        <w:t xml:space="preserve">THEORIA</w:t>
      </w:r>
      <w:r>
        <w:t xml:space="preserve">,</w:t>
      </w:r>
      <w:r>
        <w:t xml:space="preserve"> </w:t>
      </w:r>
      <w:r>
        <w:rPr>
          <w:iCs/>
          <w:i/>
        </w:rPr>
        <w:t xml:space="preserve">25</w:t>
      </w:r>
      <w:r>
        <w:t xml:space="preserve">(1), 37-58.</w:t>
      </w:r>
      <w:r>
        <w:t xml:space="preserve"> </w:t>
      </w:r>
      <w:hyperlink r:id="rId76">
        <w:r>
          <w:rPr>
            <w:rStyle w:val="Hyperlink"/>
          </w:rPr>
          <w:t xml:space="preserve">https://doi.org/10.1387/theoria.490</w:t>
        </w:r>
      </w:hyperlink>
    </w:p>
    <w:bookmarkEnd w:id="77"/>
    <w:bookmarkStart w:id="78"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78"/>
    <w:bookmarkStart w:id="79"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79"/>
    <w:bookmarkStart w:id="81"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80">
        <w:r>
          <w:rPr>
            <w:rStyle w:val="Hyperlink"/>
          </w:rPr>
          <w:t xml:space="preserve">https://doi.org/10.1086/344621</w:t>
        </w:r>
      </w:hyperlink>
    </w:p>
    <w:bookmarkEnd w:id="81"/>
    <w:bookmarkStart w:id="82" w:name="ref-14sQOAJD1"/>
    <w:p>
      <w:pPr>
        <w:pStyle w:val="Bibliography"/>
      </w:pPr>
      <w:r>
        <w:t xml:space="preserve">Kull, K. (1999). Umwelt and evolution: from Uexküll to post-Darwinism. En E. Taborsky (Ed.),</w:t>
      </w:r>
      <w:r>
        <w:t xml:space="preserve"> </w:t>
      </w:r>
      <w:r>
        <w:rPr>
          <w:iCs/>
          <w:i/>
        </w:rPr>
        <w:t xml:space="preserve">Semiosis. Evolution. Energy: Towards a Reconceptualization of the Sign</w:t>
      </w:r>
      <w:r>
        <w:t xml:space="preserve"> </w:t>
      </w:r>
      <w:r>
        <w:t xml:space="preserve">(pp. 53-70). Shaker.</w:t>
      </w:r>
    </w:p>
    <w:bookmarkEnd w:id="82"/>
    <w:bookmarkStart w:id="84" w:name="ref-1DnVyaRmY"/>
    <w:p>
      <w:pPr>
        <w:pStyle w:val="Bibliography"/>
      </w:pPr>
      <w:r>
        <w:t xml:space="preserve">Kull, K. (Ed.). (2001). Jakob von Uexküll: An introduction.</w:t>
      </w:r>
      <w:r>
        <w:t xml:space="preserve"> </w:t>
      </w:r>
      <w:r>
        <w:rPr>
          <w:iCs/>
          <w:i/>
        </w:rPr>
        <w:t xml:space="preserve">Semi</w:t>
      </w:r>
      <w:r>
        <w:t xml:space="preserve">,</w:t>
      </w:r>
      <w:r>
        <w:t xml:space="preserve"> </w:t>
      </w:r>
      <w:r>
        <w:rPr>
          <w:iCs/>
          <w:i/>
        </w:rPr>
        <w:t xml:space="preserve">2001</w:t>
      </w:r>
      <w:r>
        <w:t xml:space="preserve">(134), 1-59.</w:t>
      </w:r>
      <w:r>
        <w:t xml:space="preserve"> </w:t>
      </w:r>
      <w:hyperlink r:id="rId83">
        <w:r>
          <w:rPr>
            <w:rStyle w:val="Hyperlink"/>
          </w:rPr>
          <w:t xml:space="preserve">https://doi.org/10.1515/semi.2001.013</w:t>
        </w:r>
      </w:hyperlink>
    </w:p>
    <w:bookmarkEnd w:id="84"/>
    <w:bookmarkStart w:id="86" w:name="ref-1FrmVIFmA"/>
    <w:p>
      <w:pPr>
        <w:pStyle w:val="Bibliography"/>
      </w:pPr>
      <w:r>
        <w:t xml:space="preserve">Kull, K. (2004). Uexküll and the post-modern evolutionism.</w:t>
      </w:r>
      <w:r>
        <w:t xml:space="preserve"> </w:t>
      </w:r>
      <w:r>
        <w:rPr>
          <w:iCs/>
          <w:i/>
        </w:rPr>
        <w:t xml:space="preserve">Sign Systems Studies</w:t>
      </w:r>
      <w:r>
        <w:t xml:space="preserve">,</w:t>
      </w:r>
      <w:r>
        <w:t xml:space="preserve"> </w:t>
      </w:r>
      <w:r>
        <w:rPr>
          <w:iCs/>
          <w:i/>
        </w:rPr>
        <w:t xml:space="preserve">32</w:t>
      </w:r>
      <w:r>
        <w:t xml:space="preserve">(1/2), 99-114.</w:t>
      </w:r>
      <w:r>
        <w:t xml:space="preserve"> </w:t>
      </w:r>
      <w:hyperlink r:id="rId85">
        <w:r>
          <w:rPr>
            <w:rStyle w:val="Hyperlink"/>
          </w:rPr>
          <w:t xml:space="preserve">https://www.pdcnet.org/pdc/bvdb.nsf/purchase?openform&amp;fp=signsystems&amp;id=signsystems_2004_0032_40910_0099_0114</w:t>
        </w:r>
      </w:hyperlink>
    </w:p>
    <w:bookmarkEnd w:id="86"/>
    <w:bookmarkStart w:id="88" w:name="ref-bsEYD3vb"/>
    <w:p>
      <w:pPr>
        <w:pStyle w:val="Bibliography"/>
      </w:pPr>
      <w:r>
        <w:t xml:space="preserve">Kull, K. (2013). Adaptive evolution without natural selection.</w:t>
      </w:r>
      <w:r>
        <w:t xml:space="preserve"> </w:t>
      </w:r>
      <w:r>
        <w:rPr>
          <w:iCs/>
          <w:i/>
        </w:rPr>
        <w:t xml:space="preserve">Biological Journal of the Linnean Society</w:t>
      </w:r>
      <w:r>
        <w:t xml:space="preserve">,</w:t>
      </w:r>
      <w:r>
        <w:t xml:space="preserve"> </w:t>
      </w:r>
      <w:r>
        <w:rPr>
          <w:iCs/>
          <w:i/>
        </w:rPr>
        <w:t xml:space="preserve">112</w:t>
      </w:r>
      <w:r>
        <w:t xml:space="preserve">(2), 287-294.</w:t>
      </w:r>
      <w:r>
        <w:t xml:space="preserve"> </w:t>
      </w:r>
      <w:hyperlink r:id="rId87">
        <w:r>
          <w:rPr>
            <w:rStyle w:val="Hyperlink"/>
          </w:rPr>
          <w:t xml:space="preserve">https://doi.org/10.1111/bij.12124</w:t>
        </w:r>
      </w:hyperlink>
    </w:p>
    <w:bookmarkEnd w:id="88"/>
    <w:bookmarkStart w:id="89"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89"/>
    <w:bookmarkStart w:id="91"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90">
        <w:r>
          <w:rPr>
            <w:rStyle w:val="Hyperlink"/>
          </w:rPr>
          <w:t xml:space="preserve">https://doi.org/10.7551/mitpress/3824.003.0002</w:t>
        </w:r>
      </w:hyperlink>
    </w:p>
    <w:bookmarkEnd w:id="91"/>
    <w:bookmarkStart w:id="92"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92"/>
    <w:bookmarkStart w:id="93"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93"/>
    <w:bookmarkStart w:id="94"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94"/>
    <w:bookmarkStart w:id="96"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95">
        <w:r>
          <w:rPr>
            <w:rStyle w:val="Hyperlink"/>
          </w:rPr>
          <w:t xml:space="preserve">https://doi.org/10.1126/science.134.3489.1501</w:t>
        </w:r>
      </w:hyperlink>
    </w:p>
    <w:bookmarkEnd w:id="96"/>
    <w:bookmarkStart w:id="97" w:name="ref-107ubuTL4"/>
    <w:p>
      <w:pPr>
        <w:pStyle w:val="Bibliography"/>
      </w:pPr>
      <w:r>
        <w:t xml:space="preserve">Michelini, F., &amp; Köchy, K. (Eds.). (2020).</w:t>
      </w:r>
      <w:r>
        <w:t xml:space="preserve"> </w:t>
      </w:r>
      <w:r>
        <w:rPr>
          <w:iCs/>
          <w:i/>
        </w:rPr>
        <w:t xml:space="preserve">Jakob von Uexküll and philosophy: life, environments, anthropology</w:t>
      </w:r>
      <w:r>
        <w:t xml:space="preserve">. Routledge/Taylor &amp; Francis Group.</w:t>
      </w:r>
    </w:p>
    <w:bookmarkEnd w:id="97"/>
    <w:bookmarkStart w:id="98" w:name="ref-17HSgYcEE"/>
    <w:p>
      <w:pPr>
        <w:pStyle w:val="Bibliography"/>
      </w:pPr>
      <w:r>
        <w:t xml:space="preserve">Mildenberger, F. (2007).</w:t>
      </w:r>
      <w:r>
        <w:t xml:space="preserve"> </w:t>
      </w:r>
      <w:r>
        <w:rPr>
          <w:iCs/>
          <w:i/>
        </w:rPr>
        <w:t xml:space="preserve">Umwelt als Vision: Leben und Werk Jakob von Uexkülls (1864-1944)</w:t>
      </w:r>
      <w:r>
        <w:t xml:space="preserve">. F. Steiner.</w:t>
      </w:r>
    </w:p>
    <w:bookmarkEnd w:id="98"/>
    <w:bookmarkStart w:id="99" w:name="ref-j0BgISRh"/>
    <w:p>
      <w:pPr>
        <w:pStyle w:val="Bibliography"/>
      </w:pPr>
      <w:r>
        <w:t xml:space="preserve">Morin, E. (1982).</w:t>
      </w:r>
      <w:r>
        <w:t xml:space="preserve"> </w:t>
      </w:r>
      <w:r>
        <w:rPr>
          <w:iCs/>
          <w:i/>
        </w:rPr>
        <w:t xml:space="preserve">Science avec conscience</w:t>
      </w:r>
      <w:r>
        <w:t xml:space="preserve">. Fayard.</w:t>
      </w:r>
    </w:p>
    <w:bookmarkEnd w:id="99"/>
    <w:bookmarkStart w:id="100" w:name="ref-2dB95zQK"/>
    <w:p>
      <w:pPr>
        <w:pStyle w:val="Bibliography"/>
      </w:pPr>
      <w:r>
        <w:t xml:space="preserve">Nicolescu, B. (1996).</w:t>
      </w:r>
      <w:r>
        <w:t xml:space="preserve"> </w:t>
      </w:r>
      <w:r>
        <w:rPr>
          <w:iCs/>
          <w:i/>
        </w:rPr>
        <w:t xml:space="preserve">La transdisciplinarité: manifeste</w:t>
      </w:r>
      <w:r>
        <w:t xml:space="preserve">. Editions du Rocher.</w:t>
      </w:r>
    </w:p>
    <w:bookmarkEnd w:id="100"/>
    <w:bookmarkStart w:id="101"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101"/>
    <w:bookmarkStart w:id="102"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102"/>
    <w:bookmarkStart w:id="104" w:name="ref-bhNCs7h4"/>
    <w:p>
      <w:pPr>
        <w:pStyle w:val="Bibliography"/>
      </w:pPr>
      <w:r>
        <w:t xml:space="preserve">Piaget, J. (1972). The Epistemology of Interdisciplinary Relationships. En</w:t>
      </w:r>
      <w:r>
        <w:t xml:space="preserve"> </w:t>
      </w:r>
      <w:r>
        <w:rPr>
          <w:iCs/>
          <w:i/>
        </w:rPr>
        <w:t xml:space="preserve">Interdisciplinarity: Problems of Teaching and Research in Universities</w:t>
      </w:r>
      <w:r>
        <w:t xml:space="preserve"> </w:t>
      </w:r>
      <w:r>
        <w:t xml:space="preserve">(pp. 127-139). OECD Publications Center, Suite 1207, 1750 Pennsylvania Avenue, N.</w:t>
      </w:r>
      <w:r>
        <w:t xml:space="preserve"> </w:t>
      </w:r>
      <w:hyperlink r:id="rId103">
        <w:r>
          <w:rPr>
            <w:rStyle w:val="Hyperlink"/>
          </w:rPr>
          <w:t xml:space="preserve">https://eric.ed.gov/?id=ED061895</w:t>
        </w:r>
      </w:hyperlink>
    </w:p>
    <w:bookmarkEnd w:id="104"/>
    <w:bookmarkStart w:id="106"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105">
        <w:r>
          <w:rPr>
            <w:rStyle w:val="Hyperlink"/>
          </w:rPr>
          <w:t xml:space="preserve">https://doi.org/10.1126/science.160.3834.1308</w:t>
        </w:r>
      </w:hyperlink>
    </w:p>
    <w:bookmarkEnd w:id="106"/>
    <w:bookmarkStart w:id="107" w:name="ref-hW5TSQKV"/>
    <w:p>
      <w:pPr>
        <w:pStyle w:val="Bibliography"/>
      </w:pPr>
      <w:r>
        <w:t xml:space="preserve">Ponce de León, M. (1987).</w:t>
      </w:r>
      <w:r>
        <w:t xml:space="preserve"> </w:t>
      </w:r>
      <w:r>
        <w:rPr>
          <w:iCs/>
          <w:i/>
        </w:rPr>
        <w:t xml:space="preserve">La explicación teleológica</w:t>
      </w:r>
      <w:r>
        <w:t xml:space="preserve"> </w:t>
      </w:r>
      <w:r>
        <w:t xml:space="preserve">(1.ed ed.). UNAM, Inst.de Investigaciones Filosóficas.</w:t>
      </w:r>
    </w:p>
    <w:bookmarkEnd w:id="107"/>
    <w:bookmarkStart w:id="108" w:name="ref-HdDZkiNh"/>
    <w:p>
      <w:pPr>
        <w:pStyle w:val="Bibliography"/>
      </w:pPr>
      <w:r>
        <w:t xml:space="preserve">Ponce, M. (1981). Las explicaciones teleológicas y el modelo nomológico-deductivo.</w:t>
      </w:r>
      <w:r>
        <w:t xml:space="preserve"> </w:t>
      </w:r>
      <w:r>
        <w:rPr>
          <w:iCs/>
          <w:i/>
        </w:rPr>
        <w:t xml:space="preserve">Diánoia</w:t>
      </w:r>
      <w:r>
        <w:t xml:space="preserve">,</w:t>
      </w:r>
      <w:r>
        <w:t xml:space="preserve"> </w:t>
      </w:r>
      <w:r>
        <w:rPr>
          <w:iCs/>
          <w:i/>
        </w:rPr>
        <w:t xml:space="preserve">27</w:t>
      </w:r>
      <w:r>
        <w:t xml:space="preserve">(27), 186-206.</w:t>
      </w:r>
    </w:p>
    <w:bookmarkEnd w:id="108"/>
    <w:bookmarkStart w:id="110" w:name="ref-1CNrSP8PL"/>
    <w:p>
      <w:pPr>
        <w:pStyle w:val="Bibliography"/>
      </w:pPr>
      <w:r>
        <w:t xml:space="preserve">Ponce, M. (1984). Teleología y causalidad.</w:t>
      </w:r>
      <w:r>
        <w:t xml:space="preserve"> </w:t>
      </w:r>
      <w:r>
        <w:rPr>
          <w:iCs/>
          <w:i/>
        </w:rPr>
        <w:t xml:space="preserve">Revista de filosofía DIÁNOIA</w:t>
      </w:r>
      <w:r>
        <w:t xml:space="preserve">,</w:t>
      </w:r>
      <w:r>
        <w:t xml:space="preserve"> </w:t>
      </w:r>
      <w:r>
        <w:rPr>
          <w:iCs/>
          <w:i/>
        </w:rPr>
        <w:t xml:space="preserve">30</w:t>
      </w:r>
      <w:r>
        <w:t xml:space="preserve">(30), 155.</w:t>
      </w:r>
      <w:r>
        <w:t xml:space="preserve"> </w:t>
      </w:r>
      <w:hyperlink r:id="rId109">
        <w:r>
          <w:rPr>
            <w:rStyle w:val="Hyperlink"/>
          </w:rPr>
          <w:t xml:space="preserve">https://doi.org/10.22201/iifs.18704913e.1984.30.771</w:t>
        </w:r>
      </w:hyperlink>
    </w:p>
    <w:bookmarkEnd w:id="110"/>
    <w:bookmarkStart w:id="112"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111">
        <w:r>
          <w:rPr>
            <w:rStyle w:val="Hyperlink"/>
          </w:rPr>
          <w:t xml:space="preserve">https://doi.org/10.1007/s12304-024-09569-8</w:t>
        </w:r>
      </w:hyperlink>
    </w:p>
    <w:bookmarkEnd w:id="112"/>
    <w:bookmarkStart w:id="114" w:name="ref-BMp0oHpu"/>
    <w:p>
      <w:pPr>
        <w:pStyle w:val="Bibliography"/>
      </w:pPr>
      <w:r>
        <w:t xml:space="preserve">Rüting, T. (2004). History and significance of Jakob von Uexküll and of his institute in Hamburg.</w:t>
      </w:r>
      <w:r>
        <w:t xml:space="preserve"> </w:t>
      </w:r>
      <w:r>
        <w:rPr>
          <w:iCs/>
          <w:i/>
        </w:rPr>
        <w:t xml:space="preserve">Sign Systems Studies</w:t>
      </w:r>
      <w:r>
        <w:t xml:space="preserve">,</w:t>
      </w:r>
      <w:r>
        <w:t xml:space="preserve"> </w:t>
      </w:r>
      <w:r>
        <w:rPr>
          <w:iCs/>
          <w:i/>
        </w:rPr>
        <w:t xml:space="preserve">32</w:t>
      </w:r>
      <w:r>
        <w:t xml:space="preserve">(1/2), 35-72.</w:t>
      </w:r>
      <w:r>
        <w:t xml:space="preserve"> </w:t>
      </w:r>
      <w:hyperlink r:id="rId113">
        <w:r>
          <w:rPr>
            <w:rStyle w:val="Hyperlink"/>
          </w:rPr>
          <w:t xml:space="preserve">https://doi.org/10.12697/sss.2004.32.1-2.02</w:t>
        </w:r>
      </w:hyperlink>
    </w:p>
    <w:bookmarkEnd w:id="114"/>
    <w:bookmarkStart w:id="115"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115"/>
    <w:bookmarkStart w:id="117"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116">
        <w:r>
          <w:rPr>
            <w:rStyle w:val="Hyperlink"/>
          </w:rPr>
          <w:t xml:space="preserve">https://www.jstor.org/stable/2096742</w:t>
        </w:r>
      </w:hyperlink>
    </w:p>
    <w:bookmarkEnd w:id="117"/>
    <w:bookmarkStart w:id="118"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118"/>
    <w:bookmarkStart w:id="119" w:name="ref-bl6lqIrT"/>
    <w:p>
      <w:pPr>
        <w:pStyle w:val="Bibliography"/>
      </w:pPr>
      <w:r>
        <w:t xml:space="preserve">Suárez Pascal, C. D. (2015).</w:t>
      </w:r>
      <w:r>
        <w:t xml:space="preserve"> </w:t>
      </w:r>
      <w:r>
        <w:rPr>
          <w:iCs/>
          <w:i/>
        </w:rPr>
        <w:t xml:space="preserve">El valor de la vida :finalidad y causalidad en las explicaciones de la biología evolutiva contemporánea</w:t>
      </w:r>
      <w:r>
        <w:t xml:space="preserve"> </w:t>
      </w:r>
      <w:r>
        <w:t xml:space="preserve">[Doctorado]. Universidad Nacional Autónoma de México.</w:t>
      </w:r>
    </w:p>
    <w:bookmarkEnd w:id="119"/>
    <w:bookmarkStart w:id="121"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120">
        <w:r>
          <w:rPr>
            <w:rStyle w:val="Hyperlink"/>
          </w:rPr>
          <w:t xml:space="preserve">https://doi.org/10.1007/s10838-021-09552-8</w:t>
        </w:r>
      </w:hyperlink>
    </w:p>
    <w:bookmarkEnd w:id="121"/>
    <w:bookmarkStart w:id="122"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122"/>
    <w:bookmarkStart w:id="123"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123"/>
    <w:bookmarkStart w:id="125"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124">
        <w:r>
          <w:rPr>
            <w:rStyle w:val="Hyperlink"/>
          </w:rPr>
          <w:t xml:space="preserve">https://doi.org/10.1007/978-3-642-91036-4_15</w:t>
        </w:r>
      </w:hyperlink>
    </w:p>
    <w:bookmarkEnd w:id="125"/>
    <w:bookmarkStart w:id="127"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126">
        <w:r>
          <w:rPr>
            <w:rStyle w:val="Hyperlink"/>
          </w:rPr>
          <w:t xml:space="preserve">https://doi.org/10.1007/978-3-662-36634-9</w:t>
        </w:r>
      </w:hyperlink>
    </w:p>
    <w:bookmarkEnd w:id="127"/>
    <w:bookmarkStart w:id="129"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28">
        <w:r>
          <w:rPr>
            <w:rStyle w:val="Hyperlink"/>
          </w:rPr>
          <w:t xml:space="preserve">https://doi.org/10.1515/semi.1982.42.1.25</w:t>
        </w:r>
      </w:hyperlink>
    </w:p>
    <w:bookmarkEnd w:id="129"/>
    <w:bookmarkEnd w:id="130"/>
    <w:bookmarkEnd w:id="1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rPr>
          <w:t xml:space="preserve">Brentari &amp; Brentari,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49">
    <w:p>
      <w:pPr>
        <w:pStyle w:val="FootnoteText"/>
      </w:pPr>
      <w:r>
        <w:rPr>
          <w:rStyle w:val="FootnoteReference"/>
        </w:rPr>
        <w:footnoteRef/>
      </w:r>
      <w:r>
        <w:t xml:space="preserve"> </w:t>
      </w:r>
      <w:r>
        <w:t xml:space="preserve">El concepto de transdisciplina fue propuesto originalmente por Piaget</w:t>
      </w:r>
      <w:r>
        <w:t xml:space="preserve"> </w:t>
      </w:r>
      <w:r>
        <w:t xml:space="preserve">(</w:t>
      </w:r>
      <w:hyperlink w:anchor="ref-bhNCs7h4">
        <w:r>
          <w:rPr>
            <w:rStyle w:val="Hyperlink"/>
          </w:rPr>
          <w:t xml:space="preserve">Piaget, 1972</w:t>
        </w:r>
      </w:hyperlink>
      <w:r>
        <w:t xml:space="preserve">)</w:t>
      </w:r>
      <w:r>
        <w:t xml:space="preserve"> </w:t>
      </w:r>
      <w:r>
        <w:t xml:space="preserve">y fue desarrollado por Morin</w:t>
      </w:r>
      <w:r>
        <w:t xml:space="preserve"> </w:t>
      </w:r>
      <w:r>
        <w:t xml:space="preserve">(</w:t>
      </w:r>
      <w:hyperlink w:anchor="ref-j0BgISRh">
        <w:r>
          <w:rPr>
            <w:rStyle w:val="Hyperlink"/>
          </w:rPr>
          <w:t xml:space="preserve">Morin, 1982</w:t>
        </w:r>
      </w:hyperlink>
      <w:r>
        <w:t xml:space="preserve">)</w:t>
      </w:r>
      <w:r>
        <w:t xml:space="preserve"> </w:t>
      </w:r>
      <w:r>
        <w:t xml:space="preserve">y por Nicolescu</w:t>
      </w:r>
      <w:r>
        <w:t xml:space="preserve"> </w:t>
      </w:r>
      <w:r>
        <w:t xml:space="preserve">(</w:t>
      </w:r>
      <w:hyperlink w:anchor="ref-2dB95zQK">
        <w:r>
          <w:rPr>
            <w:rStyle w:val="Hyperlink"/>
          </w:rPr>
          <w:t xml:space="preserve">Nicolescu, 1996</w:t>
        </w:r>
      </w:hyperlink>
      <w:r>
        <w:t xml:space="preserve">)</w:t>
      </w:r>
      <w:r>
        <w:t xml:space="preserve"> </w:t>
      </w:r>
      <w:r>
        <w:t xml:space="preserve">como una ambiciosa propuesta metateórica (o meta-metateórica), y por Gibbons, Limoges, Nowotny, Schwartzman, Scott &amp; Trow</w:t>
      </w:r>
      <w:r>
        <w:t xml:space="preserve"> </w:t>
      </w:r>
      <w:r>
        <w:t xml:space="preserve">(</w:t>
      </w:r>
      <w:hyperlink w:anchor="ref-16UDFCguE">
        <w:r>
          <w:rPr>
            <w:rStyle w:val="Hyperlink"/>
          </w:rPr>
          <w:t xml:space="preserve">Gibbons, 1994</w:t>
        </w:r>
      </w:hyperlink>
      <w:r>
        <w:t xml:space="preserve">)</w:t>
      </w:r>
      <w:r>
        <w:t xml:space="preserve"> </w:t>
      </w:r>
      <w:r>
        <w:t xml:space="preserve">como una propuesta también metateórica pero más enfocada en las condiciones actuales de producción del conocimiento</w:t>
      </w:r>
      <w:r>
        <w:t xml:space="preserve"> </w:t>
      </w:r>
      <w:r>
        <w:t xml:space="preserve">(</w:t>
      </w:r>
      <w:hyperlink w:anchor="ref-CUbLggqm">
        <w:r>
          <w:rPr>
            <w:rStyle w:val="Hyperlink"/>
          </w:rPr>
          <w:t xml:space="preserve">Bernstein, 2015</w:t>
        </w:r>
      </w:hyperlink>
      <w:r>
        <w:t xml:space="preserve">)</w:t>
      </w:r>
      <w:r>
        <w:t xml:space="preserve">.</w:t>
      </w:r>
    </w:p>
  </w:footnote>
  <w:footnote w:id="51">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w:t>
      </w:r>
      <w:r>
        <w:t xml:space="preserve"> </w:t>
      </w:r>
      <w:r>
        <w:t xml:space="preserve">Si bien se trata de una diferencia aparentemente sutil con respecto a la posición de Polanyi y de otros autores, este señalamiento de Hoffmeyer colocaría su versión de la dualidad de código más cerca de la propuesta de Uexküll.</w:t>
      </w:r>
      <w:r>
        <w:t xml:space="preserve"> </w:t>
      </w:r>
      <w:r>
        <w:t xml:space="preserve">Como señalaremos más adelante, la idea de la codificación analógica constituye una contribución particularmente importante a la biología.</w:t>
      </w:r>
    </w:p>
  </w:footnote>
  <w:footnote w:id="53">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HdDZkiNh">
        <w:r>
          <w:rPr>
            <w:rStyle w:val="Hyperlink"/>
          </w:rPr>
          <w:t xml:space="preserve">Ponce, 1981</w:t>
        </w:r>
      </w:hyperlink>
      <w:r>
        <w:t xml:space="preserve">,</w:t>
      </w:r>
      <w:r>
        <w:t xml:space="preserve"> </w:t>
      </w:r>
      <w:hyperlink w:anchor="ref-1CNrSP8PL">
        <w:r>
          <w:rPr>
            <w:rStyle w:val="Hyperlink"/>
          </w:rPr>
          <w:t xml:space="preserve">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respecto a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63" Target="http://jrp.icaap.org/index.php/jrp/article/view/510" TargetMode="External" /><Relationship Type="http://schemas.openxmlformats.org/officeDocument/2006/relationships/hyperlink" Id="rId47" Target="http://www.biosemiotics.org/" TargetMode="External" /><Relationship Type="http://schemas.openxmlformats.org/officeDocument/2006/relationships/hyperlink" Id="rId59" Target="https://doi.org/10.1007/978-1-4020-6340-4_2" TargetMode="External" /><Relationship Type="http://schemas.openxmlformats.org/officeDocument/2006/relationships/hyperlink" Id="rId70"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7"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1" Target="https://doi.org/10.1007/s12304-009-9042-8" TargetMode="External" /><Relationship Type="http://schemas.openxmlformats.org/officeDocument/2006/relationships/hyperlink" Id="rId111" Target="https://doi.org/10.1007/s12304-024-09569-8" TargetMode="External" /><Relationship Type="http://schemas.openxmlformats.org/officeDocument/2006/relationships/hyperlink" Id="rId80"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5" Target="https://doi.org/10.1126/science.160.3834.1308" TargetMode="External" /><Relationship Type="http://schemas.openxmlformats.org/officeDocument/2006/relationships/hyperlink" Id="rId113" Target="https://doi.org/10.12697/sss.2004.32.1-2.02" TargetMode="External" /><Relationship Type="http://schemas.openxmlformats.org/officeDocument/2006/relationships/hyperlink" Id="rId76"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4" Target="https://doi.org/10.15304/ag.31.2.1055" TargetMode="External" /><Relationship Type="http://schemas.openxmlformats.org/officeDocument/2006/relationships/hyperlink" Id="rId109" Target="https://doi.org/10.22201/iifs.18704913e.1984.30.771" TargetMode="External" /><Relationship Type="http://schemas.openxmlformats.org/officeDocument/2006/relationships/hyperlink" Id="rId68"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103"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ee968e1c9a3ecb338cc9793dfaf4fa5e8cd22831"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ee968e1c9a3ecb338cc9793dfaf4fa5e8cd22831/"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6"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6" Target="https://www.pdcnet.org/pdc/bvdb.nsf/purchase?openform&amp;fp=theoria&amp;id=theoria_2013_0028_0001_0097_0114" TargetMode="External" /></Relationships>
</file>

<file path=word/_rels/footnotes.xml.rels><?xml version="1.0" encoding="UTF-8"?><Relationships xmlns="http://schemas.openxmlformats.org/package/2006/relationships"><Relationship Type="http://schemas.openxmlformats.org/officeDocument/2006/relationships/hyperlink" Id="rId63" Target="http://jrp.icaap.org/index.php/jrp/article/view/510" TargetMode="External" /><Relationship Type="http://schemas.openxmlformats.org/officeDocument/2006/relationships/hyperlink" Id="rId47" Target="http://www.biosemiotics.org/" TargetMode="External" /><Relationship Type="http://schemas.openxmlformats.org/officeDocument/2006/relationships/hyperlink" Id="rId59" Target="https://doi.org/10.1007/978-1-4020-6340-4_2" TargetMode="External" /><Relationship Type="http://schemas.openxmlformats.org/officeDocument/2006/relationships/hyperlink" Id="rId70"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7"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1" Target="https://doi.org/10.1007/s12304-009-9042-8" TargetMode="External" /><Relationship Type="http://schemas.openxmlformats.org/officeDocument/2006/relationships/hyperlink" Id="rId111" Target="https://doi.org/10.1007/s12304-024-09569-8" TargetMode="External" /><Relationship Type="http://schemas.openxmlformats.org/officeDocument/2006/relationships/hyperlink" Id="rId80"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5" Target="https://doi.org/10.1126/science.160.3834.1308" TargetMode="External" /><Relationship Type="http://schemas.openxmlformats.org/officeDocument/2006/relationships/hyperlink" Id="rId113" Target="https://doi.org/10.12697/sss.2004.32.1-2.02" TargetMode="External" /><Relationship Type="http://schemas.openxmlformats.org/officeDocument/2006/relationships/hyperlink" Id="rId76"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4" Target="https://doi.org/10.15304/ag.31.2.1055" TargetMode="External" /><Relationship Type="http://schemas.openxmlformats.org/officeDocument/2006/relationships/hyperlink" Id="rId109" Target="https://doi.org/10.22201/iifs.18704913e.1984.30.771" TargetMode="External" /><Relationship Type="http://schemas.openxmlformats.org/officeDocument/2006/relationships/hyperlink" Id="rId68"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103"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ee968e1c9a3ecb338cc9793dfaf4fa5e8cd22831"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ee968e1c9a3ecb338cc9793dfaf4fa5e8cd22831/"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6"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6" Target="https://www.pdcnet.org/pdc/bvdb.nsf/purchase?openform&amp;fp=theoria&amp;id=theoria_2013_0028_0001_0097_0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teoría biológica</dc:title>
  <dc:creator/>
  <dc:language>es</dc:language>
  <cp:keywords>biosemiótica, teorías biológicas, dualidad de código, interpretación orgánica, genética, evolución</cp:keywords>
  <dcterms:created xsi:type="dcterms:W3CDTF">2024-06-22T23:42:37Z</dcterms:created>
  <dcterms:modified xsi:type="dcterms:W3CDTF">2024-06-22T23:42:37Z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