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Bonjour Pascal,</w:t>
      </w:r>
    </w:p>
    <w:p w:rsidR="00000000" w:rsidDel="00000000" w:rsidP="00000000" w:rsidRDefault="00000000" w:rsidRPr="00000000" w14:paraId="00000002">
      <w:pPr>
        <w:spacing w:after="240" w:before="240" w:lineRule="auto"/>
        <w:rPr/>
      </w:pPr>
      <w:r w:rsidDel="00000000" w:rsidR="00000000" w:rsidRPr="00000000">
        <w:rPr>
          <w:rtl w:val="0"/>
        </w:rPr>
        <w:t xml:space="preserve">J’espère que vous allez bien.</w:t>
      </w:r>
    </w:p>
    <w:p w:rsidR="00000000" w:rsidDel="00000000" w:rsidP="00000000" w:rsidRDefault="00000000" w:rsidRPr="00000000" w14:paraId="00000003">
      <w:pPr>
        <w:spacing w:after="240" w:before="240" w:lineRule="auto"/>
        <w:rPr/>
      </w:pPr>
      <w:r w:rsidDel="00000000" w:rsidR="00000000" w:rsidRPr="00000000">
        <w:rPr>
          <w:rtl w:val="0"/>
        </w:rPr>
        <w:t xml:space="preserve">Je souhaiterais, dans un premier temps, m’assurer que vous avez bien reçu les différents rapports qui vous ont été transmis hier. Pourriez-vous, s’il vous plaît, nous en accuser réception ?</w:t>
      </w:r>
    </w:p>
    <w:p w:rsidR="00000000" w:rsidDel="00000000" w:rsidP="00000000" w:rsidRDefault="00000000" w:rsidRPr="00000000" w14:paraId="00000004">
      <w:pPr>
        <w:spacing w:after="240" w:before="240" w:lineRule="auto"/>
        <w:rPr/>
      </w:pPr>
      <w:r w:rsidDel="00000000" w:rsidR="00000000" w:rsidRPr="00000000">
        <w:rPr>
          <w:rtl w:val="0"/>
        </w:rPr>
        <w:t xml:space="preserve">Par ailleurs, je profite de ce courriel pour vous partager la structuration de nos activités, présentée ci-dessous. Comme vous pourrez le constater, le projet s’articule autour de trois objectifs. Les activités sont organisées et alignées en fonction de ces objectifs (en surbrillance mauve) ainsi que de leurs sous-objectifs/activités (en surbrillance rose).</w:t>
      </w:r>
    </w:p>
    <w:p w:rsidR="00000000" w:rsidDel="00000000" w:rsidP="00000000" w:rsidRDefault="00000000" w:rsidRPr="00000000" w14:paraId="00000005">
      <w:pPr>
        <w:spacing w:after="240" w:before="240" w:lineRule="auto"/>
        <w:rPr/>
      </w:pPr>
      <w:r w:rsidDel="00000000" w:rsidR="00000000" w:rsidRPr="00000000">
        <w:rPr>
          <w:rtl w:val="0"/>
        </w:rPr>
        <w:t xml:space="preserve">Chaque activité est codifiée dans la première colonne, et les intitulés des activités restent identiques dans l’ensemble des provinces afin de garantir une harmonisation et une cohérence dans le suivi et le rapportage.</w:t>
      </w:r>
    </w:p>
    <w:p w:rsidR="00000000" w:rsidDel="00000000" w:rsidP="00000000" w:rsidRDefault="00000000" w:rsidRPr="00000000" w14:paraId="00000006">
      <w:pPr>
        <w:spacing w:after="240" w:before="240" w:lineRule="auto"/>
        <w:rPr/>
      </w:pPr>
      <w:r w:rsidDel="00000000" w:rsidR="00000000" w:rsidRPr="00000000">
        <w:rPr>
          <w:rtl w:val="0"/>
        </w:rPr>
        <w:t xml:space="preserve">Vous trouverez également en pièce jointe un modèle de rapport semi-annuel, partagé à titre de référence pour la partie consolidation.</w:t>
      </w:r>
    </w:p>
    <w:p w:rsidR="00000000" w:rsidDel="00000000" w:rsidP="00000000" w:rsidRDefault="00000000" w:rsidRPr="00000000" w14:paraId="00000007">
      <w:pPr>
        <w:spacing w:after="240" w:before="240" w:lineRule="auto"/>
        <w:rPr/>
      </w:pPr>
      <w:r w:rsidDel="00000000" w:rsidR="00000000" w:rsidRPr="00000000">
        <w:rPr>
          <w:rtl w:val="0"/>
        </w:rPr>
        <w:t xml:space="preserve">Je vous serais reconnaissante de bien vouloir nous confirmer la bonne réception de ces éléments et, dans la mesure du possible, de nous confirmer également que la logique organisationnelle et la structuration des activités sont bien comprises.</w:t>
      </w:r>
    </w:p>
    <w:p w:rsidR="00000000" w:rsidDel="00000000" w:rsidP="00000000" w:rsidRDefault="00000000" w:rsidRPr="00000000" w14:paraId="00000008">
      <w:pPr>
        <w:spacing w:after="240" w:before="240" w:lineRule="auto"/>
        <w:rPr/>
      </w:pPr>
      <w:r w:rsidDel="00000000" w:rsidR="00000000" w:rsidRPr="00000000">
        <w:rPr>
          <w:rtl w:val="0"/>
        </w:rPr>
        <w:t xml:space="preserve">Albert et moi restons par ailleurs disponibles pour échanger avec vous et vous accompagner dans le suivi de l’évolution de la conception du dispositif de rapportage.</w:t>
      </w:r>
    </w:p>
    <w:p w:rsidR="00000000" w:rsidDel="00000000" w:rsidP="00000000" w:rsidRDefault="00000000" w:rsidRPr="00000000" w14:paraId="00000009">
      <w:pPr>
        <w:spacing w:after="240" w:before="240" w:lineRule="auto"/>
        <w:rPr/>
      </w:pPr>
      <w:r w:rsidDel="00000000" w:rsidR="00000000" w:rsidRPr="00000000">
        <w:rPr>
          <w:rtl w:val="0"/>
        </w:rPr>
        <w:t xml:space="preserve">Je vous remercie par avance pour votre retour et reste à votre disposition pour toute précision complémentaire.</w:t>
      </w:r>
    </w:p>
    <w:p w:rsidR="00000000" w:rsidDel="00000000" w:rsidP="00000000" w:rsidRDefault="00000000" w:rsidRPr="00000000" w14:paraId="0000000A">
      <w:pPr>
        <w:spacing w:after="240" w:before="240" w:lineRule="auto"/>
        <w:rPr/>
      </w:pPr>
      <w:r w:rsidDel="00000000" w:rsidR="00000000" w:rsidRPr="00000000">
        <w:rPr>
          <w:rtl w:val="0"/>
        </w:rPr>
        <w:t xml:space="preserve">Bien cordialement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3.9534883720935"/>
        <w:gridCol w:w="5986.0465116279065"/>
        <w:tblGridChange w:id="0">
          <w:tblGrid>
            <w:gridCol w:w="3373.9534883720935"/>
            <w:gridCol w:w="5986.0465116279065"/>
          </w:tblGrid>
        </w:tblGridChange>
      </w:tblGrid>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Objectif 1. Accroître l'adoption de comportements et de services en matière de santé maternelle, néonatale et infantile, de lutte contre le paludisme, de vaccination et de nutrition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Activité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Accroître la sensibilisation et l'adoption, par les soignants et la communauté, des pratiques essentielles en matière de santé maternelle, néonatale et infantile, de paludisme, de vaccination et de nutrition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Renforcer les capacités des agents de santé communautaires (ASC) en matière de conseil et de promotion de la santé.</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1.1.3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Mener des actions de sensibilisation et des dialogues communautaires afin de promouvoir l'adoption de comportements et de pratiques sains.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Revitaliser et développer les plateformes de soutien pour favoriser la communication autour des actions nutritionnelles essentielles.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Organiser des démonstrations culinaires pour sensibiliser le public à la diversité alimentaire et à l'alimentation complémentaire.</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Renforcer et mettre en œuvre le traitement préventif intermittent du paludisme pendant la grossesse (TPIp) à base communautaire avec la sulfadoxine-pyriméthamine (SP) par l'intermédiaire d'agents de santé communautaires formés.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Activité 1.2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Développer les plateformes de gestion intégrée des cas communautaires (GICC) pour le paludisme, la pneumonie et la diarrhée dans les 9 provinces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Soutenir les stratégies de sensibilisation avancées, notamment les cliniques mobiles, afin d'offrir des services complets de santé maternelle, néonatale et infantile aux villages isolés et mal desservis.</w:t>
            </w:r>
          </w:p>
        </w:tc>
      </w:tr>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Renforcer les activités communautaires de lutte contre le paludisme grâce à l’intensification de la prise en charge intégrée des maladies de l’enfant (PCIME), notamment par l’intégration d’interventions en matière d’alimentation du nourrisson et du jeune enfant (ANJE), la prise en charge spécifique des cas de paludisme chez les enfants jusqu’à 13 ans, le dépistage de la malnutrition aiguë et la fourniture de conseils nutritionnels.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Étendre la couverture vaccinale.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Soutenir les campagnes bisannuelles de supplémentation en vitamine A et de vermifugation.</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Sensibiliser les prestataires de services et les agents de santé communautaires à la revitalisation des consultations de suivi de la croissance, en mettant l'accent sur les soins préventifs et promotionnels pour les enfants de moins de cinq 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Activité 1.3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Renforcer les liens entre la communauté et les installations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Réaliser une cartographie des établissements de santé afin d'identifier les filières d'orientation des patients.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Se coordonner avec CODESA, CAC et les réseaux religieux pour faciliter le transport en cas d'orientation d'urgence, lorsque cela est possible.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Aider les ASC à utiliser les tickets de rappel (par exemple, la stratégie VIVA) pour suivre les références de la communauté aux établissements de santé.</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Renforcer les capacités au niveau communautaire pour stabiliser les patients en état critique en vue de leur transport d'urgence.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Soutenir les sites iCCM pour améliorer la prise en charge communautaire des cas de paludisme grave</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Appuyer les agents de santé communautaires pour atteindre les femmes atteintes de paludisme grave et confrontées à des obstacles d'accès aux soins grâce à des systèmes de suivi et d'orientation proactifs afin de garantir la continuité des soins dans deux provinces à forte prévalence et à fort impact.</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 Objectif 2 : Renforcer la qualité des services vitaux de santé maternelle, néonatale et infantile, de nutrition et de lutte contre le paludisme aux points de prestation de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Activité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Evaluer la capacité des établissements à fournir des services de soins obstétricaux et néonatals d'urgence (SONU) en établissement, à traiter la malnutrition aiguë sévère (MAS) et le paludisme.</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2.1.2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Tenir une réunion des parties prenantes pour examiner les données de l'évaluation (Activité 2.1.1) et élaborer des recommandations pour combler les lacunes dans la prestation de services vitaux (en conjonction avec l'Activité 3.1.2).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Activité 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 Renforcer les capacités du personnel de santé en matière de services vitaux de santé maternelle, néonatale et infantile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Rétablir les séances mensuelles intégrées de mentorat clinique.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Soutenir les stages cliniques pour combler les lacunes dans les services de soins obstétricaux et néonatals d'urgence complets (CEmONC) dans les établissements prioritaires.</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Renforcer la capacité des prestataires de services au niveau des établissements à fournir des services de santé maternelle, néonatale et infantile, de nutrition et de lutte contre le paludisme conformément aux directives et protocoles les plus récents.</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2.2.4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Fournir une formation aux prestataires de soins de santé au niveau des établissements sur l'introduction du vaccin antipaludique et soutenir la distribution de dépliants d'information et les activités de sensibilisation communautaire.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Soutenir le déploiement et renforcer la capacité des prestataires à mettre en œuvre le nouveau protocole de traitement de la malnutrition aiguë modérée.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2.2.6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Soutenir le déploiement du dépistage de la tuberculose auprès des groupes à haut risque.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2.2.8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Offrir aux prestataires de soins maternels une formation sur les douze étapes de l'Initiative internationale pour un accouchement normal et respectueux (IINA), afin de promouvoir des soins maternels respectueux et humanisés.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2.2.9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Fournir aux prestataires de soins maternels une formation sur la prise en charge rapide des hémorragies post-partum.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Activité 2.3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 Soutien à la supervision intégrée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2.3.1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Soutenir les visites mensuelles de supervision et de soutien intégrées effectuées par les équipes de la zone de santé dans toutes les installations soutenues par le projet.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2.3.2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Soutenir les visites trimestrielles de supervision intégrée et de soutien effectuées par les équipes provinciales dans toutes les zones de santé soutenues par le projet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Objectif 3 : Renforcer les systèmes de santé pour accroître l’autonomie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Activité 3.1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Renforcer les systèmes de données sur la santé maternelle, néonatale et infantile, la nutrition et le paludisme afin d’améliorer la prise de décision programmatique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3.1.2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Consultation des parties prenantes pour examiner les conclusions et élaborer des recommandations visant à renforcer le système de données (en lien avec l'activité 2.1.2)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3.1.3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Élaborer un plan ciblé de renforcement des données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3.1.4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Pérenniser et institutionnaliser le renforcement et l'utilisation des systèmes de données pour la prise de décision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Activité 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 Évaluer et renforcer les systèmes de surveillance de la santé maternelle, néonatale et infantile, de la nutrition et du paludisme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Évaluer et renforcer la fonctionnalité des systèmes de surveillance intégrés (maternelle, périnatale).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3.2.2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Renforcer les capacités d’identification des cas de paralysie flasque aiguë (PFA) et de transport des échantillons au niveau communautaire.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3.2.3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Soutenir le système de surveillance nutritionnelle et d'alerte précoce.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Activité 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 Améliorer la chaîne d'approvisionnement des produits essentiels de santé maternelle, néonatale et infantile, de lutte contre le paludisme et de nutrition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3.3.1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Examiner les plans de quantification, de prévision et d'approvisionnement couvrant les provinces et les établissements de santé ciblés, et identifier et suivre les ruptures de stock.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3.3.2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Prévoir et identifier les besoins supplémentaires en matières premières pour les campagnes de soutien d'urgence.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3.3.3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Mettre en œuvre des mesures ciblées d'approvisionnement et de distribution/transport provisoires.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3.3.4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Renforcer la gestion de la chaîne d'approvisionnement infranationale pour remédier aux causes des ruptures de stock persistantes.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3.3.5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Évaluer et contribuer à la mise en place de la chaîne d'approvisionnement pour le vaccin contre le paludisme.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3.3.6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Renforcer l’utilisation rationnelle des médicaments et des services pharmaceutiques dans les établissements de santé.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3.3.7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Améliorer la chaîne d'approvisionnement des produits de première nécessité.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Activité 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  Coordination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3.4.2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Évaluer et définir les priorités en matière d'intégration des activités liées au VIH.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Activité 3.5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Renforcer les capacités et les systèmes de préparation aux situations d'urgence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3.5.1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Évaluation de la préparation aux situations d'urgence du système de santé provincial dans 9 provinces prioritaires.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3.5.2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Organiser des séances de recyclage dans les zones à faible couverture réseau.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3.5.3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Appuyer le transport des échantillons vers le laboratoire de référence (9 provinces)</w:t>
            </w:r>
          </w:p>
        </w:tc>
      </w:tr>
    </w:tbl>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