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Fama-French ML Project – Progress Report (2025-11-02)</w:t>
      </w:r>
    </w:p>
    <w:p>
      <w:r>
        <w:t>Author: Christos</w:t>
      </w:r>
    </w:p>
    <w:p>
      <w:r>
        <w:t>Date: 2025-11-02</w:t>
      </w:r>
    </w:p>
    <w:p>
      <w:pPr>
        <w:pStyle w:val="Heading1"/>
      </w:pPr>
      <w:r>
        <w:t>Summary of Work Completed</w:t>
      </w:r>
    </w:p>
    <w:p>
      <w:r>
        <w:t>Today’s work focused on improving and evaluating the dynamic momentum allocation framework. The session involved creating benchmark visualization tools, adjusting the allocation logic, and interpreting performance relative to the MSCI World benchmark.</w:t>
      </w:r>
    </w:p>
    <w:p>
      <w:pPr>
        <w:pStyle w:val="Heading1"/>
      </w:pPr>
      <w:r>
        <w:t>Key Developments</w:t>
      </w:r>
    </w:p>
    <w:p>
      <w:pPr>
        <w:pStyle w:val="ListBullet"/>
      </w:pPr>
      <w:r>
        <w:t>Developed `viz_strategy_vs_msci.py` to visualize the strategy versus MSCI World benchmark (IWDA.AS).</w:t>
      </w:r>
    </w:p>
    <w:p>
      <w:pPr>
        <w:pStyle w:val="ListBullet"/>
      </w:pPr>
      <w:r>
        <w:t>Implemented robust benchmark import logic supporting both Yahoo Finance API and local CSV formats.</w:t>
      </w:r>
    </w:p>
    <w:p>
      <w:pPr>
        <w:pStyle w:val="ListBullet"/>
      </w:pPr>
      <w:r>
        <w:t>Expanded dynamic equity allocation range from 60–80% to 60–100% to enable full equity exposure in strong regimes.</w:t>
      </w:r>
    </w:p>
    <w:p>
      <w:pPr>
        <w:pStyle w:val="ListBullet"/>
      </w:pPr>
      <w:r>
        <w:t>Executed new backtest with the 60–100% regime and benchmark comparison plots.</w:t>
      </w:r>
    </w:p>
    <w:p>
      <w:pPr>
        <w:pStyle w:val="ListBullet"/>
      </w:pPr>
      <w:r>
        <w:t>Observed significant performance improvements: CAGR 11.43%, Volatility 18.41%, Sharpe 0.68, Max Drawdown −25.5%, and correlation −0.18 vs MSCI World (CAGR 11.5%, Vol 13.45%, Sharpe 0.88).</w:t>
      </w:r>
    </w:p>
    <w:p>
      <w:pPr>
        <w:pStyle w:val="ListBullet"/>
      </w:pPr>
      <w:r>
        <w:t>Interpreted strategy as a high-beta, momentum-driven adaptive allocator that now matches benchmark performance with smoother drawdown characteristics.</w:t>
      </w:r>
    </w:p>
    <w:p>
      <w:pPr>
        <w:pStyle w:val="ListBullet"/>
      </w:pPr>
      <w:r>
        <w:t>Outlined next refinement steps for future iterations.</w:t>
      </w:r>
    </w:p>
    <w:p>
      <w:pPr>
        <w:pStyle w:val="Heading1"/>
      </w:pPr>
      <w:r>
        <w:t>Interpretation of Results</w:t>
      </w:r>
    </w:p>
    <w:p>
      <w:r>
        <w:t>The new 60–100% equity weight range substantially increased strategy responsiveness during momentum-driven markets. The model now behaves more like an equity proxy, with strong risk-adjusted returns and maintained downside control. Despite slightly higher volatility, the improvement in CAGR confirms the model's ability to adapt efficiently.</w:t>
      </w:r>
    </w:p>
    <w:p>
      <w:pPr>
        <w:pStyle w:val="Heading1"/>
      </w:pPr>
      <w:r>
        <w:t>Next Steps</w:t>
      </w:r>
    </w:p>
    <w:p>
      <w:pPr>
        <w:pStyle w:val="ListBullet"/>
      </w:pPr>
      <w:r>
        <w:t>Add a one-month lag to equity weight (w_eq.shift(1)) to prevent look-ahead bias.</w:t>
      </w:r>
    </w:p>
    <w:p>
      <w:pPr>
        <w:pStyle w:val="ListBullet"/>
      </w:pPr>
      <w:r>
        <w:t>Introduce volatility targeting to stabilize portfolio risk levels.</w:t>
      </w:r>
    </w:p>
    <w:p>
      <w:pPr>
        <w:pStyle w:val="ListBullet"/>
      </w:pPr>
      <w:r>
        <w:t>Perform Fama–French–Carhart factor regression to isolate alpha.</w:t>
      </w:r>
    </w:p>
    <w:p>
      <w:pPr>
        <w:pStyle w:val="ListBullet"/>
      </w:pPr>
      <w:r>
        <w:t>Visualize rolling Sharpe ratios and dynamic equity weights over time.</w:t>
      </w:r>
    </w:p>
    <w:p>
      <w:pPr>
        <w:pStyle w:val="ListBullet"/>
      </w:pPr>
      <w:r>
        <w:t>Compile performance summary and prepare presentation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