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Momentum Allocation Strategy Report</w:t>
      </w:r>
    </w:p>
    <w:p>
      <w:r>
        <w:t>Date: 2025-11-02</w:t>
      </w:r>
    </w:p>
    <w:p>
      <w:r>
        <w:t>Project: Fama-French ML / Momentum Allocation Backbone</w:t>
      </w:r>
    </w:p>
    <w:p>
      <w:r>
        <w:t>Author: Christos</w:t>
      </w:r>
    </w:p>
    <w:p>
      <w:pPr>
        <w:pStyle w:val="Heading1"/>
      </w:pPr>
      <w:r>
        <w:t>Summary of Results</w:t>
      </w:r>
    </w:p>
    <w:p>
      <w:r>
        <w:t>The momentum-driven equity long-short (L/S) sleeve and its allocation to a bond sleeve were tested over the period 2013–2025 using European financial equities and Euro bond ETF data. The analysis includes constant and dynamic allocation mixes between equity and bonds.</w:t>
      </w:r>
    </w:p>
    <w:p>
      <w:pPr>
        <w:pStyle w:val="Heading1"/>
      </w:pPr>
      <w:r>
        <w:t>Key Metrics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Portfolio</w:t>
            </w:r>
          </w:p>
        </w:tc>
        <w:tc>
          <w:tcPr>
            <w:tcW w:type="dxa" w:w="1728"/>
          </w:tcPr>
          <w:p>
            <w:r>
              <w:t>CAGR</w:t>
            </w:r>
          </w:p>
        </w:tc>
        <w:tc>
          <w:tcPr>
            <w:tcW w:type="dxa" w:w="1728"/>
          </w:tcPr>
          <w:p>
            <w:r>
              <w:t>Volatility</w:t>
            </w:r>
          </w:p>
        </w:tc>
        <w:tc>
          <w:tcPr>
            <w:tcW w:type="dxa" w:w="1728"/>
          </w:tcPr>
          <w:p>
            <w:r>
              <w:t>Sharpe</w:t>
            </w:r>
          </w:p>
        </w:tc>
        <w:tc>
          <w:tcPr>
            <w:tcW w:type="dxa" w:w="1728"/>
          </w:tcPr>
          <w:p>
            <w:r>
              <w:t>Max Drawdown</w:t>
            </w:r>
          </w:p>
        </w:tc>
      </w:tr>
      <w:tr>
        <w:tc>
          <w:tcPr>
            <w:tcW w:type="dxa" w:w="1728"/>
          </w:tcPr>
          <w:p>
            <w:r>
              <w:t>Equity L/S</w:t>
            </w:r>
          </w:p>
        </w:tc>
        <w:tc>
          <w:tcPr>
            <w:tcW w:type="dxa" w:w="1728"/>
          </w:tcPr>
          <w:p>
            <w:r>
              <w:t>4.15%</w:t>
            </w:r>
          </w:p>
        </w:tc>
        <w:tc>
          <w:tcPr>
            <w:tcW w:type="dxa" w:w="1728"/>
          </w:tcPr>
          <w:p>
            <w:r>
              <w:t>21.28%</w:t>
            </w:r>
          </w:p>
        </w:tc>
        <w:tc>
          <w:tcPr>
            <w:tcW w:type="dxa" w:w="1728"/>
          </w:tcPr>
          <w:p>
            <w:r>
              <w:t>0.300</w:t>
            </w:r>
          </w:p>
        </w:tc>
        <w:tc>
          <w:tcPr>
            <w:tcW w:type="dxa" w:w="1728"/>
          </w:tcPr>
          <w:p>
            <w:r>
              <w:t>-38.19%</w:t>
            </w:r>
          </w:p>
        </w:tc>
      </w:tr>
      <w:tr>
        <w:tc>
          <w:tcPr>
            <w:tcW w:type="dxa" w:w="1728"/>
          </w:tcPr>
          <w:p>
            <w:r>
              <w:t>80/20 Mix</w:t>
            </w:r>
          </w:p>
        </w:tc>
        <w:tc>
          <w:tcPr>
            <w:tcW w:type="dxa" w:w="1728"/>
          </w:tcPr>
          <w:p>
            <w:r>
              <w:t>3.99%</w:t>
            </w:r>
          </w:p>
        </w:tc>
        <w:tc>
          <w:tcPr>
            <w:tcW w:type="dxa" w:w="1728"/>
          </w:tcPr>
          <w:p>
            <w:r>
              <w:t>17.02%</w:t>
            </w:r>
          </w:p>
        </w:tc>
        <w:tc>
          <w:tcPr>
            <w:tcW w:type="dxa" w:w="1728"/>
          </w:tcPr>
          <w:p>
            <w:r>
              <w:t>0.317</w:t>
            </w:r>
          </w:p>
        </w:tc>
        <w:tc>
          <w:tcPr>
            <w:tcW w:type="dxa" w:w="1728"/>
          </w:tcPr>
          <w:p>
            <w:r>
              <w:t>-31.87%</w:t>
            </w:r>
          </w:p>
        </w:tc>
      </w:tr>
      <w:tr>
        <w:tc>
          <w:tcPr>
            <w:tcW w:type="dxa" w:w="1728"/>
          </w:tcPr>
          <w:p>
            <w:r>
              <w:t>70/30 Mix</w:t>
            </w:r>
          </w:p>
        </w:tc>
        <w:tc>
          <w:tcPr>
            <w:tcW w:type="dxa" w:w="1728"/>
          </w:tcPr>
          <w:p>
            <w:r>
              <w:t>3.84%</w:t>
            </w:r>
          </w:p>
        </w:tc>
        <w:tc>
          <w:tcPr>
            <w:tcW w:type="dxa" w:w="1728"/>
          </w:tcPr>
          <w:p>
            <w:r>
              <w:t>14.93%</w:t>
            </w:r>
          </w:p>
        </w:tc>
        <w:tc>
          <w:tcPr>
            <w:tcW w:type="dxa" w:w="1728"/>
          </w:tcPr>
          <w:p>
            <w:r>
              <w:t>0.328</w:t>
            </w:r>
          </w:p>
        </w:tc>
        <w:tc>
          <w:tcPr>
            <w:tcW w:type="dxa" w:w="1728"/>
          </w:tcPr>
          <w:p>
            <w:r>
              <w:t>-28.57%</w:t>
            </w:r>
          </w:p>
        </w:tc>
      </w:tr>
      <w:tr>
        <w:tc>
          <w:tcPr>
            <w:tcW w:type="dxa" w:w="1728"/>
          </w:tcPr>
          <w:p>
            <w:r>
              <w:t>60/40 Mix</w:t>
            </w:r>
          </w:p>
        </w:tc>
        <w:tc>
          <w:tcPr>
            <w:tcW w:type="dxa" w:w="1728"/>
          </w:tcPr>
          <w:p>
            <w:r>
              <w:t>3.63%</w:t>
            </w:r>
          </w:p>
        </w:tc>
        <w:tc>
          <w:tcPr>
            <w:tcW w:type="dxa" w:w="1728"/>
          </w:tcPr>
          <w:p>
            <w:r>
              <w:t>12.88%</w:t>
            </w:r>
          </w:p>
        </w:tc>
        <w:tc>
          <w:tcPr>
            <w:tcW w:type="dxa" w:w="1728"/>
          </w:tcPr>
          <w:p>
            <w:r>
              <w:t>0.342</w:t>
            </w:r>
          </w:p>
        </w:tc>
        <w:tc>
          <w:tcPr>
            <w:tcW w:type="dxa" w:w="1728"/>
          </w:tcPr>
          <w:p>
            <w:r>
              <w:t>-25.18%</w:t>
            </w:r>
          </w:p>
        </w:tc>
      </w:tr>
      <w:tr>
        <w:tc>
          <w:tcPr>
            <w:tcW w:type="dxa" w:w="1728"/>
          </w:tcPr>
          <w:p>
            <w:r>
              <w:t>Dynamic (sigmoid)</w:t>
            </w:r>
          </w:p>
        </w:tc>
        <w:tc>
          <w:tcPr>
            <w:tcW w:type="dxa" w:w="1728"/>
          </w:tcPr>
          <w:p>
            <w:r>
              <w:t>7.60%</w:t>
            </w:r>
          </w:p>
        </w:tc>
        <w:tc>
          <w:tcPr>
            <w:tcW w:type="dxa" w:w="1728"/>
          </w:tcPr>
          <w:p>
            <w:r>
              <w:t>16.08%</w:t>
            </w:r>
          </w:p>
        </w:tc>
        <w:tc>
          <w:tcPr>
            <w:tcW w:type="dxa" w:w="1728"/>
          </w:tcPr>
          <w:p>
            <w:r>
              <w:t>0.537</w:t>
            </w:r>
          </w:p>
        </w:tc>
        <w:tc>
          <w:tcPr>
            <w:tcW w:type="dxa" w:w="1728"/>
          </w:tcPr>
          <w:p>
            <w:r>
              <w:t>-25.06%</w:t>
            </w:r>
          </w:p>
        </w:tc>
      </w:tr>
    </w:tbl>
    <w:p>
      <w:pPr>
        <w:pStyle w:val="Heading1"/>
      </w:pPr>
      <w:r>
        <w:t>Interpretation</w:t>
      </w:r>
    </w:p>
    <w:p>
      <w:r>
        <w:t>The equity L/S sleeve generated moderate positive returns with a Sharpe ratio around 0.30, indicating a meaningful momentum signal but with high volatility and large drawdowns (-38%). Adding a bond sleeve reduced risk and drawdowns while slightly improving Sharpe ratios. The dynamic allocation (60–80% equity weight based on momentum strength) produced the best risk-adjusted performance (Sharpe ≈ 0.54), suggesting that momentum-driven regime shifts can enhance risk efficiency.</w:t>
      </w:r>
    </w:p>
    <w:p>
      <w:r>
        <w:t>However, the dynamic mix may overstate performance if it uses non-lagged data for weight determination. A lagged allocation rule and rebalancing cost adjustment are recommended for validation.</w:t>
      </w:r>
    </w:p>
    <w:p>
      <w:pPr>
        <w:pStyle w:val="Heading1"/>
      </w:pPr>
      <w:r>
        <w:t>Next Steps</w:t>
      </w:r>
    </w:p>
    <w:p>
      <w:r>
        <w:t>1. Introduce a one-month lag in dynamic weight calculation to remove look-ahead bias.</w:t>
        <w:br/>
        <w:t>2. Apply transaction costs for allocation changes between equity and bonds.</w:t>
        <w:br/>
        <w:t>3. Run Fama-French-Carhart factor regressions on strategy excess returns to test for true alpha.</w:t>
        <w:br/>
        <w:t>4. Extend comparison to volatility-targeted and tiered-weight dynamic models.</w:t>
        <w:br/>
        <w:t>5. Document equity-bond correlations and turnover statistics for completeness.</w:t>
      </w:r>
    </w:p>
    <w:p>
      <w:pPr>
        <w:pStyle w:val="Heading1"/>
      </w:pPr>
      <w:r>
        <w:t>Conclusion</w:t>
      </w:r>
    </w:p>
    <w:p>
      <w:r>
        <w:t>The strategy demonstrates clear risk-reduction and improved efficiency when combining a momentum equity sleeve with a Euro bond allocation. It currently captures the momentum risk premium effectively, though further validation is needed to establish alpha generation beyond systematic exposures.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