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Fama–French ML Project – Progress Report</w:t>
      </w:r>
    </w:p>
    <w:p>
      <w:r>
        <w:t>**Date:** 2025-10-31</w:t>
      </w:r>
    </w:p>
    <w:p>
      <w:r>
        <w:t>**Phase:** 1 – Econometric Modeling and Factor Construction</w:t>
      </w:r>
    </w:p>
    <w:p>
      <w:pPr>
        <w:pStyle w:val="Heading2"/>
      </w:pPr>
      <w:r>
        <w:t>Overview</w:t>
      </w:r>
    </w:p>
    <w:p>
      <w:r>
        <w:t>Today's work solidified the core econometric framework of the Fama–French ML project. We successfully automated the construction of factors, ran regression analyses, and generated rolling beta diagnostics for European financial stocks. The process culminated in a fully integrated pipeline with visualization, reporting, and Git-tracked results.</w:t>
      </w:r>
    </w:p>
    <w:p>
      <w:pPr>
        <w:pStyle w:val="Heading2"/>
      </w:pPr>
      <w:r>
        <w:t>Key Achievements</w:t>
      </w:r>
    </w:p>
    <w:p>
      <w:r>
        <w:t>• Implemented `build_factors.py` to generate Fama–French factors (MKT, SMB, MOM).</w:t>
      </w:r>
    </w:p>
    <w:p>
      <w:r>
        <w:t>• Produced and validated factor correlation heatmaps.</w:t>
      </w:r>
    </w:p>
    <w:p>
      <w:r>
        <w:t>• Developed `run_factor_regressions.py` to perform OLS + Newey–West regressions per ticker.</w:t>
      </w:r>
    </w:p>
    <w:p>
      <w:r>
        <w:t>• Ran regressions on 106 tickers across 154 months of data.</w:t>
      </w:r>
    </w:p>
    <w:p>
      <w:r>
        <w:t>• Created beta scatterplots comparing market and momentum exposures.</w:t>
      </w:r>
    </w:p>
    <w:p>
      <w:r>
        <w:t>• Added 36-month rolling beta computation and plotted average rolling market beta trends.</w:t>
      </w:r>
    </w:p>
    <w:p>
      <w:r>
        <w:t>• Updated `README.md` automatically using the reporting script.</w:t>
      </w:r>
    </w:p>
    <w:p>
      <w:r>
        <w:t>• Committed all updated scripts, data, and figures to the Git repository as the Phase 1 milestone.</w:t>
      </w:r>
    </w:p>
    <w:p>
      <w:pPr>
        <w:pStyle w:val="Heading2"/>
      </w:pPr>
      <w:r>
        <w:t>Interpretation Highlights</w:t>
      </w:r>
    </w:p>
    <w:p>
      <w:r>
        <w:t>The factor correlation heatmap confirmed low correlation between MKT, SMB, and MOM—consistent with expected independence. The regression results indicate moderate market and momentum sensitivities across European financial stocks. Rolling market betas displayed spikes during 2020 and 2022, reflecting crisis-driven volatility and subsequent recoveries.</w:t>
      </w:r>
    </w:p>
    <w:p>
      <w:pPr>
        <w:pStyle w:val="Heading2"/>
      </w:pPr>
      <w:r>
        <w:t>Next Steps</w:t>
      </w:r>
    </w:p>
    <w:p>
      <w:r>
        <w:t>• Integrate firm-level fundamentals to compute HML, RMW, and CMA factors.</w:t>
      </w:r>
    </w:p>
    <w:p>
      <w:r>
        <w:t>• Re-run regressions with the full Fama–French 5-factor + Momentum specification.</w:t>
      </w:r>
    </w:p>
    <w:p>
      <w:r>
        <w:t>• Implement cross-sectional (Fama–MacBeth) regressions once fundamentals are in place.</w:t>
      </w:r>
    </w:p>
    <w:p>
      <w:r>
        <w:t>• Launch Phase 2: Machine Learning factor modeling using Random Forests and XGBoost.</w:t>
      </w:r>
    </w:p>
    <w:p>
      <w:pPr>
        <w:pStyle w:val="Heading2"/>
      </w:pPr>
      <w:r>
        <w:t>Generated Artifacts</w:t>
      </w:r>
    </w:p>
    <w:p>
      <w:r>
        <w:t>• Investment_universe/factors_europe.csv</w:t>
      </w:r>
    </w:p>
    <w:p>
      <w:r>
        <w:t>• reports/factors_correlation_heatmap.png</w:t>
      </w:r>
    </w:p>
    <w:p>
      <w:r>
        <w:t>• reports/factor_regression_summary.csv</w:t>
      </w:r>
    </w:p>
    <w:p>
      <w:r>
        <w:t>• reports/beta_scatter_MKT_vs_MOM.png</w:t>
      </w:r>
    </w:p>
    <w:p>
      <w:r>
        <w:t>• reports/rolling_beta_MKT_avg.png</w:t>
      </w:r>
    </w:p>
    <w:p>
      <w:r>
        <w:t>• README.md (auto-updated)</w:t>
      </w:r>
    </w:p>
    <w:p>
      <w:r>
        <w:br/>
        <w:t>Report generated automatically after final commit.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