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BERITA ACARA SERAH TERIMA FISIK LOGAM MULIA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Pada hari ini [...] tanggal [...], dibuat dan ditandatangani Berita Acara Serah Terima Logam Mulia, oleh kami yang bertanda tangan di bawah ini: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Pihak Yang Menerima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Nama</w:t>
        <w:tab/>
        <w:tab/>
        <w:t xml:space="preserve">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Alamat</w:t>
        <w:tab/>
        <w:tab/>
        <w:t xml:space="preserve">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NIK</w:t>
        <w:tab/>
        <w:tab/>
        <w:t xml:space="preserve">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(selanjutnya disebut “Kuasa Konsumen”)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Pihak Yang Menyerahkan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Nama</w:t>
        <w:tab/>
        <w:tab/>
        <w:t xml:space="preserve">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Alamat</w:t>
        <w:tab/>
        <w:tab/>
        <w:t xml:space="preserve">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NIK</w:t>
        <w:tab/>
        <w:tab/>
        <w:t xml:space="preserve">: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(selanjutnya disebut “WOM Finance”)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Bahwa Kuasa Konsumen telah menerima 1 (satu) keping logam mulia dari WOM Finance, dengan rincian sebagai berikut: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Kemurnian</w:t>
        <w:tab/>
        <w:tab/>
        <w:t xml:space="preserve">: 24 karat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Merk</w:t>
        <w:tab/>
        <w:tab/>
        <w:tab/>
        <w:t xml:space="preserve">: Logam Mulia (LM)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Pecahan</w:t>
        <w:tab/>
        <w:tab/>
        <w:t xml:space="preserve">: [...] gram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Nomor Invoice</w:t>
        <w:tab/>
        <w:tab/>
        <w:t xml:space="preserve">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Dengan ini WOM Finance telah menyerahkan Logam Mulia kepada Kuasa Konsumen dan Kuasa Konsumen menyatakan telah menerima Logam Mulia tersebut dalam keadaan baik dan sesuai dengan rincian yang disebutkan diatas.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Demikianlah Berita Acara Serah Terima Logam Mulia ini dibuat dengan sebenarnya.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Pihak Yang Menerima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Pihak Yang Menyerahkan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Kuasa Konsumen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WOM Finance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[...]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[...]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