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Bengaluru Tech Park Phase III</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Bengaluru Tech Park Phase III</w:t>
            </w:r>
          </w:p>
        </w:tc>
      </w:tr>
      <w:tr>
        <w:tc>
          <w:tcPr>
            <w:tcW w:type="dxa" w:w="2880"/>
          </w:tcPr>
          <w:p>
            <w:r>
              <w:rPr>
                <w:sz w:val="20"/>
              </w:rPr>
              <w:t>Project Location</w:t>
            </w:r>
          </w:p>
        </w:tc>
        <w:tc>
          <w:tcPr>
            <w:tcW w:type="dxa" w:w="6480"/>
          </w:tcPr>
          <w:p>
            <w:r>
              <w:rPr>
                <w:sz w:val="20"/>
              </w:rPr>
              <w:t>Bengaluru, India</w:t>
            </w:r>
          </w:p>
        </w:tc>
      </w:tr>
      <w:tr>
        <w:tc>
          <w:tcPr>
            <w:tcW w:type="dxa" w:w="2880"/>
          </w:tcPr>
          <w:p>
            <w:r>
              <w:rPr>
                <w:sz w:val="20"/>
              </w:rPr>
              <w:t>Subcontractor</w:t>
            </w:r>
          </w:p>
        </w:tc>
        <w:tc>
          <w:tcPr>
            <w:tcW w:type="dxa" w:w="6480"/>
          </w:tcPr>
          <w:p>
            <w:r>
              <w:rPr>
                <w:sz w:val="20"/>
              </w:rPr>
              <w:t>Karnataka Steel Fabricators Pvt. Ltd.</w:t>
            </w:r>
          </w:p>
        </w:tc>
      </w:tr>
      <w:tr>
        <w:tc>
          <w:tcPr>
            <w:tcW w:type="dxa" w:w="2880"/>
          </w:tcPr>
          <w:p>
            <w:r>
              <w:rPr>
                <w:sz w:val="20"/>
              </w:rPr>
              <w:t>Trade / Scope</w:t>
            </w:r>
          </w:p>
        </w:tc>
        <w:tc>
          <w:tcPr>
            <w:tcW w:type="dxa" w:w="6480"/>
          </w:tcPr>
          <w:p>
            <w:r>
              <w:rPr>
                <w:sz w:val="20"/>
              </w:rPr>
              <w:t>Steel Fabrication</w:t>
            </w:r>
          </w:p>
        </w:tc>
      </w:tr>
      <w:tr>
        <w:tc>
          <w:tcPr>
            <w:tcW w:type="dxa" w:w="2880"/>
          </w:tcPr>
          <w:p>
            <w:r>
              <w:rPr>
                <w:sz w:val="20"/>
              </w:rPr>
              <w:t>Contract Value</w:t>
            </w:r>
          </w:p>
        </w:tc>
        <w:tc>
          <w:tcPr>
            <w:tcW w:type="dxa" w:w="6480"/>
          </w:tcPr>
          <w:p>
            <w:r>
              <w:rPr>
                <w:sz w:val="20"/>
              </w:rPr>
              <w:t>12,300,000 USD</w:t>
            </w:r>
          </w:p>
        </w:tc>
      </w:tr>
      <w:tr>
        <w:tc>
          <w:tcPr>
            <w:tcW w:type="dxa" w:w="2880"/>
          </w:tcPr>
          <w:p>
            <w:r>
              <w:rPr>
                <w:sz w:val="20"/>
              </w:rPr>
              <w:t>Commencement Date</w:t>
            </w:r>
          </w:p>
        </w:tc>
        <w:tc>
          <w:tcPr>
            <w:tcW w:type="dxa" w:w="6480"/>
          </w:tcPr>
          <w:p>
            <w:r>
              <w:rPr>
                <w:sz w:val="20"/>
              </w:rPr>
              <w:t>2024-02-15</w:t>
            </w:r>
          </w:p>
        </w:tc>
      </w:tr>
      <w:tr>
        <w:tc>
          <w:tcPr>
            <w:tcW w:type="dxa" w:w="2880"/>
          </w:tcPr>
          <w:p>
            <w:r>
              <w:rPr>
                <w:sz w:val="20"/>
              </w:rPr>
              <w:t>Completion Date</w:t>
            </w:r>
          </w:p>
        </w:tc>
        <w:tc>
          <w:tcPr>
            <w:tcW w:type="dxa" w:w="6480"/>
          </w:tcPr>
          <w:p>
            <w:r>
              <w:rPr>
                <w:sz w:val="20"/>
              </w:rPr>
              <w:t>2025-08-15</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Steel Fabrication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India,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