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SUBCONTRACTOR AGREEMENT</w:t>
      </w:r>
    </w:p>
    <w:p>
      <w:pPr>
        <w:jc w:val="center"/>
      </w:pPr>
      <w:r>
        <w:rPr>
          <w:b w:val="0"/>
          <w:sz w:val="24"/>
        </w:rPr>
        <w:t>Bosphorus Bridge Access Road</w:t>
      </w:r>
    </w:p>
    <w:p/>
    <w:tbl>
      <w:tblPr>
        <w:tblStyle w:val="LightGrid-Accent1"/>
        <w:tblW w:type="auto" w:w="0"/>
        <w:tblLook w:firstColumn="1" w:firstRow="1" w:lastColumn="0" w:lastRow="0" w:noHBand="0" w:noVBand="1" w:val="04A0"/>
      </w:tblPr>
      <w:tblGrid>
        <w:gridCol w:w="2880"/>
        <w:gridCol w:w="6480"/>
      </w:tblGrid>
      <w:tr>
        <w:tc>
          <w:tcPr>
            <w:tcW w:type="dxa" w:w="2880"/>
          </w:tcPr>
          <w:p>
            <w:r>
              <w:rPr>
                <w:sz w:val="20"/>
              </w:rPr>
              <w:t>Project Name</w:t>
            </w:r>
          </w:p>
        </w:tc>
        <w:tc>
          <w:tcPr>
            <w:tcW w:type="dxa" w:w="6480"/>
          </w:tcPr>
          <w:p>
            <w:r>
              <w:rPr>
                <w:sz w:val="20"/>
              </w:rPr>
              <w:t>Bosphorus Bridge Access Road</w:t>
            </w:r>
          </w:p>
        </w:tc>
      </w:tr>
      <w:tr>
        <w:tc>
          <w:tcPr>
            <w:tcW w:type="dxa" w:w="2880"/>
          </w:tcPr>
          <w:p>
            <w:r>
              <w:rPr>
                <w:sz w:val="20"/>
              </w:rPr>
              <w:t>Project Location</w:t>
            </w:r>
          </w:p>
        </w:tc>
        <w:tc>
          <w:tcPr>
            <w:tcW w:type="dxa" w:w="6480"/>
          </w:tcPr>
          <w:p>
            <w:r>
              <w:rPr>
                <w:sz w:val="20"/>
              </w:rPr>
              <w:t>Istanbul, Turkey</w:t>
            </w:r>
          </w:p>
        </w:tc>
      </w:tr>
      <w:tr>
        <w:tc>
          <w:tcPr>
            <w:tcW w:type="dxa" w:w="2880"/>
          </w:tcPr>
          <w:p>
            <w:r>
              <w:rPr>
                <w:sz w:val="20"/>
              </w:rPr>
              <w:t>Subcontractor</w:t>
            </w:r>
          </w:p>
        </w:tc>
        <w:tc>
          <w:tcPr>
            <w:tcW w:type="dxa" w:w="6480"/>
          </w:tcPr>
          <w:p>
            <w:r>
              <w:rPr>
                <w:sz w:val="20"/>
              </w:rPr>
              <w:t>Anatolia Infrastructure JV</w:t>
            </w:r>
          </w:p>
        </w:tc>
      </w:tr>
      <w:tr>
        <w:tc>
          <w:tcPr>
            <w:tcW w:type="dxa" w:w="2880"/>
          </w:tcPr>
          <w:p>
            <w:r>
              <w:rPr>
                <w:sz w:val="20"/>
              </w:rPr>
              <w:t>Trade / Scope</w:t>
            </w:r>
          </w:p>
        </w:tc>
        <w:tc>
          <w:tcPr>
            <w:tcW w:type="dxa" w:w="6480"/>
          </w:tcPr>
          <w:p>
            <w:r>
              <w:rPr>
                <w:sz w:val="20"/>
              </w:rPr>
              <w:t>Infrastructure / Roadworks</w:t>
            </w:r>
          </w:p>
        </w:tc>
      </w:tr>
      <w:tr>
        <w:tc>
          <w:tcPr>
            <w:tcW w:type="dxa" w:w="2880"/>
          </w:tcPr>
          <w:p>
            <w:r>
              <w:rPr>
                <w:sz w:val="20"/>
              </w:rPr>
              <w:t>Contract Value</w:t>
            </w:r>
          </w:p>
        </w:tc>
        <w:tc>
          <w:tcPr>
            <w:tcW w:type="dxa" w:w="6480"/>
          </w:tcPr>
          <w:p>
            <w:r>
              <w:rPr>
                <w:sz w:val="20"/>
              </w:rPr>
              <w:t>38,200,000 USD</w:t>
            </w:r>
          </w:p>
        </w:tc>
      </w:tr>
      <w:tr>
        <w:tc>
          <w:tcPr>
            <w:tcW w:type="dxa" w:w="2880"/>
          </w:tcPr>
          <w:p>
            <w:r>
              <w:rPr>
                <w:sz w:val="20"/>
              </w:rPr>
              <w:t>Commencement Date</w:t>
            </w:r>
          </w:p>
        </w:tc>
        <w:tc>
          <w:tcPr>
            <w:tcW w:type="dxa" w:w="6480"/>
          </w:tcPr>
          <w:p>
            <w:r>
              <w:rPr>
                <w:sz w:val="20"/>
              </w:rPr>
              <w:t>2023-07-01</w:t>
            </w:r>
          </w:p>
        </w:tc>
      </w:tr>
      <w:tr>
        <w:tc>
          <w:tcPr>
            <w:tcW w:type="dxa" w:w="2880"/>
          </w:tcPr>
          <w:p>
            <w:r>
              <w:rPr>
                <w:sz w:val="20"/>
              </w:rPr>
              <w:t>Completion Date</w:t>
            </w:r>
          </w:p>
        </w:tc>
        <w:tc>
          <w:tcPr>
            <w:tcW w:type="dxa" w:w="6480"/>
          </w:tcPr>
          <w:p>
            <w:r>
              <w:rPr>
                <w:sz w:val="20"/>
              </w:rPr>
              <w:t>2025-12-31</w:t>
            </w:r>
          </w:p>
        </w:tc>
      </w:tr>
      <w:tr>
        <w:tc>
          <w:tcPr>
            <w:tcW w:type="dxa" w:w="2880"/>
          </w:tcPr>
          <w:p>
            <w:r>
              <w:rPr>
                <w:sz w:val="20"/>
              </w:rPr>
              <w:t>Retention</w:t>
            </w:r>
          </w:p>
        </w:tc>
        <w:tc>
          <w:tcPr>
            <w:tcW w:type="dxa" w:w="6480"/>
          </w:tcPr>
          <w:p>
            <w:r>
              <w:rPr>
                <w:sz w:val="20"/>
              </w:rPr>
              <w:t>10% of certified value</w:t>
            </w:r>
          </w:p>
        </w:tc>
      </w:tr>
      <w:tr>
        <w:tc>
          <w:tcPr>
            <w:tcW w:type="dxa" w:w="2880"/>
          </w:tcPr>
          <w:p>
            <w:r>
              <w:rPr>
                <w:sz w:val="20"/>
              </w:rPr>
              <w:t>Defects Liability Period</w:t>
            </w:r>
          </w:p>
        </w:tc>
        <w:tc>
          <w:tcPr>
            <w:tcW w:type="dxa" w:w="6480"/>
          </w:tcPr>
          <w:p>
            <w:r>
              <w:rPr>
                <w:sz w:val="20"/>
              </w:rPr>
              <w:t>365 days from Taking-Over Certificate</w:t>
            </w:r>
          </w:p>
        </w:tc>
      </w:tr>
    </w:tbl>
    <w:p/>
    <w:p>
      <w:pPr>
        <w:jc w:val="left"/>
      </w:pPr>
      <w:r>
        <w:rPr>
          <w:b/>
          <w:sz w:val="24"/>
        </w:rPr>
        <w:t>1. Scope of Work</w:t>
      </w:r>
    </w:p>
    <w:p>
      <w:r>
        <w:rPr>
          <w:b w:val="0"/>
          <w:i w:val="0"/>
          <w:sz w:val="21"/>
        </w:rPr>
        <w:t>The Subcontractor shall design (where applicable), supply, install, test, and commission all Infrastructure / Roadworks works for the Project in strict accordance with the Contract Documents, approved shop drawings, and the Main Contractor's construction programme, including all labour, plant, materials, and supervision necessary for full and proper completion.</w:t>
      </w:r>
    </w:p>
    <w:p>
      <w:pPr>
        <w:jc w:val="left"/>
      </w:pPr>
      <w:r>
        <w:rPr>
          <w:b/>
          <w:sz w:val="24"/>
        </w:rPr>
        <w:t>2. Contract Documents</w:t>
      </w:r>
    </w:p>
    <w:p>
      <w:r>
        <w:rPr>
          <w:b w:val="0"/>
          <w:i w:val="0"/>
          <w:sz w:val="21"/>
        </w:rPr>
        <w:t>This Agreement incorporates by reference the General Conditions of Subcontract (FIDIC-based, as amended for local application), the Particular Conditions, the Priced Bill of Quantities, the Technical Specifications, and all approved drawings issued up to the Effective Date, together with any addenda issued prior to award.</w:t>
      </w:r>
    </w:p>
    <w:p>
      <w:pPr>
        <w:jc w:val="left"/>
      </w:pPr>
      <w:r>
        <w:rPr>
          <w:b/>
          <w:sz w:val="24"/>
        </w:rPr>
        <w:t>3. Payment Terms</w:t>
      </w:r>
    </w:p>
    <w:p>
      <w:r>
        <w:rPr>
          <w:b w:val="0"/>
          <w:i w:val="0"/>
          <w:sz w:val="21"/>
        </w:rPr>
        <w:t>A mobilization advance of ten percent (10%) of the Contract Value shall be paid against an unconditional bank guarantee, to be recovered pro-rata from each subsequent progress payment at a rate of twenty percent (20%) per invoice until fully repaid. Standard progress payments are due sixty (60) days from the end of the invoicing month.</w:t>
      </w:r>
    </w:p>
    <w:p>
      <w:pPr>
        <w:jc w:val="left"/>
      </w:pPr>
      <w:r>
        <w:rPr>
          <w:b/>
          <w:sz w:val="24"/>
        </w:rPr>
        <w:t>4. Programme and Extensions of Time</w:t>
      </w:r>
    </w:p>
    <w:p>
      <w:r>
        <w:rPr>
          <w:b w:val="0"/>
          <w:i w:val="0"/>
          <w:sz w:val="21"/>
        </w:rPr>
        <w:t>The Subcontractor shall complete the Works in accordance with the agreed programme. Extensions of time may be granted for delays caused by variations, exceptionally adverse weather, or other Employer-caused delay events, subject to timely notice within fourteen (14) days of the delay event's commencement.</w:t>
      </w:r>
    </w:p>
    <w:p>
      <w:pPr>
        <w:jc w:val="left"/>
      </w:pPr>
      <w:r>
        <w:rPr>
          <w:b/>
          <w:sz w:val="24"/>
        </w:rPr>
        <w:t>5. Variations</w:t>
      </w:r>
    </w:p>
    <w:p>
      <w:r>
        <w:rPr>
          <w:b w:val="0"/>
          <w:i w:val="0"/>
          <w:sz w:val="21"/>
        </w:rPr>
        <w:t>The Main Contractor may issue instructions for additional or omitted work by way of a Variation Order (VO). No VO shall be executed without prior written instruction. Valuation of variations shall be based on the rates in the Priced Bill of Quantities, or fair market rates where no analogous rate exists.</w:t>
      </w:r>
    </w:p>
    <w:p>
      <w:pPr>
        <w:jc w:val="left"/>
      </w:pPr>
      <w:r>
        <w:rPr>
          <w:b/>
          <w:sz w:val="24"/>
        </w:rPr>
        <w:t>6. Quality, Inspection and Submittals</w:t>
      </w:r>
    </w:p>
    <w:p>
      <w:r>
        <w:rPr>
          <w:b w:val="0"/>
          <w:i w:val="0"/>
          <w:sz w:val="21"/>
        </w:rPr>
        <w:t>All materials and workmanship shall conform to the approved specifications. The Subcontractor shall submit shop drawings, material submittals, and manufacturer data sheets for the Engineer's review no less than twenty-one (21) days prior to procurement or installation.</w:t>
      </w:r>
    </w:p>
    <w:p>
      <w:pPr>
        <w:jc w:val="left"/>
      </w:pPr>
      <w:r>
        <w:rPr>
          <w:b/>
          <w:sz w:val="24"/>
        </w:rPr>
        <w:t>7. Health, Safety and Statutory Compliance</w:t>
      </w:r>
    </w:p>
    <w:p>
      <w:r>
        <w:rPr>
          <w:b w:val="0"/>
          <w:i w:val="0"/>
          <w:sz w:val="21"/>
        </w:rPr>
        <w:t>The Subcontractor shall comply with all applicable HSE regulations, Civil Defense requirements, and municipal (including MOMRA, where applicable) permitting obligations relevant to the scope of work, and shall maintain all statutory licenses in force for the duration of the Works.</w:t>
      </w:r>
    </w:p>
    <w:p>
      <w:pPr>
        <w:jc w:val="left"/>
      </w:pPr>
      <w:r>
        <w:rPr>
          <w:b/>
          <w:sz w:val="24"/>
        </w:rPr>
        <w:t>8. Termination</w:t>
      </w:r>
    </w:p>
    <w:p>
      <w:r>
        <w:rPr>
          <w:b w:val="0"/>
          <w:i w:val="0"/>
          <w:sz w:val="21"/>
        </w:rPr>
        <w:t>Either party may terminate this Agreement for material, uncured breach following thirty (30) days' written notice, or immediately in the event of insolvency, in accordance with the Governing Law.</w:t>
      </w:r>
    </w:p>
    <w:p>
      <w:pPr>
        <w:jc w:val="left"/>
      </w:pPr>
      <w:r>
        <w:rPr>
          <w:b/>
          <w:sz w:val="24"/>
        </w:rPr>
        <w:t>9. Governing Law and Dispute Resolution</w:t>
      </w:r>
    </w:p>
    <w:p>
      <w:r>
        <w:rPr>
          <w:b w:val="0"/>
          <w:i w:val="0"/>
          <w:sz w:val="21"/>
        </w:rPr>
        <w:t>This Agreement shall be governed by the laws applicable in Turkey, with disputes resolved by arbitration in accordance with the rules agreed by the parties.</w:t>
      </w:r>
    </w:p>
    <w:p/>
    <w:p>
      <w:pPr>
        <w:jc w:val="left"/>
      </w:pPr>
      <w:r>
        <w:rPr>
          <w:b/>
          <w:sz w:val="24"/>
        </w:rPr>
        <w:t>10. Signatures</w:t>
      </w:r>
    </w:p>
    <w:tbl>
      <w:tblPr>
        <w:tblW w:type="auto" w:w="0"/>
        <w:tblLook w:firstColumn="1" w:firstRow="1" w:lastColumn="0" w:lastRow="0" w:noHBand="0" w:noVBand="1" w:val="04A0"/>
      </w:tblPr>
      <w:tblGrid>
        <w:gridCol w:w="4154"/>
        <w:gridCol w:w="4154"/>
      </w:tblGrid>
      <w:tr>
        <w:tc>
          <w:tcPr>
            <w:tcW w:type="dxa" w:w="4154"/>
          </w:tcPr>
          <w:p>
            <w:r>
              <w:t>For the Main Contractor:</w:t>
            </w:r>
          </w:p>
        </w:tc>
        <w:tc>
          <w:tcPr>
            <w:tcW w:type="dxa" w:w="4154"/>
          </w:tcPr>
          <w:p>
            <w:r>
              <w:t>For the Subcontractor:</w:t>
            </w:r>
          </w:p>
        </w:tc>
      </w:tr>
      <w:tr>
        <w:tc>
          <w:tcPr>
            <w:tcW w:type="dxa" w:w="4154"/>
          </w:tcPr>
          <w:p>
            <w:r>
              <w:t>Name/Title: ___________________</w:t>
              <w:br/>
              <w:t>Date: ___________________</w:t>
            </w:r>
          </w:p>
        </w:tc>
        <w:tc>
          <w:tcPr>
            <w:tcW w:type="dxa" w:w="4154"/>
          </w:tcPr>
          <w:p>
            <w:r>
              <w:t>Name/Title: ___________________</w:t>
              <w:br/>
              <w:t>Date: ___________________</w:t>
            </w:r>
          </w:p>
        </w:tc>
      </w:tr>
    </w:tbl>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