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Madinah Community Center</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Madinah Community Center</w:t>
            </w:r>
          </w:p>
        </w:tc>
      </w:tr>
      <w:tr>
        <w:tc>
          <w:tcPr>
            <w:tcW w:type="dxa" w:w="2880"/>
          </w:tcPr>
          <w:p>
            <w:r>
              <w:rPr>
                <w:sz w:val="20"/>
              </w:rPr>
              <w:t>Project Location</w:t>
            </w:r>
          </w:p>
        </w:tc>
        <w:tc>
          <w:tcPr>
            <w:tcW w:type="dxa" w:w="6480"/>
          </w:tcPr>
          <w:p>
            <w:r>
              <w:rPr>
                <w:sz w:val="20"/>
              </w:rPr>
              <w:t>Madinah, Saudi Arabia</w:t>
            </w:r>
          </w:p>
        </w:tc>
      </w:tr>
      <w:tr>
        <w:tc>
          <w:tcPr>
            <w:tcW w:type="dxa" w:w="2880"/>
          </w:tcPr>
          <w:p>
            <w:r>
              <w:rPr>
                <w:sz w:val="20"/>
              </w:rPr>
              <w:t>Subcontractor</w:t>
            </w:r>
          </w:p>
        </w:tc>
        <w:tc>
          <w:tcPr>
            <w:tcW w:type="dxa" w:w="6480"/>
          </w:tcPr>
          <w:p>
            <w:r>
              <w:rPr>
                <w:sz w:val="20"/>
              </w:rPr>
              <w:t>Al-Madinah Modern Builders Co.  /  شركة المدينة الحديثة للمقاولات</w:t>
            </w:r>
          </w:p>
        </w:tc>
      </w:tr>
      <w:tr>
        <w:tc>
          <w:tcPr>
            <w:tcW w:type="dxa" w:w="2880"/>
          </w:tcPr>
          <w:p>
            <w:r>
              <w:rPr>
                <w:sz w:val="20"/>
              </w:rPr>
              <w:t>Trade / Scope</w:t>
            </w:r>
          </w:p>
        </w:tc>
        <w:tc>
          <w:tcPr>
            <w:tcW w:type="dxa" w:w="6480"/>
          </w:tcPr>
          <w:p>
            <w:r>
              <w:rPr>
                <w:sz w:val="20"/>
              </w:rPr>
              <w:t>General Contracting</w:t>
            </w:r>
          </w:p>
        </w:tc>
      </w:tr>
      <w:tr>
        <w:tc>
          <w:tcPr>
            <w:tcW w:type="dxa" w:w="2880"/>
          </w:tcPr>
          <w:p>
            <w:r>
              <w:rPr>
                <w:sz w:val="20"/>
              </w:rPr>
              <w:t>Contract Value</w:t>
            </w:r>
          </w:p>
        </w:tc>
        <w:tc>
          <w:tcPr>
            <w:tcW w:type="dxa" w:w="6480"/>
          </w:tcPr>
          <w:p>
            <w:r>
              <w:rPr>
                <w:sz w:val="20"/>
              </w:rPr>
              <w:t>26,400,000 SAR</w:t>
            </w:r>
          </w:p>
        </w:tc>
      </w:tr>
      <w:tr>
        <w:tc>
          <w:tcPr>
            <w:tcW w:type="dxa" w:w="2880"/>
          </w:tcPr>
          <w:p>
            <w:r>
              <w:rPr>
                <w:sz w:val="20"/>
              </w:rPr>
              <w:t>Commencement Date</w:t>
            </w:r>
          </w:p>
        </w:tc>
        <w:tc>
          <w:tcPr>
            <w:tcW w:type="dxa" w:w="6480"/>
          </w:tcPr>
          <w:p>
            <w:r>
              <w:rPr>
                <w:sz w:val="20"/>
              </w:rPr>
              <w:t>2024-08-01</w:t>
            </w:r>
          </w:p>
        </w:tc>
      </w:tr>
      <w:tr>
        <w:tc>
          <w:tcPr>
            <w:tcW w:type="dxa" w:w="2880"/>
          </w:tcPr>
          <w:p>
            <w:r>
              <w:rPr>
                <w:sz w:val="20"/>
              </w:rPr>
              <w:t>Completion Date</w:t>
            </w:r>
          </w:p>
        </w:tc>
        <w:tc>
          <w:tcPr>
            <w:tcW w:type="dxa" w:w="6480"/>
          </w:tcPr>
          <w:p>
            <w:r>
              <w:rPr>
                <w:sz w:val="20"/>
              </w:rPr>
              <w:t>2026-01-31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General Contracting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A mobilization advance of ten percent (10%) of the Contract Value shall be paid against an unconditional bank guarantee, to be recovered pro-rata from each subsequent progress payment at a rate of twenty percent (20%) per invoice until fully repaid. Standard progress payments are due sixty (60) days from the end of the invoicing month.</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of the Kingdom of Saudi Arabia, with disputes referred to the competent Saudi courts or the Saudi Center for Commercial Arbitration (SCCA).</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