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Yanbu Refinery Support Facility</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Yanbu Refinery Support Facility</w:t>
            </w:r>
          </w:p>
        </w:tc>
      </w:tr>
      <w:tr>
        <w:tc>
          <w:tcPr>
            <w:tcW w:type="dxa" w:w="2880"/>
          </w:tcPr>
          <w:p>
            <w:r>
              <w:rPr>
                <w:sz w:val="20"/>
              </w:rPr>
              <w:t>Project Location</w:t>
            </w:r>
          </w:p>
        </w:tc>
        <w:tc>
          <w:tcPr>
            <w:tcW w:type="dxa" w:w="6480"/>
          </w:tcPr>
          <w:p>
            <w:r>
              <w:rPr>
                <w:sz w:val="20"/>
              </w:rPr>
              <w:t>Yanbu, Saudi Arabia</w:t>
            </w:r>
          </w:p>
        </w:tc>
      </w:tr>
      <w:tr>
        <w:tc>
          <w:tcPr>
            <w:tcW w:type="dxa" w:w="2880"/>
          </w:tcPr>
          <w:p>
            <w:r>
              <w:rPr>
                <w:sz w:val="20"/>
              </w:rPr>
              <w:t>Subcontractor</w:t>
            </w:r>
          </w:p>
        </w:tc>
        <w:tc>
          <w:tcPr>
            <w:tcW w:type="dxa" w:w="6480"/>
          </w:tcPr>
          <w:p>
            <w:r>
              <w:rPr>
                <w:sz w:val="20"/>
              </w:rPr>
              <w:t>Yanbu Industrial Contractors Co.  /  شركة ينبع للمقاولات الصناعية</w:t>
            </w:r>
          </w:p>
        </w:tc>
      </w:tr>
      <w:tr>
        <w:tc>
          <w:tcPr>
            <w:tcW w:type="dxa" w:w="2880"/>
          </w:tcPr>
          <w:p>
            <w:r>
              <w:rPr>
                <w:sz w:val="20"/>
              </w:rPr>
              <w:t>Trade / Scope</w:t>
            </w:r>
          </w:p>
        </w:tc>
        <w:tc>
          <w:tcPr>
            <w:tcW w:type="dxa" w:w="6480"/>
          </w:tcPr>
          <w:p>
            <w:r>
              <w:rPr>
                <w:sz w:val="20"/>
              </w:rPr>
              <w:t>Industrial Construction</w:t>
            </w:r>
          </w:p>
        </w:tc>
      </w:tr>
      <w:tr>
        <w:tc>
          <w:tcPr>
            <w:tcW w:type="dxa" w:w="2880"/>
          </w:tcPr>
          <w:p>
            <w:r>
              <w:rPr>
                <w:sz w:val="20"/>
              </w:rPr>
              <w:t>Contract Value</w:t>
            </w:r>
          </w:p>
        </w:tc>
        <w:tc>
          <w:tcPr>
            <w:tcW w:type="dxa" w:w="6480"/>
          </w:tcPr>
          <w:p>
            <w:r>
              <w:rPr>
                <w:sz w:val="20"/>
              </w:rPr>
              <w:t>63,500,000 SAR</w:t>
            </w:r>
          </w:p>
        </w:tc>
      </w:tr>
      <w:tr>
        <w:tc>
          <w:tcPr>
            <w:tcW w:type="dxa" w:w="2880"/>
          </w:tcPr>
          <w:p>
            <w:r>
              <w:rPr>
                <w:sz w:val="20"/>
              </w:rPr>
              <w:t>Commencement Date</w:t>
            </w:r>
          </w:p>
        </w:tc>
        <w:tc>
          <w:tcPr>
            <w:tcW w:type="dxa" w:w="6480"/>
          </w:tcPr>
          <w:p>
            <w:r>
              <w:rPr>
                <w:sz w:val="20"/>
              </w:rPr>
              <w:t>2023-09-01</w:t>
            </w:r>
          </w:p>
        </w:tc>
      </w:tr>
      <w:tr>
        <w:tc>
          <w:tcPr>
            <w:tcW w:type="dxa" w:w="2880"/>
          </w:tcPr>
          <w:p>
            <w:r>
              <w:rPr>
                <w:sz w:val="20"/>
              </w:rPr>
              <w:t>Completion Date</w:t>
            </w:r>
          </w:p>
        </w:tc>
        <w:tc>
          <w:tcPr>
            <w:tcW w:type="dxa" w:w="6480"/>
          </w:tcPr>
          <w:p>
            <w:r>
              <w:rPr>
                <w:sz w:val="20"/>
              </w:rPr>
              <w:t>2025-08-31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Industrial Construction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