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Manchester Logistics Hub</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Manchester Logistics Hub</w:t>
            </w:r>
          </w:p>
        </w:tc>
      </w:tr>
      <w:tr>
        <w:tc>
          <w:tcPr>
            <w:tcW w:type="dxa" w:w="2880"/>
          </w:tcPr>
          <w:p>
            <w:r>
              <w:rPr>
                <w:sz w:val="20"/>
              </w:rPr>
              <w:t>Project Location</w:t>
            </w:r>
          </w:p>
        </w:tc>
        <w:tc>
          <w:tcPr>
            <w:tcW w:type="dxa" w:w="6480"/>
          </w:tcPr>
          <w:p>
            <w:r>
              <w:rPr>
                <w:sz w:val="20"/>
              </w:rPr>
              <w:t>Manchester, United Kingdom</w:t>
            </w:r>
          </w:p>
        </w:tc>
      </w:tr>
      <w:tr>
        <w:tc>
          <w:tcPr>
            <w:tcW w:type="dxa" w:w="2880"/>
          </w:tcPr>
          <w:p>
            <w:r>
              <w:rPr>
                <w:sz w:val="20"/>
              </w:rPr>
              <w:t>Subcontractor</w:t>
            </w:r>
          </w:p>
        </w:tc>
        <w:tc>
          <w:tcPr>
            <w:tcW w:type="dxa" w:w="6480"/>
          </w:tcPr>
          <w:p>
            <w:r>
              <w:rPr>
                <w:sz w:val="20"/>
              </w:rPr>
              <w:t>Northern Formwork Systems Ltd.</w:t>
            </w:r>
          </w:p>
        </w:tc>
      </w:tr>
      <w:tr>
        <w:tc>
          <w:tcPr>
            <w:tcW w:type="dxa" w:w="2880"/>
          </w:tcPr>
          <w:p>
            <w:r>
              <w:rPr>
                <w:sz w:val="20"/>
              </w:rPr>
              <w:t>Trade / Scope</w:t>
            </w:r>
          </w:p>
        </w:tc>
        <w:tc>
          <w:tcPr>
            <w:tcW w:type="dxa" w:w="6480"/>
          </w:tcPr>
          <w:p>
            <w:r>
              <w:rPr>
                <w:sz w:val="20"/>
              </w:rPr>
              <w:t>Formwork &amp; Falsework</w:t>
            </w:r>
          </w:p>
        </w:tc>
      </w:tr>
      <w:tr>
        <w:tc>
          <w:tcPr>
            <w:tcW w:type="dxa" w:w="2880"/>
          </w:tcPr>
          <w:p>
            <w:r>
              <w:rPr>
                <w:sz w:val="20"/>
              </w:rPr>
              <w:t>Contract Value</w:t>
            </w:r>
          </w:p>
        </w:tc>
        <w:tc>
          <w:tcPr>
            <w:tcW w:type="dxa" w:w="6480"/>
          </w:tcPr>
          <w:p>
            <w:r>
              <w:rPr>
                <w:sz w:val="20"/>
              </w:rPr>
              <w:t>9,800,000 USD</w:t>
            </w:r>
          </w:p>
        </w:tc>
      </w:tr>
      <w:tr>
        <w:tc>
          <w:tcPr>
            <w:tcW w:type="dxa" w:w="2880"/>
          </w:tcPr>
          <w:p>
            <w:r>
              <w:rPr>
                <w:sz w:val="20"/>
              </w:rPr>
              <w:t>Commencement Date</w:t>
            </w:r>
          </w:p>
        </w:tc>
        <w:tc>
          <w:tcPr>
            <w:tcW w:type="dxa" w:w="6480"/>
          </w:tcPr>
          <w:p>
            <w:r>
              <w:rPr>
                <w:sz w:val="20"/>
              </w:rPr>
              <w:t>2024-06-01</w:t>
            </w:r>
          </w:p>
        </w:tc>
      </w:tr>
      <w:tr>
        <w:tc>
          <w:tcPr>
            <w:tcW w:type="dxa" w:w="2880"/>
          </w:tcPr>
          <w:p>
            <w:r>
              <w:rPr>
                <w:sz w:val="20"/>
              </w:rPr>
              <w:t>Completion Date</w:t>
            </w:r>
          </w:p>
        </w:tc>
        <w:tc>
          <w:tcPr>
            <w:tcW w:type="dxa" w:w="6480"/>
          </w:tcPr>
          <w:p>
            <w:r>
              <w:rPr>
                <w:sz w:val="20"/>
              </w:rPr>
              <w:t>2025-05-31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Formwork &amp; Falsework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Kingdom,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