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Dammam Logistics Park</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Dammam Logistics Park</w:t>
            </w:r>
          </w:p>
        </w:tc>
      </w:tr>
      <w:tr>
        <w:tc>
          <w:tcPr>
            <w:tcW w:type="dxa" w:w="2880"/>
          </w:tcPr>
          <w:p>
            <w:r>
              <w:rPr>
                <w:sz w:val="20"/>
              </w:rPr>
              <w:t>Project Location</w:t>
            </w:r>
          </w:p>
        </w:tc>
        <w:tc>
          <w:tcPr>
            <w:tcW w:type="dxa" w:w="6480"/>
          </w:tcPr>
          <w:p>
            <w:r>
              <w:rPr>
                <w:sz w:val="20"/>
              </w:rPr>
              <w:t>Dammam, Saudi Arabia</w:t>
            </w:r>
          </w:p>
        </w:tc>
      </w:tr>
      <w:tr>
        <w:tc>
          <w:tcPr>
            <w:tcW w:type="dxa" w:w="2880"/>
          </w:tcPr>
          <w:p>
            <w:r>
              <w:rPr>
                <w:sz w:val="20"/>
              </w:rPr>
              <w:t>Subcontractor</w:t>
            </w:r>
          </w:p>
        </w:tc>
        <w:tc>
          <w:tcPr>
            <w:tcW w:type="dxa" w:w="6480"/>
          </w:tcPr>
          <w:p>
            <w:r>
              <w:rPr>
                <w:sz w:val="20"/>
              </w:rPr>
              <w:t>Eastern Province Steel Works Co.  /  شركة المنطقة الشرقية للأعمال الحديدية</w:t>
            </w:r>
          </w:p>
        </w:tc>
      </w:tr>
      <w:tr>
        <w:tc>
          <w:tcPr>
            <w:tcW w:type="dxa" w:w="2880"/>
          </w:tcPr>
          <w:p>
            <w:r>
              <w:rPr>
                <w:sz w:val="20"/>
              </w:rPr>
              <w:t>Trade / Scope</w:t>
            </w:r>
          </w:p>
        </w:tc>
        <w:tc>
          <w:tcPr>
            <w:tcW w:type="dxa" w:w="6480"/>
          </w:tcPr>
          <w:p>
            <w:r>
              <w:rPr>
                <w:sz w:val="20"/>
              </w:rPr>
              <w:t>Structural Steel</w:t>
            </w:r>
          </w:p>
        </w:tc>
      </w:tr>
      <w:tr>
        <w:tc>
          <w:tcPr>
            <w:tcW w:type="dxa" w:w="2880"/>
          </w:tcPr>
          <w:p>
            <w:r>
              <w:rPr>
                <w:sz w:val="20"/>
              </w:rPr>
              <w:t>Contract Value</w:t>
            </w:r>
          </w:p>
        </w:tc>
        <w:tc>
          <w:tcPr>
            <w:tcW w:type="dxa" w:w="6480"/>
          </w:tcPr>
          <w:p>
            <w:r>
              <w:rPr>
                <w:sz w:val="20"/>
              </w:rPr>
              <w:t>34,900,000 SAR</w:t>
            </w:r>
          </w:p>
        </w:tc>
      </w:tr>
      <w:tr>
        <w:tc>
          <w:tcPr>
            <w:tcW w:type="dxa" w:w="2880"/>
          </w:tcPr>
          <w:p>
            <w:r>
              <w:rPr>
                <w:sz w:val="20"/>
              </w:rPr>
              <w:t>Commencement Date</w:t>
            </w:r>
          </w:p>
        </w:tc>
        <w:tc>
          <w:tcPr>
            <w:tcW w:type="dxa" w:w="6480"/>
          </w:tcPr>
          <w:p>
            <w:r>
              <w:rPr>
                <w:sz w:val="20"/>
              </w:rPr>
              <w:t>2024-04-01</w:t>
            </w:r>
          </w:p>
        </w:tc>
      </w:tr>
      <w:tr>
        <w:tc>
          <w:tcPr>
            <w:tcW w:type="dxa" w:w="2880"/>
          </w:tcPr>
          <w:p>
            <w:r>
              <w:rPr>
                <w:sz w:val="20"/>
              </w:rPr>
              <w:t>Completion Date</w:t>
            </w:r>
          </w:p>
        </w:tc>
        <w:tc>
          <w:tcPr>
            <w:tcW w:type="dxa" w:w="6480"/>
          </w:tcPr>
          <w:p>
            <w:r>
              <w:rPr>
                <w:sz w:val="20"/>
              </w:rPr>
              <w:t>2025-10-15</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Structural Steel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