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Jeddah Industrial City Expansion</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Jeddah Industrial City Expansion</w:t>
            </w:r>
          </w:p>
        </w:tc>
      </w:tr>
      <w:tr>
        <w:tc>
          <w:tcPr>
            <w:tcW w:type="dxa" w:w="2880"/>
          </w:tcPr>
          <w:p>
            <w:r>
              <w:rPr>
                <w:sz w:val="20"/>
              </w:rPr>
              <w:t>Project Location</w:t>
            </w:r>
          </w:p>
        </w:tc>
        <w:tc>
          <w:tcPr>
            <w:tcW w:type="dxa" w:w="6480"/>
          </w:tcPr>
          <w:p>
            <w:r>
              <w:rPr>
                <w:sz w:val="20"/>
              </w:rPr>
              <w:t>Jeddah, Saudi Arabia</w:t>
            </w:r>
          </w:p>
        </w:tc>
      </w:tr>
      <w:tr>
        <w:tc>
          <w:tcPr>
            <w:tcW w:type="dxa" w:w="2880"/>
          </w:tcPr>
          <w:p>
            <w:r>
              <w:rPr>
                <w:sz w:val="20"/>
              </w:rPr>
              <w:t>Subcontractor</w:t>
            </w:r>
          </w:p>
        </w:tc>
        <w:tc>
          <w:tcPr>
            <w:tcW w:type="dxa" w:w="6480"/>
          </w:tcPr>
          <w:p>
            <w:r>
              <w:rPr>
                <w:sz w:val="20"/>
              </w:rPr>
              <w:t>Red Sea Fabrication Co.  /  شركة البحر الأحمر للتصنيع</w:t>
            </w:r>
          </w:p>
        </w:tc>
      </w:tr>
      <w:tr>
        <w:tc>
          <w:tcPr>
            <w:tcW w:type="dxa" w:w="2880"/>
          </w:tcPr>
          <w:p>
            <w:r>
              <w:rPr>
                <w:sz w:val="20"/>
              </w:rPr>
              <w:t>Trade / Scope</w:t>
            </w:r>
          </w:p>
        </w:tc>
        <w:tc>
          <w:tcPr>
            <w:tcW w:type="dxa" w:w="6480"/>
          </w:tcPr>
          <w:p>
            <w:r>
              <w:rPr>
                <w:sz w:val="20"/>
              </w:rPr>
              <w:t>Steel Fabrication</w:t>
            </w:r>
          </w:p>
        </w:tc>
      </w:tr>
      <w:tr>
        <w:tc>
          <w:tcPr>
            <w:tcW w:type="dxa" w:w="2880"/>
          </w:tcPr>
          <w:p>
            <w:r>
              <w:rPr>
                <w:sz w:val="20"/>
              </w:rPr>
              <w:t>Contract Value</w:t>
            </w:r>
          </w:p>
        </w:tc>
        <w:tc>
          <w:tcPr>
            <w:tcW w:type="dxa" w:w="6480"/>
          </w:tcPr>
          <w:p>
            <w:r>
              <w:rPr>
                <w:sz w:val="20"/>
              </w:rPr>
              <w:t>19,700,000 SAR</w:t>
            </w:r>
          </w:p>
        </w:tc>
      </w:tr>
      <w:tr>
        <w:tc>
          <w:tcPr>
            <w:tcW w:type="dxa" w:w="2880"/>
          </w:tcPr>
          <w:p>
            <w:r>
              <w:rPr>
                <w:sz w:val="20"/>
              </w:rPr>
              <w:t>Commencement Date</w:t>
            </w:r>
          </w:p>
        </w:tc>
        <w:tc>
          <w:tcPr>
            <w:tcW w:type="dxa" w:w="6480"/>
          </w:tcPr>
          <w:p>
            <w:r>
              <w:rPr>
                <w:sz w:val="20"/>
              </w:rPr>
              <w:t>2024-07-01</w:t>
            </w:r>
          </w:p>
        </w:tc>
      </w:tr>
      <w:tr>
        <w:tc>
          <w:tcPr>
            <w:tcW w:type="dxa" w:w="2880"/>
          </w:tcPr>
          <w:p>
            <w:r>
              <w:rPr>
                <w:sz w:val="20"/>
              </w:rPr>
              <w:t>Completion Date</w:t>
            </w:r>
          </w:p>
        </w:tc>
        <w:tc>
          <w:tcPr>
            <w:tcW w:type="dxa" w:w="6480"/>
          </w:tcPr>
          <w:p>
            <w:r>
              <w:rPr>
                <w:sz w:val="20"/>
              </w:rPr>
              <w:t>2025-09-30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Steel Fabrication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