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Abu Dhabi Cultural District Pavilion</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Abu Dhabi Cultural District Pavilion</w:t>
            </w:r>
          </w:p>
        </w:tc>
      </w:tr>
      <w:tr>
        <w:tc>
          <w:tcPr>
            <w:tcW w:type="dxa" w:w="2880"/>
          </w:tcPr>
          <w:p>
            <w:r>
              <w:rPr>
                <w:sz w:val="20"/>
              </w:rPr>
              <w:t>Project Location</w:t>
            </w:r>
          </w:p>
        </w:tc>
        <w:tc>
          <w:tcPr>
            <w:tcW w:type="dxa" w:w="6480"/>
          </w:tcPr>
          <w:p>
            <w:r>
              <w:rPr>
                <w:sz w:val="20"/>
              </w:rPr>
              <w:t>Abu Dhabi, United Arab Emirates</w:t>
            </w:r>
          </w:p>
        </w:tc>
      </w:tr>
      <w:tr>
        <w:tc>
          <w:tcPr>
            <w:tcW w:type="dxa" w:w="2880"/>
          </w:tcPr>
          <w:p>
            <w:r>
              <w:rPr>
                <w:sz w:val="20"/>
              </w:rPr>
              <w:t>Subcontractor</w:t>
            </w:r>
          </w:p>
        </w:tc>
        <w:tc>
          <w:tcPr>
            <w:tcW w:type="dxa" w:w="6480"/>
          </w:tcPr>
          <w:p>
            <w:r>
              <w:rPr>
                <w:sz w:val="20"/>
              </w:rPr>
              <w:t>Emirates MEP Contracting LLC</w:t>
            </w:r>
          </w:p>
        </w:tc>
      </w:tr>
      <w:tr>
        <w:tc>
          <w:tcPr>
            <w:tcW w:type="dxa" w:w="2880"/>
          </w:tcPr>
          <w:p>
            <w:r>
              <w:rPr>
                <w:sz w:val="20"/>
              </w:rPr>
              <w:t>Trade / Scope</w:t>
            </w:r>
          </w:p>
        </w:tc>
        <w:tc>
          <w:tcPr>
            <w:tcW w:type="dxa" w:w="6480"/>
          </w:tcPr>
          <w:p>
            <w:r>
              <w:rPr>
                <w:sz w:val="20"/>
              </w:rPr>
              <w:t>MEP Subcontractor</w:t>
            </w:r>
          </w:p>
        </w:tc>
      </w:tr>
      <w:tr>
        <w:tc>
          <w:tcPr>
            <w:tcW w:type="dxa" w:w="2880"/>
          </w:tcPr>
          <w:p>
            <w:r>
              <w:rPr>
                <w:sz w:val="20"/>
              </w:rPr>
              <w:t>Contract Value</w:t>
            </w:r>
          </w:p>
        </w:tc>
        <w:tc>
          <w:tcPr>
            <w:tcW w:type="dxa" w:w="6480"/>
          </w:tcPr>
          <w:p>
            <w:r>
              <w:rPr>
                <w:sz w:val="20"/>
              </w:rPr>
              <w:t>14,200,000 USD</w:t>
            </w:r>
          </w:p>
        </w:tc>
      </w:tr>
      <w:tr>
        <w:tc>
          <w:tcPr>
            <w:tcW w:type="dxa" w:w="2880"/>
          </w:tcPr>
          <w:p>
            <w:r>
              <w:rPr>
                <w:sz w:val="20"/>
              </w:rPr>
              <w:t>Commencement Date</w:t>
            </w:r>
          </w:p>
        </w:tc>
        <w:tc>
          <w:tcPr>
            <w:tcW w:type="dxa" w:w="6480"/>
          </w:tcPr>
          <w:p>
            <w:r>
              <w:rPr>
                <w:sz w:val="20"/>
              </w:rPr>
              <w:t>2023-10-01</w:t>
            </w:r>
          </w:p>
        </w:tc>
      </w:tr>
      <w:tr>
        <w:tc>
          <w:tcPr>
            <w:tcW w:type="dxa" w:w="2880"/>
          </w:tcPr>
          <w:p>
            <w:r>
              <w:rPr>
                <w:sz w:val="20"/>
              </w:rPr>
              <w:t>Completion Date</w:t>
            </w:r>
          </w:p>
        </w:tc>
        <w:tc>
          <w:tcPr>
            <w:tcW w:type="dxa" w:w="6480"/>
          </w:tcPr>
          <w:p>
            <w:r>
              <w:rPr>
                <w:sz w:val="20"/>
              </w:rPr>
              <w:t>2025-03-31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MEP Subcontractor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Arab Emirates,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