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Cairo New Administrative Capital - District R7</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Cairo New Administrative Capital - District R7</w:t>
            </w:r>
          </w:p>
        </w:tc>
      </w:tr>
      <w:tr>
        <w:tc>
          <w:tcPr>
            <w:tcW w:type="dxa" w:w="2880"/>
          </w:tcPr>
          <w:p>
            <w:r>
              <w:rPr>
                <w:sz w:val="20"/>
              </w:rPr>
              <w:t>Project Location</w:t>
            </w:r>
          </w:p>
        </w:tc>
        <w:tc>
          <w:tcPr>
            <w:tcW w:type="dxa" w:w="6480"/>
          </w:tcPr>
          <w:p>
            <w:r>
              <w:rPr>
                <w:sz w:val="20"/>
              </w:rPr>
              <w:t>Cairo, Egypt</w:t>
            </w:r>
          </w:p>
        </w:tc>
      </w:tr>
      <w:tr>
        <w:tc>
          <w:tcPr>
            <w:tcW w:type="dxa" w:w="2880"/>
          </w:tcPr>
          <w:p>
            <w:r>
              <w:rPr>
                <w:sz w:val="20"/>
              </w:rPr>
              <w:t>Subcontractor</w:t>
            </w:r>
          </w:p>
        </w:tc>
        <w:tc>
          <w:tcPr>
            <w:tcW w:type="dxa" w:w="6480"/>
          </w:tcPr>
          <w:p>
            <w:r>
              <w:rPr>
                <w:sz w:val="20"/>
              </w:rPr>
              <w:t>Nile Delta Construction Group</w:t>
            </w:r>
          </w:p>
        </w:tc>
      </w:tr>
      <w:tr>
        <w:tc>
          <w:tcPr>
            <w:tcW w:type="dxa" w:w="2880"/>
          </w:tcPr>
          <w:p>
            <w:r>
              <w:rPr>
                <w:sz w:val="20"/>
              </w:rPr>
              <w:t>Trade / Scope</w:t>
            </w:r>
          </w:p>
        </w:tc>
        <w:tc>
          <w:tcPr>
            <w:tcW w:type="dxa" w:w="6480"/>
          </w:tcPr>
          <w:p>
            <w:r>
              <w:rPr>
                <w:sz w:val="20"/>
              </w:rPr>
              <w:t>General Contracting</w:t>
            </w:r>
          </w:p>
        </w:tc>
      </w:tr>
      <w:tr>
        <w:tc>
          <w:tcPr>
            <w:tcW w:type="dxa" w:w="2880"/>
          </w:tcPr>
          <w:p>
            <w:r>
              <w:rPr>
                <w:sz w:val="20"/>
              </w:rPr>
              <w:t>Contract Value</w:t>
            </w:r>
          </w:p>
        </w:tc>
        <w:tc>
          <w:tcPr>
            <w:tcW w:type="dxa" w:w="6480"/>
          </w:tcPr>
          <w:p>
            <w:r>
              <w:rPr>
                <w:sz w:val="20"/>
              </w:rPr>
              <w:t>31,500,000 USD</w:t>
            </w:r>
          </w:p>
        </w:tc>
      </w:tr>
      <w:tr>
        <w:tc>
          <w:tcPr>
            <w:tcW w:type="dxa" w:w="2880"/>
          </w:tcPr>
          <w:p>
            <w:r>
              <w:rPr>
                <w:sz w:val="20"/>
              </w:rPr>
              <w:t>Commencement Date</w:t>
            </w:r>
          </w:p>
        </w:tc>
        <w:tc>
          <w:tcPr>
            <w:tcW w:type="dxa" w:w="6480"/>
          </w:tcPr>
          <w:p>
            <w:r>
              <w:rPr>
                <w:sz w:val="20"/>
              </w:rPr>
              <w:t>2023-05-01</w:t>
            </w:r>
          </w:p>
        </w:tc>
      </w:tr>
      <w:tr>
        <w:tc>
          <w:tcPr>
            <w:tcW w:type="dxa" w:w="2880"/>
          </w:tcPr>
          <w:p>
            <w:r>
              <w:rPr>
                <w:sz w:val="20"/>
              </w:rPr>
              <w:t>Completion Date</w:t>
            </w:r>
          </w:p>
        </w:tc>
        <w:tc>
          <w:tcPr>
            <w:tcW w:type="dxa" w:w="6480"/>
          </w:tcPr>
          <w:p>
            <w:r>
              <w:rPr>
                <w:sz w:val="20"/>
              </w:rPr>
              <w:t>2026-04-30</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General Contracting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Egypt,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