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KL Twin Towers Annex</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KL Twin Towers Annex</w:t>
            </w:r>
          </w:p>
        </w:tc>
      </w:tr>
      <w:tr>
        <w:tc>
          <w:tcPr>
            <w:tcW w:type="dxa" w:w="2880"/>
          </w:tcPr>
          <w:p>
            <w:r>
              <w:rPr>
                <w:sz w:val="20"/>
              </w:rPr>
              <w:t>Project Location</w:t>
            </w:r>
          </w:p>
        </w:tc>
        <w:tc>
          <w:tcPr>
            <w:tcW w:type="dxa" w:w="6480"/>
          </w:tcPr>
          <w:p>
            <w:r>
              <w:rPr>
                <w:sz w:val="20"/>
              </w:rPr>
              <w:t>Kuala Lumpur, Malaysia</w:t>
            </w:r>
          </w:p>
        </w:tc>
      </w:tr>
      <w:tr>
        <w:tc>
          <w:tcPr>
            <w:tcW w:type="dxa" w:w="2880"/>
          </w:tcPr>
          <w:p>
            <w:r>
              <w:rPr>
                <w:sz w:val="20"/>
              </w:rPr>
              <w:t>Subcontractor</w:t>
            </w:r>
          </w:p>
        </w:tc>
        <w:tc>
          <w:tcPr>
            <w:tcW w:type="dxa" w:w="6480"/>
          </w:tcPr>
          <w:p>
            <w:r>
              <w:rPr>
                <w:sz w:val="20"/>
              </w:rPr>
              <w:t>Menara Builders Sdn Bhd</w:t>
            </w:r>
          </w:p>
        </w:tc>
      </w:tr>
      <w:tr>
        <w:tc>
          <w:tcPr>
            <w:tcW w:type="dxa" w:w="2880"/>
          </w:tcPr>
          <w:p>
            <w:r>
              <w:rPr>
                <w:sz w:val="20"/>
              </w:rPr>
              <w:t>Trade / Scope</w:t>
            </w:r>
          </w:p>
        </w:tc>
        <w:tc>
          <w:tcPr>
            <w:tcW w:type="dxa" w:w="6480"/>
          </w:tcPr>
          <w:p>
            <w:r>
              <w:rPr>
                <w:sz w:val="20"/>
              </w:rPr>
              <w:t>General Contracting</w:t>
            </w:r>
          </w:p>
        </w:tc>
      </w:tr>
      <w:tr>
        <w:tc>
          <w:tcPr>
            <w:tcW w:type="dxa" w:w="2880"/>
          </w:tcPr>
          <w:p>
            <w:r>
              <w:rPr>
                <w:sz w:val="20"/>
              </w:rPr>
              <w:t>Contract Value</w:t>
            </w:r>
          </w:p>
        </w:tc>
        <w:tc>
          <w:tcPr>
            <w:tcW w:type="dxa" w:w="6480"/>
          </w:tcPr>
          <w:p>
            <w:r>
              <w:rPr>
                <w:sz w:val="20"/>
              </w:rPr>
              <w:t>21,900,000 USD</w:t>
            </w:r>
          </w:p>
        </w:tc>
      </w:tr>
      <w:tr>
        <w:tc>
          <w:tcPr>
            <w:tcW w:type="dxa" w:w="2880"/>
          </w:tcPr>
          <w:p>
            <w:r>
              <w:rPr>
                <w:sz w:val="20"/>
              </w:rPr>
              <w:t>Commencement Date</w:t>
            </w:r>
          </w:p>
        </w:tc>
        <w:tc>
          <w:tcPr>
            <w:tcW w:type="dxa" w:w="6480"/>
          </w:tcPr>
          <w:p>
            <w:r>
              <w:rPr>
                <w:sz w:val="20"/>
              </w:rPr>
              <w:t>2024-01-01</w:t>
            </w:r>
          </w:p>
        </w:tc>
      </w:tr>
      <w:tr>
        <w:tc>
          <w:tcPr>
            <w:tcW w:type="dxa" w:w="2880"/>
          </w:tcPr>
          <w:p>
            <w:r>
              <w:rPr>
                <w:sz w:val="20"/>
              </w:rPr>
              <w:t>Completion Date</w:t>
            </w:r>
          </w:p>
        </w:tc>
        <w:tc>
          <w:tcPr>
            <w:tcW w:type="dxa" w:w="6480"/>
          </w:tcPr>
          <w:p>
            <w:r>
              <w:rPr>
                <w:sz w:val="20"/>
              </w:rPr>
              <w:t>2026-06-30</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General Contracting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Malaysia,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