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6"/>
          <w:rtl/>
          <w:lang w:bidi="ar-SA"/>
        </w:rPr>
        <w:t>اتفاقية مقاول من الباطن</w:t>
      </w:r>
    </w:p>
    <w:p>
      <w:pPr>
        <w:jc w:val="center"/>
        <w:bidi/>
      </w:pPr>
      <w:r>
        <w:rPr>
          <w:b w:val="0"/>
          <w:sz w:val="24"/>
          <w:rtl/>
          <w:lang w:bidi="ar-SA"/>
        </w:rPr>
        <w:t>Jeddah Corniche Mixed-Use Development (نسخة عربية)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اسم المشروع: Jeddah Corniche Mixed-Use Development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المقاول من الباطن: شركة بن دسمال للتجارة والمقاولات (Bin Dasmal Trading &amp; Contracting Co.)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الموقع: Jeddah، المملكة العربية السعودية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قيمة العقد: 112,000,000 ريال سعودي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تاريخ البدء: 2023-06-15    تاريخ الانتهاء: 2027-01-15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1: نطاق الأعمال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يلتزم المقاول من الباطن بتنفيذ جميع أعمال General Contracting المتعلقة بالمشروع المذكور أعلاه وفقاً للمخططات والمواصفات المعتمدة من المهندس، وذلك ضمن الجدول الزمني المتفق عليه.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2: شروط الدفع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تُسدَّد الدفعات خلال ثلاثين (30) يوماً من تاريخ اعتماد المستخلص الشهري من قبل المهندس، مع خصم نسبة ضمان قدرها عشرة بالمائة (10%) من كل دفعة معتمدة. يُفرج عن خمسين بالمائة (50%) من مبلغ الضمان عند صدور شهادة الاستلام الابتدائي، ويُفرج عن النسبة المتبقية عند انتهاء فترة صيانة العيوب.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3: مدة العقد وأوامر التغيير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يجوز للمقاول الرئيسي إصدار أوامر تغيير كتابية معتمدة، على أن يتم تقييم الأثر المالي والزمني خلال أسبوعين من تاريخ الإصدار.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4: القانون الحاكم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يخضع هذا العقد لأنظمة المملكة العربية السعودية، وتختص هيئة المنازعات الحكومية أو المركز السعودي للتحكيم التجاري بالفصل في أي نزاع ينشأ عنه.</w:t>
      </w:r>
    </w:p>
    <w:p/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التوقيعات: ___________________              ___________________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عن المقاول الرئيسي                              عن المقاول من الباطن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