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Riyadh Heights Residential Towers - Life Safety</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Riyadh Heights Residential Towers - Life Safety</w:t>
            </w:r>
          </w:p>
        </w:tc>
      </w:tr>
      <w:tr>
        <w:tc>
          <w:tcPr>
            <w:tcW w:type="dxa" w:w="2880"/>
          </w:tcPr>
          <w:p>
            <w:r>
              <w:rPr>
                <w:sz w:val="20"/>
              </w:rPr>
              <w:t>Project Location</w:t>
            </w:r>
          </w:p>
        </w:tc>
        <w:tc>
          <w:tcPr>
            <w:tcW w:type="dxa" w:w="6480"/>
          </w:tcPr>
          <w:p>
            <w:r>
              <w:rPr>
                <w:sz w:val="20"/>
              </w:rPr>
              <w:t>Riyadh, Saudi Arabia</w:t>
            </w:r>
          </w:p>
        </w:tc>
      </w:tr>
      <w:tr>
        <w:tc>
          <w:tcPr>
            <w:tcW w:type="dxa" w:w="2880"/>
          </w:tcPr>
          <w:p>
            <w:r>
              <w:rPr>
                <w:sz w:val="20"/>
              </w:rPr>
              <w:t>Subcontractor</w:t>
            </w:r>
          </w:p>
        </w:tc>
        <w:tc>
          <w:tcPr>
            <w:tcW w:type="dxa" w:w="6480"/>
          </w:tcPr>
          <w:p>
            <w:r>
              <w:rPr>
                <w:sz w:val="20"/>
              </w:rPr>
              <w:t>Falcon Fire &amp; Safety Consultants  /  شركة الصقر للاستشارات الأمنية والسلامة</w:t>
            </w:r>
          </w:p>
        </w:tc>
      </w:tr>
      <w:tr>
        <w:tc>
          <w:tcPr>
            <w:tcW w:type="dxa" w:w="2880"/>
          </w:tcPr>
          <w:p>
            <w:r>
              <w:rPr>
                <w:sz w:val="20"/>
              </w:rPr>
              <w:t>Trade / Scope</w:t>
            </w:r>
          </w:p>
        </w:tc>
        <w:tc>
          <w:tcPr>
            <w:tcW w:type="dxa" w:w="6480"/>
          </w:tcPr>
          <w:p>
            <w:r>
              <w:rPr>
                <w:sz w:val="20"/>
              </w:rPr>
              <w:t>Fire &amp; Life Safety Consulting</w:t>
            </w:r>
          </w:p>
        </w:tc>
      </w:tr>
      <w:tr>
        <w:tc>
          <w:tcPr>
            <w:tcW w:type="dxa" w:w="2880"/>
          </w:tcPr>
          <w:p>
            <w:r>
              <w:rPr>
                <w:sz w:val="20"/>
              </w:rPr>
              <w:t>Contract Value</w:t>
            </w:r>
          </w:p>
        </w:tc>
        <w:tc>
          <w:tcPr>
            <w:tcW w:type="dxa" w:w="6480"/>
          </w:tcPr>
          <w:p>
            <w:r>
              <w:rPr>
                <w:sz w:val="20"/>
              </w:rPr>
              <w:t>3,400,000 SAR</w:t>
            </w:r>
          </w:p>
        </w:tc>
      </w:tr>
      <w:tr>
        <w:tc>
          <w:tcPr>
            <w:tcW w:type="dxa" w:w="2880"/>
          </w:tcPr>
          <w:p>
            <w:r>
              <w:rPr>
                <w:sz w:val="20"/>
              </w:rPr>
              <w:t>Commencement Date</w:t>
            </w:r>
          </w:p>
        </w:tc>
        <w:tc>
          <w:tcPr>
            <w:tcW w:type="dxa" w:w="6480"/>
          </w:tcPr>
          <w:p>
            <w:r>
              <w:rPr>
                <w:sz w:val="20"/>
              </w:rPr>
              <w:t>2024-02-01</w:t>
            </w:r>
          </w:p>
        </w:tc>
      </w:tr>
      <w:tr>
        <w:tc>
          <w:tcPr>
            <w:tcW w:type="dxa" w:w="2880"/>
          </w:tcPr>
          <w:p>
            <w:r>
              <w:rPr>
                <w:sz w:val="20"/>
              </w:rPr>
              <w:t>Completion Date</w:t>
            </w:r>
          </w:p>
        </w:tc>
        <w:tc>
          <w:tcPr>
            <w:tcW w:type="dxa" w:w="6480"/>
          </w:tcPr>
          <w:p>
            <w:r>
              <w:rPr>
                <w:sz w:val="20"/>
              </w:rPr>
              <w:t>2026-08-31</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Fire &amp; Life Safety Consulting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A mobilization advance of ten percent (10%) of the Contract Value shall be paid against an unconditional bank guarantee, to be recovered pro-rata from each subsequent progress payment at a rate of twenty percent (20%) per invoice until fully repaid. Standard progress payments are due sixty (60) days from the end of the invoicing month.</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of the Kingdom of Saudi Arabia, with disputes referred to the competent Saudi courts or the Saudi Center for Commercial Arbitration (SCCA).</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