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London Riverside Development</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London Riverside Development</w:t>
            </w:r>
          </w:p>
        </w:tc>
      </w:tr>
      <w:tr>
        <w:tc>
          <w:tcPr>
            <w:tcW w:type="dxa" w:w="2880"/>
          </w:tcPr>
          <w:p>
            <w:r>
              <w:rPr>
                <w:sz w:val="20"/>
              </w:rPr>
              <w:t>Project Location</w:t>
            </w:r>
          </w:p>
        </w:tc>
        <w:tc>
          <w:tcPr>
            <w:tcW w:type="dxa" w:w="6480"/>
          </w:tcPr>
          <w:p>
            <w:r>
              <w:rPr>
                <w:sz w:val="20"/>
              </w:rPr>
              <w:t>London, United Kingdom</w:t>
            </w:r>
          </w:p>
        </w:tc>
      </w:tr>
      <w:tr>
        <w:tc>
          <w:tcPr>
            <w:tcW w:type="dxa" w:w="2880"/>
          </w:tcPr>
          <w:p>
            <w:r>
              <w:rPr>
                <w:sz w:val="20"/>
              </w:rPr>
              <w:t>Subcontractor</w:t>
            </w:r>
          </w:p>
        </w:tc>
        <w:tc>
          <w:tcPr>
            <w:tcW w:type="dxa" w:w="6480"/>
          </w:tcPr>
          <w:p>
            <w:r>
              <w:rPr>
                <w:sz w:val="20"/>
              </w:rPr>
              <w:t>Thames Valley Steel Ltd.</w:t>
            </w:r>
          </w:p>
        </w:tc>
      </w:tr>
      <w:tr>
        <w:tc>
          <w:tcPr>
            <w:tcW w:type="dxa" w:w="2880"/>
          </w:tcPr>
          <w:p>
            <w:r>
              <w:rPr>
                <w:sz w:val="20"/>
              </w:rPr>
              <w:t>Trade / Scope</w:t>
            </w:r>
          </w:p>
        </w:tc>
        <w:tc>
          <w:tcPr>
            <w:tcW w:type="dxa" w:w="6480"/>
          </w:tcPr>
          <w:p>
            <w:r>
              <w:rPr>
                <w:sz w:val="20"/>
              </w:rPr>
              <w:t>Structural Steel</w:t>
            </w:r>
          </w:p>
        </w:tc>
      </w:tr>
      <w:tr>
        <w:tc>
          <w:tcPr>
            <w:tcW w:type="dxa" w:w="2880"/>
          </w:tcPr>
          <w:p>
            <w:r>
              <w:rPr>
                <w:sz w:val="20"/>
              </w:rPr>
              <w:t>Contract Value</w:t>
            </w:r>
          </w:p>
        </w:tc>
        <w:tc>
          <w:tcPr>
            <w:tcW w:type="dxa" w:w="6480"/>
          </w:tcPr>
          <w:p>
            <w:r>
              <w:rPr>
                <w:sz w:val="20"/>
              </w:rPr>
              <w:t>28,900,000 USD</w:t>
            </w:r>
          </w:p>
        </w:tc>
      </w:tr>
      <w:tr>
        <w:tc>
          <w:tcPr>
            <w:tcW w:type="dxa" w:w="2880"/>
          </w:tcPr>
          <w:p>
            <w:r>
              <w:rPr>
                <w:sz w:val="20"/>
              </w:rPr>
              <w:t>Commencement Date</w:t>
            </w:r>
          </w:p>
        </w:tc>
        <w:tc>
          <w:tcPr>
            <w:tcW w:type="dxa" w:w="6480"/>
          </w:tcPr>
          <w:p>
            <w:r>
              <w:rPr>
                <w:sz w:val="20"/>
              </w:rPr>
              <w:t>2024-03-01</w:t>
            </w:r>
          </w:p>
        </w:tc>
      </w:tr>
      <w:tr>
        <w:tc>
          <w:tcPr>
            <w:tcW w:type="dxa" w:w="2880"/>
          </w:tcPr>
          <w:p>
            <w:r>
              <w:rPr>
                <w:sz w:val="20"/>
              </w:rPr>
              <w:t>Completion Date</w:t>
            </w:r>
          </w:p>
        </w:tc>
        <w:tc>
          <w:tcPr>
            <w:tcW w:type="dxa" w:w="6480"/>
          </w:tcPr>
          <w:p>
            <w:r>
              <w:rPr>
                <w:sz w:val="20"/>
              </w:rPr>
              <w:t>2026-02-28</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Structural Steel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United Kingdom,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