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Makkah Hospitality Expansion</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Makkah Hospitality Expansion</w:t>
            </w:r>
          </w:p>
        </w:tc>
      </w:tr>
      <w:tr>
        <w:tc>
          <w:tcPr>
            <w:tcW w:type="dxa" w:w="2880"/>
          </w:tcPr>
          <w:p>
            <w:r>
              <w:rPr>
                <w:sz w:val="20"/>
              </w:rPr>
              <w:t>Project Location</w:t>
            </w:r>
          </w:p>
        </w:tc>
        <w:tc>
          <w:tcPr>
            <w:tcW w:type="dxa" w:w="6480"/>
          </w:tcPr>
          <w:p>
            <w:r>
              <w:rPr>
                <w:sz w:val="20"/>
              </w:rPr>
              <w:t>Makkah, Saudi Arabia</w:t>
            </w:r>
          </w:p>
        </w:tc>
      </w:tr>
      <w:tr>
        <w:tc>
          <w:tcPr>
            <w:tcW w:type="dxa" w:w="2880"/>
          </w:tcPr>
          <w:p>
            <w:r>
              <w:rPr>
                <w:sz w:val="20"/>
              </w:rPr>
              <w:t>Subcontractor</w:t>
            </w:r>
          </w:p>
        </w:tc>
        <w:tc>
          <w:tcPr>
            <w:tcW w:type="dxa" w:w="6480"/>
          </w:tcPr>
          <w:p>
            <w:r>
              <w:rPr>
                <w:sz w:val="20"/>
              </w:rPr>
              <w:t>Al-Baraka Curtain Wall Systems Co.  /  شركة البركة لأنظمة الواجهات الزجاجية</w:t>
            </w:r>
          </w:p>
        </w:tc>
      </w:tr>
      <w:tr>
        <w:tc>
          <w:tcPr>
            <w:tcW w:type="dxa" w:w="2880"/>
          </w:tcPr>
          <w:p>
            <w:r>
              <w:rPr>
                <w:sz w:val="20"/>
              </w:rPr>
              <w:t>Trade / Scope</w:t>
            </w:r>
          </w:p>
        </w:tc>
        <w:tc>
          <w:tcPr>
            <w:tcW w:type="dxa" w:w="6480"/>
          </w:tcPr>
          <w:p>
            <w:r>
              <w:rPr>
                <w:sz w:val="20"/>
              </w:rPr>
              <w:t>Curtain Wall / Facade</w:t>
            </w:r>
          </w:p>
        </w:tc>
      </w:tr>
      <w:tr>
        <w:tc>
          <w:tcPr>
            <w:tcW w:type="dxa" w:w="2880"/>
          </w:tcPr>
          <w:p>
            <w:r>
              <w:rPr>
                <w:sz w:val="20"/>
              </w:rPr>
              <w:t>Contract Value</w:t>
            </w:r>
          </w:p>
        </w:tc>
        <w:tc>
          <w:tcPr>
            <w:tcW w:type="dxa" w:w="6480"/>
          </w:tcPr>
          <w:p>
            <w:r>
              <w:rPr>
                <w:sz w:val="20"/>
              </w:rPr>
              <w:t>41,200,000 SAR</w:t>
            </w:r>
          </w:p>
        </w:tc>
      </w:tr>
      <w:tr>
        <w:tc>
          <w:tcPr>
            <w:tcW w:type="dxa" w:w="2880"/>
          </w:tcPr>
          <w:p>
            <w:r>
              <w:rPr>
                <w:sz w:val="20"/>
              </w:rPr>
              <w:t>Commencement Date</w:t>
            </w:r>
          </w:p>
        </w:tc>
        <w:tc>
          <w:tcPr>
            <w:tcW w:type="dxa" w:w="6480"/>
          </w:tcPr>
          <w:p>
            <w:r>
              <w:rPr>
                <w:sz w:val="20"/>
              </w:rPr>
              <w:t>2024-03-01</w:t>
            </w:r>
          </w:p>
        </w:tc>
      </w:tr>
      <w:tr>
        <w:tc>
          <w:tcPr>
            <w:tcW w:type="dxa" w:w="2880"/>
          </w:tcPr>
          <w:p>
            <w:r>
              <w:rPr>
                <w:sz w:val="20"/>
              </w:rPr>
              <w:t>Completion Date</w:t>
            </w:r>
          </w:p>
        </w:tc>
        <w:tc>
          <w:tcPr>
            <w:tcW w:type="dxa" w:w="6480"/>
          </w:tcPr>
          <w:p>
            <w:r>
              <w:rPr>
                <w:sz w:val="20"/>
              </w:rPr>
              <w:t>2026-02-28</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Curtain Wall / Facade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Payment shall be made within thirty (30) days of the Contractor's certification of the Subcontractor's monthly progress invoice, subject to a retention withholding of ten percent (10%) of each certified amount. Retention shall be released fifty percent (50%) upon issuance of the Taking-Over Certificate and the remaining fifty percent (50%) upon expiry of the Defects Liability Period.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of the Kingdom of Saudi Arabia, with disputes referred to the competent Saudi courts or the Saudi Center for Commercial Arbitration (SCCA).</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