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Doha Corniche Towers</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Doha Corniche Towers</w:t>
            </w:r>
          </w:p>
        </w:tc>
      </w:tr>
      <w:tr>
        <w:tc>
          <w:tcPr>
            <w:tcW w:type="dxa" w:w="2880"/>
          </w:tcPr>
          <w:p>
            <w:r>
              <w:rPr>
                <w:sz w:val="20"/>
              </w:rPr>
              <w:t>Project Location</w:t>
            </w:r>
          </w:p>
        </w:tc>
        <w:tc>
          <w:tcPr>
            <w:tcW w:type="dxa" w:w="6480"/>
          </w:tcPr>
          <w:p>
            <w:r>
              <w:rPr>
                <w:sz w:val="20"/>
              </w:rPr>
              <w:t>Doha, Qatar</w:t>
            </w:r>
          </w:p>
        </w:tc>
      </w:tr>
      <w:tr>
        <w:tc>
          <w:tcPr>
            <w:tcW w:type="dxa" w:w="2880"/>
          </w:tcPr>
          <w:p>
            <w:r>
              <w:rPr>
                <w:sz w:val="20"/>
              </w:rPr>
              <w:t>Subcontractor</w:t>
            </w:r>
          </w:p>
        </w:tc>
        <w:tc>
          <w:tcPr>
            <w:tcW w:type="dxa" w:w="6480"/>
          </w:tcPr>
          <w:p>
            <w:r>
              <w:rPr>
                <w:sz w:val="20"/>
              </w:rPr>
              <w:t>Gulf Interiors WLL</w:t>
            </w:r>
          </w:p>
        </w:tc>
      </w:tr>
      <w:tr>
        <w:tc>
          <w:tcPr>
            <w:tcW w:type="dxa" w:w="2880"/>
          </w:tcPr>
          <w:p>
            <w:r>
              <w:rPr>
                <w:sz w:val="20"/>
              </w:rPr>
              <w:t>Trade / Scope</w:t>
            </w:r>
          </w:p>
        </w:tc>
        <w:tc>
          <w:tcPr>
            <w:tcW w:type="dxa" w:w="6480"/>
          </w:tcPr>
          <w:p>
            <w:r>
              <w:rPr>
                <w:sz w:val="20"/>
              </w:rPr>
              <w:t>Interior Fit-out</w:t>
            </w:r>
          </w:p>
        </w:tc>
      </w:tr>
      <w:tr>
        <w:tc>
          <w:tcPr>
            <w:tcW w:type="dxa" w:w="2880"/>
          </w:tcPr>
          <w:p>
            <w:r>
              <w:rPr>
                <w:sz w:val="20"/>
              </w:rPr>
              <w:t>Contract Value</w:t>
            </w:r>
          </w:p>
        </w:tc>
        <w:tc>
          <w:tcPr>
            <w:tcW w:type="dxa" w:w="6480"/>
          </w:tcPr>
          <w:p>
            <w:r>
              <w:rPr>
                <w:sz w:val="20"/>
              </w:rPr>
              <w:t>17,600,000 USD</w:t>
            </w:r>
          </w:p>
        </w:tc>
      </w:tr>
      <w:tr>
        <w:tc>
          <w:tcPr>
            <w:tcW w:type="dxa" w:w="2880"/>
          </w:tcPr>
          <w:p>
            <w:r>
              <w:rPr>
                <w:sz w:val="20"/>
              </w:rPr>
              <w:t>Commencement Date</w:t>
            </w:r>
          </w:p>
        </w:tc>
        <w:tc>
          <w:tcPr>
            <w:tcW w:type="dxa" w:w="6480"/>
          </w:tcPr>
          <w:p>
            <w:r>
              <w:rPr>
                <w:sz w:val="20"/>
              </w:rPr>
              <w:t>2024-02-01</w:t>
            </w:r>
          </w:p>
        </w:tc>
      </w:tr>
      <w:tr>
        <w:tc>
          <w:tcPr>
            <w:tcW w:type="dxa" w:w="2880"/>
          </w:tcPr>
          <w:p>
            <w:r>
              <w:rPr>
                <w:sz w:val="20"/>
              </w:rPr>
              <w:t>Completion Date</w:t>
            </w:r>
          </w:p>
        </w:tc>
        <w:tc>
          <w:tcPr>
            <w:tcW w:type="dxa" w:w="6480"/>
          </w:tcPr>
          <w:p>
            <w:r>
              <w:rPr>
                <w:sz w:val="20"/>
              </w:rPr>
              <w:t>2025-10-31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Interior Fit-out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Invoices shall be submitted monthly on the 25th of each month accompanied by a measurement sheet and supporting daywork records. The Employer's Engineer shall certify or reject the invoice within fourteen (14) calendar days. Approved amounts are payable within forty-five (45) days from certification via bank transfer, less a five percent (5%) retention capped at the value of the Performance Bond.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Qatar,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