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Riyadh Metro-Adjacent Mixed Development</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Riyadh Metro-Adjacent Mixed Development</w:t>
            </w:r>
          </w:p>
        </w:tc>
      </w:tr>
      <w:tr>
        <w:tc>
          <w:tcPr>
            <w:tcW w:type="dxa" w:w="2880"/>
          </w:tcPr>
          <w:p>
            <w:r>
              <w:rPr>
                <w:sz w:val="20"/>
              </w:rPr>
              <w:t>Project Location</w:t>
            </w:r>
          </w:p>
        </w:tc>
        <w:tc>
          <w:tcPr>
            <w:tcW w:type="dxa" w:w="6480"/>
          </w:tcPr>
          <w:p>
            <w:r>
              <w:rPr>
                <w:sz w:val="20"/>
              </w:rPr>
              <w:t>Riyadh, Saudi Arabia</w:t>
            </w:r>
          </w:p>
        </w:tc>
      </w:tr>
      <w:tr>
        <w:tc>
          <w:tcPr>
            <w:tcW w:type="dxa" w:w="2880"/>
          </w:tcPr>
          <w:p>
            <w:r>
              <w:rPr>
                <w:sz w:val="20"/>
              </w:rPr>
              <w:t>Subcontractor</w:t>
            </w:r>
          </w:p>
        </w:tc>
        <w:tc>
          <w:tcPr>
            <w:tcW w:type="dxa" w:w="6480"/>
          </w:tcPr>
          <w:p>
            <w:r>
              <w:rPr>
                <w:sz w:val="20"/>
              </w:rPr>
              <w:t>Saudi Geo-Consult Engineering Co.  /  الشركة السعودية للاستشارات الجيوتقنية</w:t>
            </w:r>
          </w:p>
        </w:tc>
      </w:tr>
      <w:tr>
        <w:tc>
          <w:tcPr>
            <w:tcW w:type="dxa" w:w="2880"/>
          </w:tcPr>
          <w:p>
            <w:r>
              <w:rPr>
                <w:sz w:val="20"/>
              </w:rPr>
              <w:t>Trade / Scope</w:t>
            </w:r>
          </w:p>
        </w:tc>
        <w:tc>
          <w:tcPr>
            <w:tcW w:type="dxa" w:w="6480"/>
          </w:tcPr>
          <w:p>
            <w:r>
              <w:rPr>
                <w:sz w:val="20"/>
              </w:rPr>
              <w:t>Geotechnical Engineering</w:t>
            </w:r>
          </w:p>
        </w:tc>
      </w:tr>
      <w:tr>
        <w:tc>
          <w:tcPr>
            <w:tcW w:type="dxa" w:w="2880"/>
          </w:tcPr>
          <w:p>
            <w:r>
              <w:rPr>
                <w:sz w:val="20"/>
              </w:rPr>
              <w:t>Contract Value</w:t>
            </w:r>
          </w:p>
        </w:tc>
        <w:tc>
          <w:tcPr>
            <w:tcW w:type="dxa" w:w="6480"/>
          </w:tcPr>
          <w:p>
            <w:r>
              <w:rPr>
                <w:sz w:val="20"/>
              </w:rPr>
              <w:t>8,600,000 SAR</w:t>
            </w:r>
          </w:p>
        </w:tc>
      </w:tr>
      <w:tr>
        <w:tc>
          <w:tcPr>
            <w:tcW w:type="dxa" w:w="2880"/>
          </w:tcPr>
          <w:p>
            <w:r>
              <w:rPr>
                <w:sz w:val="20"/>
              </w:rPr>
              <w:t>Commencement Date</w:t>
            </w:r>
          </w:p>
        </w:tc>
        <w:tc>
          <w:tcPr>
            <w:tcW w:type="dxa" w:w="6480"/>
          </w:tcPr>
          <w:p>
            <w:r>
              <w:rPr>
                <w:sz w:val="20"/>
              </w:rPr>
              <w:t>2023-11-01</w:t>
            </w:r>
          </w:p>
        </w:tc>
      </w:tr>
      <w:tr>
        <w:tc>
          <w:tcPr>
            <w:tcW w:type="dxa" w:w="2880"/>
          </w:tcPr>
          <w:p>
            <w:r>
              <w:rPr>
                <w:sz w:val="20"/>
              </w:rPr>
              <w:t>Completion Date</w:t>
            </w:r>
          </w:p>
        </w:tc>
        <w:tc>
          <w:tcPr>
            <w:tcW w:type="dxa" w:w="6480"/>
          </w:tcPr>
          <w:p>
            <w:r>
              <w:rPr>
                <w:sz w:val="20"/>
              </w:rPr>
              <w:t>2024-06-30</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Geotechnical Engineering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