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Toronto Waterfront Condominiums</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Toronto Waterfront Condominiums</w:t>
            </w:r>
          </w:p>
        </w:tc>
      </w:tr>
      <w:tr>
        <w:tc>
          <w:tcPr>
            <w:tcW w:type="dxa" w:w="2880"/>
          </w:tcPr>
          <w:p>
            <w:r>
              <w:rPr>
                <w:sz w:val="20"/>
              </w:rPr>
              <w:t>Project Location</w:t>
            </w:r>
          </w:p>
        </w:tc>
        <w:tc>
          <w:tcPr>
            <w:tcW w:type="dxa" w:w="6480"/>
          </w:tcPr>
          <w:p>
            <w:r>
              <w:rPr>
                <w:sz w:val="20"/>
              </w:rPr>
              <w:t>Toronto, Canada</w:t>
            </w:r>
          </w:p>
        </w:tc>
      </w:tr>
      <w:tr>
        <w:tc>
          <w:tcPr>
            <w:tcW w:type="dxa" w:w="2880"/>
          </w:tcPr>
          <w:p>
            <w:r>
              <w:rPr>
                <w:sz w:val="20"/>
              </w:rPr>
              <w:t>Subcontractor</w:t>
            </w:r>
          </w:p>
        </w:tc>
        <w:tc>
          <w:tcPr>
            <w:tcW w:type="dxa" w:w="6480"/>
          </w:tcPr>
          <w:p>
            <w:r>
              <w:rPr>
                <w:sz w:val="20"/>
              </w:rPr>
              <w:t>Great Lakes Concrete Ltd.</w:t>
            </w:r>
          </w:p>
        </w:tc>
      </w:tr>
      <w:tr>
        <w:tc>
          <w:tcPr>
            <w:tcW w:type="dxa" w:w="2880"/>
          </w:tcPr>
          <w:p>
            <w:r>
              <w:rPr>
                <w:sz w:val="20"/>
              </w:rPr>
              <w:t>Trade / Scope</w:t>
            </w:r>
          </w:p>
        </w:tc>
        <w:tc>
          <w:tcPr>
            <w:tcW w:type="dxa" w:w="6480"/>
          </w:tcPr>
          <w:p>
            <w:r>
              <w:rPr>
                <w:sz w:val="20"/>
              </w:rPr>
              <w:t>Concrete &amp; Structural</w:t>
            </w:r>
          </w:p>
        </w:tc>
      </w:tr>
      <w:tr>
        <w:tc>
          <w:tcPr>
            <w:tcW w:type="dxa" w:w="2880"/>
          </w:tcPr>
          <w:p>
            <w:r>
              <w:rPr>
                <w:sz w:val="20"/>
              </w:rPr>
              <w:t>Contract Value</w:t>
            </w:r>
          </w:p>
        </w:tc>
        <w:tc>
          <w:tcPr>
            <w:tcW w:type="dxa" w:w="6480"/>
          </w:tcPr>
          <w:p>
            <w:r>
              <w:rPr>
                <w:sz w:val="20"/>
              </w:rPr>
              <w:t>27,800,000 USD</w:t>
            </w:r>
          </w:p>
        </w:tc>
      </w:tr>
      <w:tr>
        <w:tc>
          <w:tcPr>
            <w:tcW w:type="dxa" w:w="2880"/>
          </w:tcPr>
          <w:p>
            <w:r>
              <w:rPr>
                <w:sz w:val="20"/>
              </w:rPr>
              <w:t>Commencement Date</w:t>
            </w:r>
          </w:p>
        </w:tc>
        <w:tc>
          <w:tcPr>
            <w:tcW w:type="dxa" w:w="6480"/>
          </w:tcPr>
          <w:p>
            <w:r>
              <w:rPr>
                <w:sz w:val="20"/>
              </w:rPr>
              <w:t>2024-03-15</w:t>
            </w:r>
          </w:p>
        </w:tc>
      </w:tr>
      <w:tr>
        <w:tc>
          <w:tcPr>
            <w:tcW w:type="dxa" w:w="2880"/>
          </w:tcPr>
          <w:p>
            <w:r>
              <w:rPr>
                <w:sz w:val="20"/>
              </w:rPr>
              <w:t>Completion Date</w:t>
            </w:r>
          </w:p>
        </w:tc>
        <w:tc>
          <w:tcPr>
            <w:tcW w:type="dxa" w:w="6480"/>
          </w:tcPr>
          <w:p>
            <w:r>
              <w:rPr>
                <w:sz w:val="20"/>
              </w:rPr>
              <w:t>2026-09-15</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Concrete &amp; Structural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A mobilization advance of ten percent (10%) of the Contract Value shall be paid against an unconditional bank guarantee, to be recovered pro-rata from each subsequent progress payment at a rate of twenty percent (20%) per invoice until fully repaid. Standard progress payments are due sixty (60) days from the end of the invoicing month.</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applicable in Canada, with disputes resolved by arbitration in accordance with the rules agreed by the parties.</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