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Riyadh Business Gate Complex</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Riyadh Business Gate Complex</w:t>
            </w:r>
          </w:p>
        </w:tc>
      </w:tr>
      <w:tr>
        <w:tc>
          <w:tcPr>
            <w:tcW w:type="dxa" w:w="2880"/>
          </w:tcPr>
          <w:p>
            <w:r>
              <w:rPr>
                <w:sz w:val="20"/>
              </w:rPr>
              <w:t>Project Location</w:t>
            </w:r>
          </w:p>
        </w:tc>
        <w:tc>
          <w:tcPr>
            <w:tcW w:type="dxa" w:w="6480"/>
          </w:tcPr>
          <w:p>
            <w:r>
              <w:rPr>
                <w:sz w:val="20"/>
              </w:rPr>
              <w:t>Riyadh, Saudi Arabia</w:t>
            </w:r>
          </w:p>
        </w:tc>
      </w:tr>
      <w:tr>
        <w:tc>
          <w:tcPr>
            <w:tcW w:type="dxa" w:w="2880"/>
          </w:tcPr>
          <w:p>
            <w:r>
              <w:rPr>
                <w:sz w:val="20"/>
              </w:rPr>
              <w:t>Subcontractor</w:t>
            </w:r>
          </w:p>
        </w:tc>
        <w:tc>
          <w:tcPr>
            <w:tcW w:type="dxa" w:w="6480"/>
          </w:tcPr>
          <w:p>
            <w:r>
              <w:rPr>
                <w:sz w:val="20"/>
              </w:rPr>
              <w:t>Capital Scaffolding &amp; Formwork Est.  /  مؤسسة العاصمة للسقالات والشدات</w:t>
            </w:r>
          </w:p>
        </w:tc>
      </w:tr>
      <w:tr>
        <w:tc>
          <w:tcPr>
            <w:tcW w:type="dxa" w:w="2880"/>
          </w:tcPr>
          <w:p>
            <w:r>
              <w:rPr>
                <w:sz w:val="20"/>
              </w:rPr>
              <w:t>Trade / Scope</w:t>
            </w:r>
          </w:p>
        </w:tc>
        <w:tc>
          <w:tcPr>
            <w:tcW w:type="dxa" w:w="6480"/>
          </w:tcPr>
          <w:p>
            <w:r>
              <w:rPr>
                <w:sz w:val="20"/>
              </w:rPr>
              <w:t>Scaffolding &amp; Formwork</w:t>
            </w:r>
          </w:p>
        </w:tc>
      </w:tr>
      <w:tr>
        <w:tc>
          <w:tcPr>
            <w:tcW w:type="dxa" w:w="2880"/>
          </w:tcPr>
          <w:p>
            <w:r>
              <w:rPr>
                <w:sz w:val="20"/>
              </w:rPr>
              <w:t>Contract Value</w:t>
            </w:r>
          </w:p>
        </w:tc>
        <w:tc>
          <w:tcPr>
            <w:tcW w:type="dxa" w:w="6480"/>
          </w:tcPr>
          <w:p>
            <w:r>
              <w:rPr>
                <w:sz w:val="20"/>
              </w:rPr>
              <w:t>11,300,000 SAR</w:t>
            </w:r>
          </w:p>
        </w:tc>
      </w:tr>
      <w:tr>
        <w:tc>
          <w:tcPr>
            <w:tcW w:type="dxa" w:w="2880"/>
          </w:tcPr>
          <w:p>
            <w:r>
              <w:rPr>
                <w:sz w:val="20"/>
              </w:rPr>
              <w:t>Commencement Date</w:t>
            </w:r>
          </w:p>
        </w:tc>
        <w:tc>
          <w:tcPr>
            <w:tcW w:type="dxa" w:w="6480"/>
          </w:tcPr>
          <w:p>
            <w:r>
              <w:rPr>
                <w:sz w:val="20"/>
              </w:rPr>
              <w:t>2024-06-01</w:t>
            </w:r>
          </w:p>
        </w:tc>
      </w:tr>
      <w:tr>
        <w:tc>
          <w:tcPr>
            <w:tcW w:type="dxa" w:w="2880"/>
          </w:tcPr>
          <w:p>
            <w:r>
              <w:rPr>
                <w:sz w:val="20"/>
              </w:rPr>
              <w:t>Completion Date</w:t>
            </w:r>
          </w:p>
        </w:tc>
        <w:tc>
          <w:tcPr>
            <w:tcW w:type="dxa" w:w="6480"/>
          </w:tcPr>
          <w:p>
            <w:r>
              <w:rPr>
                <w:sz w:val="20"/>
              </w:rPr>
              <w:t>2025-05-31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Scaffolding &amp; Formwork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