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Frankfurt Logistics Center</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Frankfurt Logistics Center</w:t>
            </w:r>
          </w:p>
        </w:tc>
      </w:tr>
      <w:tr>
        <w:tc>
          <w:tcPr>
            <w:tcW w:type="dxa" w:w="2880"/>
          </w:tcPr>
          <w:p>
            <w:r>
              <w:rPr>
                <w:sz w:val="20"/>
              </w:rPr>
              <w:t>Project Location</w:t>
            </w:r>
          </w:p>
        </w:tc>
        <w:tc>
          <w:tcPr>
            <w:tcW w:type="dxa" w:w="6480"/>
          </w:tcPr>
          <w:p>
            <w:r>
              <w:rPr>
                <w:sz w:val="20"/>
              </w:rPr>
              <w:t>Frankfurt, Germany</w:t>
            </w:r>
          </w:p>
        </w:tc>
      </w:tr>
      <w:tr>
        <w:tc>
          <w:tcPr>
            <w:tcW w:type="dxa" w:w="2880"/>
          </w:tcPr>
          <w:p>
            <w:r>
              <w:rPr>
                <w:sz w:val="20"/>
              </w:rPr>
              <w:t>Subcontractor</w:t>
            </w:r>
          </w:p>
        </w:tc>
        <w:tc>
          <w:tcPr>
            <w:tcW w:type="dxa" w:w="6480"/>
          </w:tcPr>
          <w:p>
            <w:r>
              <w:rPr>
                <w:sz w:val="20"/>
              </w:rPr>
              <w:t>Rhein-Main Bau GmbH</w:t>
            </w:r>
          </w:p>
        </w:tc>
      </w:tr>
      <w:tr>
        <w:tc>
          <w:tcPr>
            <w:tcW w:type="dxa" w:w="2880"/>
          </w:tcPr>
          <w:p>
            <w:r>
              <w:rPr>
                <w:sz w:val="20"/>
              </w:rPr>
              <w:t>Trade / Scope</w:t>
            </w:r>
          </w:p>
        </w:tc>
        <w:tc>
          <w:tcPr>
            <w:tcW w:type="dxa" w:w="6480"/>
          </w:tcPr>
          <w:p>
            <w:r>
              <w:rPr>
                <w:sz w:val="20"/>
              </w:rPr>
              <w:t>General Contracting</w:t>
            </w:r>
          </w:p>
        </w:tc>
      </w:tr>
      <w:tr>
        <w:tc>
          <w:tcPr>
            <w:tcW w:type="dxa" w:w="2880"/>
          </w:tcPr>
          <w:p>
            <w:r>
              <w:rPr>
                <w:sz w:val="20"/>
              </w:rPr>
              <w:t>Contract Value</w:t>
            </w:r>
          </w:p>
        </w:tc>
        <w:tc>
          <w:tcPr>
            <w:tcW w:type="dxa" w:w="6480"/>
          </w:tcPr>
          <w:p>
            <w:r>
              <w:rPr>
                <w:sz w:val="20"/>
              </w:rPr>
              <w:t>24,600,000 USD</w:t>
            </w:r>
          </w:p>
        </w:tc>
      </w:tr>
      <w:tr>
        <w:tc>
          <w:tcPr>
            <w:tcW w:type="dxa" w:w="2880"/>
          </w:tcPr>
          <w:p>
            <w:r>
              <w:rPr>
                <w:sz w:val="20"/>
              </w:rPr>
              <w:t>Commencement Date</w:t>
            </w:r>
          </w:p>
        </w:tc>
        <w:tc>
          <w:tcPr>
            <w:tcW w:type="dxa" w:w="6480"/>
          </w:tcPr>
          <w:p>
            <w:r>
              <w:rPr>
                <w:sz w:val="20"/>
              </w:rPr>
              <w:t>2024-05-01</w:t>
            </w:r>
          </w:p>
        </w:tc>
      </w:tr>
      <w:tr>
        <w:tc>
          <w:tcPr>
            <w:tcW w:type="dxa" w:w="2880"/>
          </w:tcPr>
          <w:p>
            <w:r>
              <w:rPr>
                <w:sz w:val="20"/>
              </w:rPr>
              <w:t>Completion Date</w:t>
            </w:r>
          </w:p>
        </w:tc>
        <w:tc>
          <w:tcPr>
            <w:tcW w:type="dxa" w:w="6480"/>
          </w:tcPr>
          <w:p>
            <w:r>
              <w:rPr>
                <w:sz w:val="20"/>
              </w:rPr>
              <w:t>2026-04-30</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General Contracting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A mobilization advance of ten percent (10%) of the Contract Value shall be paid against an unconditional bank guarantee, to be recovered pro-rata from each subsequent progress payment at a rate of twenty percent (20%) per invoice until fully repaid. Standard progress payments are due sixty (60) days from the end of the invoicing month.</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applicable in Germany, with disputes resolved by arbitration in accordance with the rules agreed by the parties.</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