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47.png" ContentType="image/png"/>
  <Override PartName="/word/media/rId40.png" ContentType="image/png"/>
  <Override PartName="/word/media/rId43.png" ContentType="image/png"/>
  <Override PartName="/word/media/rId36.png" ContentType="image/png"/>
  <Override PartName="/word/media/rId3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Написание</w:t>
      </w:r>
      <w:r>
        <w:t xml:space="preserve"> </w:t>
      </w:r>
      <w:r>
        <w:t xml:space="preserve">отчета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процесс создания отчета по лабораторной работе №2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Предоставить отчет в трех форматах: pdf, docx и md.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используется знак</w:t>
      </w:r>
      <w:r>
        <w:t xml:space="preserve"> </w:t>
      </w:r>
      <w:r>
        <w:rPr>
          <w:rStyle w:val="VerbatimChar"/>
        </w:rPr>
        <w:t xml:space="preserve">#</w:t>
      </w:r>
      <w:r>
        <w:t xml:space="preserve">, например:</w:t>
      </w:r>
    </w:p>
    <w:p>
      <w:pPr>
        <w:pStyle w:val="SourceCode"/>
      </w:pPr>
      <w:r>
        <w:rPr>
          <w:rStyle w:val="FunctionTok"/>
        </w:rPr>
        <w:t xml:space="preserve"># This is heading 1</w:t>
      </w:r>
      <w:r>
        <w:br/>
      </w:r>
      <w:r>
        <w:rPr>
          <w:rStyle w:val="FunctionTok"/>
        </w:rPr>
        <w:t xml:space="preserve">## This is heading 2</w:t>
      </w:r>
      <w:r>
        <w:br/>
      </w:r>
      <w:r>
        <w:rPr>
          <w:rStyle w:val="FunctionTok"/>
        </w:rPr>
        <w:t xml:space="preserve">### This is heading 3</w:t>
      </w:r>
      <w:r>
        <w:br/>
      </w:r>
      <w:r>
        <w:rPr>
          <w:rStyle w:val="FunctionTok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двойный звездочки:</w:t>
      </w:r>
    </w:p>
    <w:p>
      <w:pPr>
        <w:pStyle w:val="SourceCode"/>
      </w:pPr>
      <w:r>
        <w:rPr>
          <w:rStyle w:val="NormalTok"/>
        </w:rPr>
        <w:t xml:space="preserve">**bold**</w:t>
      </w:r>
    </w:p>
    <w:p>
      <w:pPr>
        <w:pStyle w:val="FirstParagraph"/>
      </w:pPr>
      <w:r>
        <w:t xml:space="preserve">Чтобы задать тексту курсивное начертание, зкалючите его в одинарные звездочки:</w:t>
      </w:r>
    </w:p>
    <w:p>
      <w:pPr>
        <w:pStyle w:val="SourceCode"/>
      </w:pPr>
      <w:r>
        <w:rPr>
          <w:rStyle w:val="NormalTok"/>
        </w:rPr>
        <w:t xml:space="preserve">*italic*</w:t>
      </w:r>
    </w:p>
    <w:p>
      <w:pPr>
        <w:pStyle w:val="FirstParagraph"/>
      </w:pPr>
      <w:r>
        <w:t xml:space="preserve">Чтобы задать для текста полужирное и курсивное начертнаие, зключите его в тройные звездочки:</w:t>
      </w:r>
    </w:p>
    <w:p>
      <w:pPr>
        <w:pStyle w:val="SourceCode"/>
      </w:pPr>
      <w:r>
        <w:rPr>
          <w:rStyle w:val="NormalTok"/>
        </w:rPr>
        <w:t xml:space="preserve">***bold and italic***</w:t>
      </w:r>
    </w:p>
    <w:p>
      <w:pPr>
        <w:pStyle w:val="FirstParagraph"/>
      </w:pPr>
      <w:r>
        <w:t xml:space="preserve">Для цитирования используется знак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AttributeTok"/>
        </w:rPr>
        <w:t xml:space="preserve">&gt; Lorem ipsum dolor sit amet, consectetur adipiscing elit, sed do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eiusmod tempor incididunt ut labore et dolore magna aliqua.</w:t>
      </w:r>
    </w:p>
    <w:p>
      <w:pPr>
        <w:pStyle w:val="FirstParagraph"/>
      </w:pPr>
      <w:r>
        <w:t xml:space="preserve">Неупорядоченный список создается с помощью звездочек и тире: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List item 1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List item 2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List item 3</w:t>
      </w:r>
    </w:p>
    <w:p>
      <w:pPr>
        <w:pStyle w:val="FirstParagraph"/>
      </w:pPr>
      <w:r>
        <w:t xml:space="preserve">Чтобы вложить один список в другой используется отступ: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List item 1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List item A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List item 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List item 2</w:t>
      </w:r>
    </w:p>
    <w:p>
      <w:pPr>
        <w:pStyle w:val="FirstParagraph"/>
      </w:pPr>
      <w:r>
        <w:t xml:space="preserve">Упорядоченный список создается с помощью цифр: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First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Second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Third</w:t>
      </w:r>
    </w:p>
    <w:p>
      <w:pPr>
        <w:pStyle w:val="FirstParagraph"/>
      </w:pPr>
      <w:r>
        <w:t xml:space="preserve">Вложенный упорядоченный список создается по аналогии с неупрядоченным, т.е. нужно просто добавить отступы.</w:t>
      </w:r>
      <w:r>
        <w:t xml:space="preserve"> </w:t>
      </w:r>
      <w:r>
        <w:t xml:space="preserve">Встроенные ссылки создаются так: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link text</w:t>
      </w:r>
      <w:r>
        <w:rPr>
          <w:rStyle w:val="CommentTok"/>
        </w:rPr>
        <w:t xml:space="preserve">](file_name_or_url)</w:t>
      </w:r>
    </w:p>
    <w:p>
      <w:pPr>
        <w:pStyle w:val="FirstParagraph"/>
      </w:pPr>
      <w:r>
        <w:t xml:space="preserve">Создать блок кода в markdown можно с помощью следующего синтаксиса:</w:t>
      </w:r>
    </w:p>
    <w:p>
      <w:pPr>
        <w:pStyle w:val="SourceCode"/>
      </w:pPr>
      <w:r>
        <w:rPr>
          <w:rStyle w:val="VerbatimChar"/>
        </w:rPr>
        <w:t xml:space="preserve">```cpp</w:t>
      </w:r>
      <w:r>
        <w:br/>
      </w:r>
      <w:r>
        <w:rPr>
          <w:rStyle w:val="VerbatimChar"/>
        </w:rPr>
        <w:t xml:space="preserve">std::cout &lt;&lt; "Hi!" &lt;&lt; std::endl;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Верхние и нижние индексы:</w:t>
      </w:r>
    </w:p>
    <w:p>
      <w:pPr>
        <w:pStyle w:val="BodyText"/>
      </w:pPr>
      <w:r>
        <w:t xml:space="preserve">H</w:t>
      </w:r>
      <w:r>
        <w:rPr>
          <w:vertAlign w:val="subscript"/>
        </w:rPr>
        <w:t xml:space="preserve">2</w:t>
      </w:r>
      <w:r>
        <w:t xml:space="preserve">0 записывается как:</w:t>
      </w:r>
      <w:r>
        <w:t xml:space="preserve"> </w:t>
      </w:r>
      <w:r>
        <w:rPr>
          <w:rStyle w:val="NormalTok"/>
        </w:rPr>
        <w:t xml:space="preserve">H~2~0</w:t>
      </w:r>
    </w:p>
    <w:p>
      <w:pPr>
        <w:pStyle w:val="BodyText"/>
      </w:pP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записывается как:</w:t>
      </w:r>
      <w:r>
        <w:t xml:space="preserve"> </w:t>
      </w:r>
      <w:r>
        <w:rPr>
          <w:rStyle w:val="NormalTok"/>
        </w:rPr>
        <w:t xml:space="preserve">2^10^</w:t>
      </w:r>
    </w:p>
    <w:p>
      <w:pPr>
        <w:pStyle w:val="BodyText"/>
      </w:pPr>
      <w:r>
        <w:t xml:space="preserve">Внутритекстовые формулы записываются аналогично формулам LaTeX. Например,</w:t>
      </w:r>
      <w:r>
        <w:t xml:space="preserve"> </w:t>
      </w:r>
      <w:r>
        <w:t xml:space="preserve">формула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будет записана так:</w:t>
      </w:r>
    </w:p>
    <w:p>
      <w:pPr>
        <w:pStyle w:val="SourceCode"/>
      </w:pPr>
      <w:r>
        <w:rPr>
          <w:rStyle w:val="SpecialStringTok"/>
        </w:rPr>
        <w:t xml:space="preserve">$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^2(x) +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^2(x) = 1$</w:t>
      </w:r>
    </w:p>
    <w:p>
      <w:pPr>
        <w:pStyle w:val="FirstParagraph"/>
      </w:pPr>
      <w:r>
        <w:t xml:space="preserve">Подробнее можно познакомиться с синтаксисом Markdown например в</w:t>
      </w:r>
      <w:r>
        <w:t xml:space="preserve"> </w:t>
      </w:r>
      <w:r>
        <w:t xml:space="preserve">[1,2]</w:t>
      </w:r>
    </w:p>
    <w:bookmarkEnd w:id="22"/>
    <w:bookmarkStart w:id="23" w:name="обработка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Markdown</w:t>
      </w:r>
    </w:p>
    <w:p>
      <w:pPr>
        <w:pStyle w:val="FirstParagraph"/>
      </w:pPr>
      <w:r>
        <w:t xml:space="preserve">Для обработки Markdown мы используем</w:t>
      </w:r>
      <w:r>
        <w:t xml:space="preserve"> </w:t>
      </w:r>
      <w:r>
        <w:rPr>
          <w:rStyle w:val="ExtensionTok"/>
        </w:rPr>
        <w:t xml:space="preserve">pandoc</w:t>
      </w:r>
      <w:r>
        <w:t xml:space="preserve">,</w:t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texlive</w:t>
      </w:r>
      <w:r>
        <w:t xml:space="preserve">. Все эти пакеты были установлены в</w:t>
      </w:r>
      <w:r>
        <w:t xml:space="preserve"> </w:t>
      </w:r>
      <w:r>
        <w:t xml:space="preserve">лаборатороной работе №1. Чтобы преобразовать Markdown файл например в pdf</w:t>
      </w:r>
      <w:r>
        <w:t xml:space="preserve"> </w:t>
      </w:r>
      <w:r>
        <w:t xml:space="preserve">можно использовать такую команду: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.pdf</w:t>
      </w:r>
    </w:p>
    <w:bookmarkEnd w:id="23"/>
    <w:bookmarkEnd w:id="24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установка-vs-cod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vs code</w:t>
      </w:r>
    </w:p>
    <w:p>
      <w:pPr>
        <w:pStyle w:val="FirstParagraph"/>
      </w:pPr>
      <w:r>
        <w:t xml:space="preserve">Для редактирования текстовых файлов я использую vs code, так как ее нет в</w:t>
      </w:r>
      <w:r>
        <w:t xml:space="preserve"> </w:t>
      </w:r>
      <w:r>
        <w:t xml:space="preserve">стандартных репозиториях, установка немного отличается от привычной. Подбробнее можно</w:t>
      </w:r>
      <w:r>
        <w:t xml:space="preserve"> </w:t>
      </w:r>
      <w:r>
        <w:t xml:space="preserve">ознакомится с этим процессом в</w:t>
      </w:r>
      <w:r>
        <w:t xml:space="preserve"> </w:t>
      </w:r>
      <w:r>
        <w:t xml:space="preserve">[3]</w:t>
      </w:r>
      <w:r>
        <w:t xml:space="preserve">.</w:t>
      </w:r>
    </w:p>
    <w:bookmarkEnd w:id="25"/>
    <w:bookmarkStart w:id="32" w:name="изменение-преамбул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Изменение преамбулы</w:t>
      </w:r>
    </w:p>
    <w:p>
      <w:pPr>
        <w:pStyle w:val="CaptionedFigure"/>
      </w:pPr>
      <w:r>
        <w:drawing>
          <wp:inline>
            <wp:extent cx="5334000" cy="3359666"/>
            <wp:effectExtent b="0" l="0" r="0" t="0"/>
            <wp:docPr descr="Запуск vs code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vs code</w:t>
      </w:r>
    </w:p>
    <w:p>
      <w:pPr>
        <w:pStyle w:val="BodyText"/>
      </w:pPr>
      <w:r>
        <w:t xml:space="preserve">Перейдем в рабочую папку, и запустим vs code (рис. 1).</w:t>
      </w:r>
    </w:p>
    <w:p>
      <w:pPr>
        <w:pStyle w:val="BodyText"/>
      </w:pPr>
      <w:r>
        <w:t xml:space="preserve">Изменим значеня</w:t>
      </w:r>
      <w:r>
        <w:t xml:space="preserve"> </w:t>
      </w:r>
      <w:r>
        <w:rPr>
          <w:iCs/>
          <w:i/>
          <w:bCs/>
          <w:b/>
        </w:rPr>
        <w:t xml:space="preserve">title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subtitle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author</w:t>
      </w:r>
      <w:r>
        <w:t xml:space="preserve"> </w:t>
      </w:r>
      <w:r>
        <w:t xml:space="preserve">под себя. Также отлючим</w:t>
      </w:r>
      <w:r>
        <w:t xml:space="preserve"> </w:t>
      </w:r>
      <w:r>
        <w:t xml:space="preserve">генерацию списка таблиц так как они не использовались (рис. 2).</w:t>
      </w:r>
    </w:p>
    <w:p>
      <w:pPr>
        <w:pStyle w:val="CaptionedFigure"/>
      </w:pPr>
      <w:r>
        <w:drawing>
          <wp:inline>
            <wp:extent cx="5334000" cy="3345274"/>
            <wp:effectExtent b="0" l="0" r="0" t="0"/>
            <wp:docPr descr="Изменение преамбулы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преамбулы</w:t>
      </w:r>
    </w:p>
    <w:bookmarkEnd w:id="32"/>
    <w:bookmarkStart w:id="39" w:name="добавление-и-использование-картинок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Добавление и использование картинок</w:t>
      </w:r>
    </w:p>
    <w:p>
      <w:pPr>
        <w:pStyle w:val="CaptionedFigure"/>
      </w:pPr>
      <w:r>
        <w:drawing>
          <wp:inline>
            <wp:extent cx="3949700" cy="6108700"/>
            <wp:effectExtent b="0" l="0" r="0" t="0"/>
            <wp:docPr descr="Добавление картинок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картинок</w:t>
      </w:r>
    </w:p>
    <w:p>
      <w:pPr>
        <w:pStyle w:val="BodyText"/>
      </w:pPr>
      <w:r>
        <w:t xml:space="preserve">Добавим картинки в папку</w:t>
      </w:r>
      <w:r>
        <w:t xml:space="preserve"> </w:t>
      </w:r>
      <w:r>
        <w:rPr>
          <w:rStyle w:val="ExtensionTok"/>
        </w:rPr>
        <w:t xml:space="preserve">image/</w:t>
      </w:r>
      <w:r>
        <w:t xml:space="preserve">, чтобы соответствовать шаблону (рис. 3).</w:t>
      </w:r>
      <w:r>
        <w:t xml:space="preserve"> </w:t>
      </w:r>
      <w:r>
        <w:t xml:space="preserve">Вставку картинок и использование перекрестных ссылок можно увидеть на рис. 4.</w:t>
      </w:r>
    </w:p>
    <w:p>
      <w:pPr>
        <w:pStyle w:val="CaptionedFigure"/>
      </w:pPr>
      <w:r>
        <w:drawing>
          <wp:inline>
            <wp:extent cx="5334000" cy="929045"/>
            <wp:effectExtent b="0" l="0" r="0" t="0"/>
            <wp:docPr descr="Использование картинок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картинок</w:t>
      </w:r>
    </w:p>
    <w:bookmarkEnd w:id="39"/>
    <w:bookmarkStart w:id="46" w:name="добавление-и-использование-источников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Добавление и использование источников</w:t>
      </w:r>
    </w:p>
    <w:p>
      <w:pPr>
        <w:pStyle w:val="FirstParagraph"/>
      </w:pPr>
      <w:r>
        <w:t xml:space="preserve">Откроем файл</w:t>
      </w:r>
      <w:r>
        <w:t xml:space="preserve"> </w:t>
      </w:r>
      <w:r>
        <w:rPr>
          <w:rStyle w:val="ExtensionTok"/>
        </w:rPr>
        <w:t xml:space="preserve">cite.bib</w:t>
      </w:r>
      <w:r>
        <w:t xml:space="preserve"> </w:t>
      </w:r>
      <w:r>
        <w:t xml:space="preserve">в папке</w:t>
      </w:r>
      <w:r>
        <w:t xml:space="preserve"> </w:t>
      </w:r>
      <w:r>
        <w:rPr>
          <w:rStyle w:val="ExtensionTok"/>
        </w:rPr>
        <w:t xml:space="preserve">bib/</w:t>
      </w:r>
      <w:r>
        <w:t xml:space="preserve">, и добавим свои источники (рис. 5).</w:t>
      </w:r>
      <w:r>
        <w:t xml:space="preserve"> </w:t>
      </w:r>
      <w:r>
        <w:t xml:space="preserve">Пример их использования можно увидеть на рис. 6.</w:t>
      </w:r>
    </w:p>
    <w:p>
      <w:pPr>
        <w:pStyle w:val="CaptionedFigure"/>
      </w:pPr>
      <w:r>
        <w:drawing>
          <wp:inline>
            <wp:extent cx="5334000" cy="1865302"/>
            <wp:effectExtent b="0" l="0" r="0" t="0"/>
            <wp:docPr descr="Добавление источников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источников</w:t>
      </w:r>
    </w:p>
    <w:p>
      <w:pPr>
        <w:pStyle w:val="CaptionedFigure"/>
      </w:pPr>
      <w:r>
        <w:drawing>
          <wp:inline>
            <wp:extent cx="5334000" cy="585536"/>
            <wp:effectExtent b="0" l="0" r="0" t="0"/>
            <wp:docPr descr="Использование источников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источников</w:t>
      </w:r>
    </w:p>
    <w:bookmarkEnd w:id="46"/>
    <w:bookmarkStart w:id="53" w:name="X6607ad40967882a0983593e9ee2a6405d88dc2f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Обработка Markdown и отправка в удаленный репозиторий.</w:t>
      </w:r>
    </w:p>
    <w:p>
      <w:pPr>
        <w:pStyle w:val="FirstParagraph"/>
      </w:pPr>
      <w:r>
        <w:t xml:space="preserve">В шаблоне лаборатороных работ имеется написаный за нас Makefile. Запустим его написав в терминале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 нажав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(рис. 7). После в папке отчета лаборатороной работы появятся</w:t>
      </w:r>
      <w:r>
        <w:t xml:space="preserve"> </w:t>
      </w:r>
      <w:r>
        <w:t xml:space="preserve">файлы .pdf и .docx (рис. 8). Добавим все файлы в индекс, сделаем коммит</w:t>
      </w:r>
      <w:r>
        <w:t xml:space="preserve"> </w:t>
      </w:r>
      <w:r>
        <w:t xml:space="preserve">и отправим изменения в удаленный репозиторий (рис. 7).</w:t>
      </w:r>
    </w:p>
    <w:p>
      <w:pPr>
        <w:pStyle w:val="CaptionedFigure"/>
      </w:pPr>
      <w:r>
        <w:drawing>
          <wp:inline>
            <wp:extent cx="5334000" cy="3214359"/>
            <wp:effectExtent b="0" l="0" r="0" t="0"/>
            <wp:docPr descr="Обработка и отправка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 и отправка</w:t>
      </w:r>
    </w:p>
    <w:p>
      <w:pPr>
        <w:pStyle w:val="CaptionedFigure"/>
      </w:pPr>
      <w:r>
        <w:drawing>
          <wp:inline>
            <wp:extent cx="3937000" cy="2565400"/>
            <wp:effectExtent b="0" l="0" r="0" t="0"/>
            <wp:docPr descr="Файлы .docx и .pdf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.docx и .pdf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Markdown. Разобрались с различными его аспектами,</w:t>
      </w:r>
      <w:r>
        <w:t xml:space="preserve"> </w:t>
      </w:r>
      <w:r>
        <w:t xml:space="preserve">такими как вставка картинок, заполнение библиографии и генерация других форматов из Markdown файла.</w:t>
      </w:r>
    </w:p>
    <w:bookmarkEnd w:id="55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6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56"/>
    <w:bookmarkStart w:id="58" w:name="ref-cheat_shee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Markdown Cheat Sheet [Электронный ресурс]. 2024. URL:</w:t>
      </w:r>
      <w:r>
        <w:t xml:space="preserve"> </w:t>
      </w:r>
      <w:hyperlink r:id="rId57">
        <w:r>
          <w:rPr>
            <w:rStyle w:val="Hyperlink"/>
          </w:rPr>
          <w:t xml:space="preserve">https://www.markdownguide.org/cheat-sheet/</w:t>
        </w:r>
      </w:hyperlink>
      <w:r>
        <w:t xml:space="preserve">.</w:t>
      </w:r>
    </w:p>
    <w:bookmarkEnd w:id="58"/>
    <w:bookmarkStart w:id="60" w:name="ref-install_vsc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Visual Studio Code on Linux [Электронный ресурс]. 2024. URL:</w:t>
      </w:r>
      <w:r>
        <w:t xml:space="preserve"> </w:t>
      </w:r>
      <w:hyperlink r:id="rId59">
        <w:r>
          <w:rPr>
            <w:rStyle w:val="Hyperlink"/>
          </w:rPr>
          <w:t xml:space="preserve">https://code.visualstudio.com/docs/setup/linux#_rhel-fedora-and-centos-based-distributions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hyperlink" Id="rId59" Target="https://code.visualstudio.com/docs/setup/linux#_rhel-fedora-and-centos-based-distributions" TargetMode="External" /><Relationship Type="http://schemas.openxmlformats.org/officeDocument/2006/relationships/hyperlink" Id="rId57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code.visualstudio.com/docs/setup/linux#_rhel-fedora-and-centos-based-distributions" TargetMode="External" /><Relationship Type="http://schemas.openxmlformats.org/officeDocument/2006/relationships/hyperlink" Id="rId57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Тагиев Павел Фаикович</dc:creator>
  <dc:language>ru-RU</dc:language>
  <cp:keywords/>
  <dcterms:created xsi:type="dcterms:W3CDTF">2024-03-24T19:15:01Z</dcterms:created>
  <dcterms:modified xsi:type="dcterms:W3CDTF">2024-03-24T19:15:01Z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Написание отчета в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