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400"/>
        <w:jc w:val="center"/>
      </w:pPr>
      <w:r>
        <w:rPr>
          <w:rFonts w:ascii="Segoe UI" w:hAnsi="Segoe UI"/>
          <w:b/>
          <w:color w:val="0F172A"/>
          <w:sz w:val="48"/>
        </w:rPr>
        <w:t>Antigravity Developer Demo Class</w:t>
        <w:br/>
      </w:r>
      <w:r>
        <w:rPr>
          <w:rFonts w:ascii="Segoe UI" w:hAnsi="Segoe UI"/>
          <w:color w:val="64748B"/>
          <w:sz w:val="28"/>
        </w:rPr>
        <w:t>Building Smart Prototypes from Scratch using AI-Agent Workflows</w:t>
      </w:r>
    </w:p>
    <w:p>
      <w:r>
        <w:br w:type="page"/>
      </w:r>
    </w:p>
    <w:p>
      <w:pPr>
        <w:pStyle w:val="Heading1"/>
        <w:keepNext/>
        <w:spacing w:before="240" w:after="120"/>
      </w:pPr>
      <w:r>
        <w:rPr>
          <w:rFonts w:ascii="Segoe UI" w:hAnsi="Segoe UI"/>
          <w:b/>
          <w:color w:val="10B981"/>
          <w:sz w:val="36"/>
        </w:rPr>
        <w:t>1. Workshop Introduction: What is Agentic Coding?</w:t>
      </w:r>
    </w:p>
    <w:p>
      <w:pPr>
        <w:spacing w:after="160" w:line="276" w:lineRule="auto"/>
      </w:pPr>
      <w:r>
        <w:rPr>
          <w:rFonts w:ascii="Segoe UI" w:hAnsi="Segoe UI"/>
          <w:color w:val="334155"/>
          <w:sz w:val="22"/>
        </w:rPr>
        <w:t>Welcome to the Antigravity Developer Demo Class. This guide outlines how to build a complete, highly complex mobile application from a clean slate without writing code manually. Agentic Coding is a paradigm shift where the human behaves as a Systems Architect, designing heuristics and requirements; Large Language Models (like GPT/Claude) act as Planners generating technical blueprints; and the Antigravity AI Agent acts as the Engineer executing code directories directly on the filesystem.</w:t>
      </w:r>
    </w:p>
    <w:p>
      <w:pPr>
        <w:pStyle w:val="Heading2"/>
        <w:keepNext/>
        <w:spacing w:before="240" w:after="120"/>
      </w:pPr>
      <w:r>
        <w:rPr>
          <w:rFonts w:ascii="Segoe UI" w:hAnsi="Segoe UI"/>
          <w:b/>
          <w:color w:val="3B82F6"/>
          <w:sz w:val="28"/>
        </w:rPr>
        <w:t>Step 1: Install &amp; Set Up the Antigravity IDE</w:t>
      </w:r>
    </w:p>
    <w:p>
      <w:pPr>
        <w:spacing w:after="160" w:line="276" w:lineRule="auto"/>
      </w:pPr>
      <w:r>
        <w:rPr>
          <w:rFonts w:ascii="Segoe UI" w:hAnsi="Segoe UI"/>
          <w:color w:val="334155"/>
          <w:sz w:val="22"/>
        </w:rPr>
        <w:t>Download the Antigravity IDE setup bundle. Set up an empty directory on your desktop or drive. Open the workspace in the IDE. The agent automatically scans your local system directories to discover active SDK paths (Flutter, Python, Android) to sync compilers.</w:t>
      </w:r>
    </w:p>
    <w:p>
      <w:pPr>
        <w:pStyle w:val="Heading2"/>
        <w:keepNext/>
        <w:spacing w:before="240" w:after="120"/>
      </w:pPr>
      <w:r>
        <w:rPr>
          <w:rFonts w:ascii="Segoe UI" w:hAnsi="Segoe UI"/>
          <w:b/>
          <w:color w:val="3B82F6"/>
          <w:sz w:val="28"/>
        </w:rPr>
        <w:t>Step 2: Generate the Technical Blueprint with GPT/Claude</w:t>
      </w:r>
    </w:p>
    <w:p>
      <w:pPr>
        <w:spacing w:after="160" w:line="276" w:lineRule="auto"/>
      </w:pPr>
      <w:r>
        <w:rPr>
          <w:rFonts w:ascii="Segoe UI" w:hAnsi="Segoe UI"/>
          <w:color w:val="334155"/>
          <w:sz w:val="22"/>
        </w:rPr>
        <w:t>Students craft a prompt explaining system needs (YOLO models, OpenCV, MethodChannels) to get a full plan:</w:t>
      </w:r>
    </w:p>
    <w:tbl>
      <w:tblPr>
        <w:tblW w:type="auto" w:w="0"/>
        <w:jc w:val="center"/>
        <w:tblLayout w:type="autofit"/>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3B82F6"/>
              <w:top w:val="none"/>
              <w:bottom w:val="none"/>
              <w:right w:val="none"/>
            </w:tcBorders>
          </w:tcPr>
          <w:p>
            <w:pPr>
              <w:spacing w:after="0" w:line="276" w:lineRule="auto"/>
            </w:pPr>
            <w:r>
              <w:rPr>
                <w:rFonts w:ascii="Segoe UI" w:hAnsi="Segoe UI"/>
                <w:i/>
                <w:color w:val="0F172A"/>
                <w:sz w:val="21"/>
              </w:rPr>
              <w:t>Sample Blueprint Prompt:</w:t>
              <w:br/>
              <w:br/>
              <w:t>'Act as an Expert AI &amp; Mobile Architect. I want to build a Flutter application called Guard Cross AI that uses a phone camera and a local YOLOv8 TFLite model... Write a detailed implementation guide...'</w:t>
            </w:r>
          </w:p>
        </w:tc>
      </w:tr>
    </w:tbl>
    <w:p>
      <w:pPr>
        <w:spacing w:after="160"/>
      </w:pPr>
    </w:p>
    <w:p>
      <w:pPr>
        <w:pStyle w:val="Heading2"/>
        <w:keepNext/>
        <w:spacing w:before="240" w:after="120"/>
      </w:pPr>
      <w:r>
        <w:rPr>
          <w:rFonts w:ascii="Segoe UI" w:hAnsi="Segoe UI"/>
          <w:b/>
          <w:color w:val="3B82F6"/>
          <w:sz w:val="28"/>
        </w:rPr>
        <w:t>Step 3: Paste the Blueprint and Activate the Agent</w:t>
      </w:r>
    </w:p>
    <w:p>
      <w:pPr>
        <w:spacing w:after="160" w:line="276" w:lineRule="auto"/>
      </w:pPr>
      <w:r>
        <w:rPr>
          <w:rFonts w:ascii="Segoe UI" w:hAnsi="Segoe UI"/>
          <w:color w:val="334155"/>
          <w:sz w:val="22"/>
        </w:rPr>
        <w:t>Paste the blueprint into the Antigravity chat console. The agent parses requirements and starts a series of terminal steps: initializing Flutter, updating pubspec.yaml with dependencies, and running 'flutter pub get' to fetch packages in the background.</w:t>
      </w:r>
    </w:p>
    <w:p>
      <w:pPr>
        <w:pStyle w:val="Heading2"/>
        <w:keepNext/>
        <w:spacing w:before="240" w:after="120"/>
      </w:pPr>
      <w:r>
        <w:rPr>
          <w:rFonts w:ascii="Segoe UI" w:hAnsi="Segoe UI"/>
          <w:b/>
          <w:color w:val="3B82F6"/>
          <w:sz w:val="28"/>
        </w:rPr>
        <w:t>Step 4: Proactive Asset &amp; UI Synthesis</w:t>
      </w:r>
    </w:p>
    <w:p>
      <w:pPr>
        <w:spacing w:after="160" w:line="276" w:lineRule="auto"/>
      </w:pPr>
      <w:r>
        <w:rPr>
          <w:rFonts w:ascii="Segoe UI" w:hAnsi="Segoe UI"/>
          <w:color w:val="334155"/>
          <w:sz w:val="22"/>
        </w:rPr>
        <w:t>The agent automatically identifies missing graphic assets, calling its built-in generators to make app_logo.png and background_overlay.png. It then compiles frosted home dashboards and HUD radar screens featuring customized animated sweeping radar scan lines.</w:t>
      </w:r>
    </w:p>
    <w:p>
      <w:pPr>
        <w:pStyle w:val="Heading2"/>
        <w:keepNext/>
        <w:spacing w:before="240" w:after="120"/>
      </w:pPr>
      <w:r>
        <w:rPr>
          <w:rFonts w:ascii="Segoe UI" w:hAnsi="Segoe UI"/>
          <w:b/>
          <w:color w:val="3B82F6"/>
          <w:sz w:val="28"/>
        </w:rPr>
        <w:t>Step 5: Dual-Mode and Native Integration</w:t>
      </w:r>
    </w:p>
    <w:p>
      <w:pPr>
        <w:spacing w:after="160" w:line="276" w:lineRule="auto"/>
      </w:pPr>
      <w:r>
        <w:rPr>
          <w:rFonts w:ascii="Segoe UI" w:hAnsi="Segoe UI"/>
          <w:color w:val="334155"/>
          <w:sz w:val="22"/>
        </w:rPr>
        <w:t>To allow running on Chrome (Web) or Emulators lacking hardware sensors, the agent structures a Simulation Sandbox console playing urban traffic scenarios. It configures Android permissions, build.gradle files, and Kotlin modules (preprocess, tracking, inference) automatically.</w:t>
      </w:r>
    </w:p>
    <w:p>
      <w:pPr>
        <w:pStyle w:val="Heading2"/>
        <w:keepNext/>
        <w:spacing w:before="240" w:after="120"/>
      </w:pPr>
      <w:r>
        <w:rPr>
          <w:rFonts w:ascii="Segoe UI" w:hAnsi="Segoe UI"/>
          <w:b/>
          <w:color w:val="3B82F6"/>
          <w:sz w:val="28"/>
        </w:rPr>
        <w:t>Step 6: Automated Verification &amp; Compile</w:t>
      </w:r>
    </w:p>
    <w:p>
      <w:pPr>
        <w:spacing w:after="160" w:line="276" w:lineRule="auto"/>
      </w:pPr>
      <w:r>
        <w:rPr>
          <w:rFonts w:ascii="Segoe UI" w:hAnsi="Segoe UI"/>
          <w:color w:val="334155"/>
          <w:sz w:val="22"/>
        </w:rPr>
        <w:t>The agent runs static analysis to remove warnings, injects custom SafetyEngine unit tests into widget_test.dart, executes tests, and initiates compile servers ('flutter run -d chrome') to open the working application.</w:t>
      </w:r>
    </w:p>
    <w:p>
      <w:pPr>
        <w:pStyle w:val="Heading1"/>
        <w:keepNext/>
        <w:spacing w:before="240" w:after="120"/>
      </w:pPr>
      <w:r>
        <w:rPr>
          <w:rFonts w:ascii="Segoe UI" w:hAnsi="Segoe UI"/>
          <w:b/>
          <w:color w:val="10B981"/>
          <w:sz w:val="36"/>
        </w:rPr>
        <w:t>2. Educational Power of Agentic Workflows</w:t>
      </w:r>
    </w:p>
    <w:p>
      <w:pPr>
        <w:spacing w:after="160" w:line="276" w:lineRule="auto"/>
      </w:pPr>
      <w:r>
        <w:rPr>
          <w:rFonts w:ascii="Segoe UI" w:hAnsi="Segoe UI"/>
          <w:color w:val="334155"/>
          <w:sz w:val="22"/>
        </w:rPr>
        <w:t>Traditional development processes are compared to the agentic workflow in this validation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0B981"/>
            <w:tcMar>
              <w:top w:w="120" w:type="dxa"/>
              <w:bottom w:w="120" w:type="dxa"/>
              <w:left w:w="150" w:type="dxa"/>
              <w:right w:w="150" w:type="dxa"/>
            </w:tcMar>
          </w:tcPr>
          <w:p>
            <w:r>
              <w:rPr>
                <w:rFonts w:ascii="Segoe UI" w:hAnsi="Segoe UI"/>
                <w:b/>
                <w:color w:val="FFFFFF"/>
                <w:sz w:val="22"/>
              </w:rPr>
              <w:t>Evaluation Metric</w:t>
            </w:r>
          </w:p>
        </w:tc>
        <w:tc>
          <w:tcPr>
            <w:tcW w:type="dxa" w:w="3600"/>
            <w:shd w:fill="10B981"/>
            <w:tcMar>
              <w:top w:w="120" w:type="dxa"/>
              <w:bottom w:w="120" w:type="dxa"/>
              <w:left w:w="150" w:type="dxa"/>
              <w:right w:w="150" w:type="dxa"/>
            </w:tcMar>
          </w:tcPr>
          <w:p>
            <w:r>
              <w:rPr>
                <w:rFonts w:ascii="Segoe UI" w:hAnsi="Segoe UI"/>
                <w:b/>
                <w:color w:val="FFFFFF"/>
                <w:sz w:val="22"/>
              </w:rPr>
              <w:t>Traditional Student Method</w:t>
            </w:r>
          </w:p>
        </w:tc>
        <w:tc>
          <w:tcPr>
            <w:tcW w:type="dxa" w:w="3888"/>
            <w:shd w:fill="10B981"/>
            <w:tcMar>
              <w:top w:w="120" w:type="dxa"/>
              <w:bottom w:w="120" w:type="dxa"/>
              <w:left w:w="150" w:type="dxa"/>
              <w:right w:w="150" w:type="dxa"/>
            </w:tcMar>
          </w:tcPr>
          <w:p>
            <w:r>
              <w:rPr>
                <w:rFonts w:ascii="Segoe UI" w:hAnsi="Segoe UI"/>
                <w:b/>
                <w:color w:val="FFFFFF"/>
                <w:sz w:val="22"/>
              </w:rPr>
              <w:t>Antigravity Agent Workflow</w:t>
            </w:r>
          </w:p>
        </w:tc>
      </w:tr>
      <w:tr>
        <w:tc>
          <w:tcPr>
            <w:tcW w:type="dxa" w:w="2592"/>
            <w:shd w:fill="FFFFFF"/>
            <w:tcMar>
              <w:top w:w="100" w:type="dxa"/>
              <w:bottom w:w="100" w:type="dxa"/>
              <w:left w:w="150" w:type="dxa"/>
              <w:right w:w="150" w:type="dxa"/>
            </w:tcMar>
          </w:tcPr>
          <w:p>
            <w:pPr>
              <w:spacing w:after="40"/>
            </w:pPr>
            <w:r>
              <w:rPr>
                <w:rFonts w:ascii="Segoe UI" w:hAnsi="Segoe UI"/>
                <w:color w:val="334155"/>
                <w:sz w:val="20"/>
              </w:rPr>
              <w:t>Package Mismatch</w:t>
            </w:r>
          </w:p>
        </w:tc>
        <w:tc>
          <w:tcPr>
            <w:tcW w:type="dxa" w:w="3600"/>
            <w:shd w:fill="FFFFFF"/>
            <w:tcMar>
              <w:top w:w="100" w:type="dxa"/>
              <w:bottom w:w="100" w:type="dxa"/>
              <w:left w:w="150" w:type="dxa"/>
              <w:right w:w="150" w:type="dxa"/>
            </w:tcMar>
          </w:tcPr>
          <w:p>
            <w:pPr>
              <w:spacing w:after="40"/>
            </w:pPr>
            <w:r>
              <w:rPr>
                <w:rFonts w:ascii="Segoe UI" w:hAnsi="Segoe UI"/>
                <w:color w:val="334155"/>
                <w:sz w:val="20"/>
              </w:rPr>
              <w:t>Weeks spent resolving Kotlin/Gradle dependency compilation errors.</w:t>
            </w:r>
          </w:p>
        </w:tc>
        <w:tc>
          <w:tcPr>
            <w:tcW w:type="dxa" w:w="3888"/>
            <w:shd w:fill="FFFFFF"/>
            <w:tcMar>
              <w:top w:w="100" w:type="dxa"/>
              <w:bottom w:w="100" w:type="dxa"/>
              <w:left w:w="150" w:type="dxa"/>
              <w:right w:w="150" w:type="dxa"/>
            </w:tcMar>
          </w:tcPr>
          <w:p>
            <w:pPr>
              <w:spacing w:after="40"/>
            </w:pPr>
            <w:r>
              <w:rPr>
                <w:rFonts w:ascii="Segoe UI" w:hAnsi="Segoe UI"/>
                <w:color w:val="334155"/>
                <w:sz w:val="20"/>
              </w:rPr>
              <w:t>Instant resolution as the agent updates configs dynamically.</w:t>
            </w:r>
          </w:p>
        </w:tc>
      </w:tr>
      <w:tr>
        <w:tc>
          <w:tcPr>
            <w:tcW w:type="dxa" w:w="2592"/>
            <w:shd w:fill="F8FAFC"/>
            <w:tcMar>
              <w:top w:w="100" w:type="dxa"/>
              <w:bottom w:w="100" w:type="dxa"/>
              <w:left w:w="150" w:type="dxa"/>
              <w:right w:w="150" w:type="dxa"/>
            </w:tcMar>
          </w:tcPr>
          <w:p>
            <w:pPr>
              <w:spacing w:after="40"/>
            </w:pPr>
            <w:r>
              <w:rPr>
                <w:rFonts w:ascii="Segoe UI" w:hAnsi="Segoe UI"/>
                <w:color w:val="334155"/>
                <w:sz w:val="20"/>
              </w:rPr>
              <w:t>Prototype Scope</w:t>
            </w:r>
          </w:p>
        </w:tc>
        <w:tc>
          <w:tcPr>
            <w:tcW w:type="dxa" w:w="3600"/>
            <w:shd w:fill="F8FAFC"/>
            <w:tcMar>
              <w:top w:w="100" w:type="dxa"/>
              <w:bottom w:w="100" w:type="dxa"/>
              <w:left w:w="150" w:type="dxa"/>
              <w:right w:w="150" w:type="dxa"/>
            </w:tcMar>
          </w:tcPr>
          <w:p>
            <w:pPr>
              <w:spacing w:after="40"/>
            </w:pPr>
            <w:r>
              <w:rPr>
                <w:rFonts w:ascii="Segoe UI" w:hAnsi="Segoe UI"/>
                <w:color w:val="334155"/>
                <w:sz w:val="20"/>
              </w:rPr>
              <w:t>Simple static mockup screens with no real algorithmic logic.</w:t>
            </w:r>
          </w:p>
        </w:tc>
        <w:tc>
          <w:tcPr>
            <w:tcW w:type="dxa" w:w="3888"/>
            <w:shd w:fill="F8FAFC"/>
            <w:tcMar>
              <w:top w:w="100" w:type="dxa"/>
              <w:bottom w:w="100" w:type="dxa"/>
              <w:left w:w="150" w:type="dxa"/>
              <w:right w:w="150" w:type="dxa"/>
            </w:tcMar>
          </w:tcPr>
          <w:p>
            <w:pPr>
              <w:spacing w:after="40"/>
            </w:pPr>
            <w:r>
              <w:rPr>
                <w:rFonts w:ascii="Segoe UI" w:hAnsi="Segoe UI"/>
                <w:color w:val="334155"/>
                <w:sz w:val="20"/>
              </w:rPr>
              <w:t>Full system architecture incorporating real IoU trackers &amp; filters.</w:t>
            </w:r>
          </w:p>
        </w:tc>
      </w:tr>
      <w:tr>
        <w:tc>
          <w:tcPr>
            <w:tcW w:type="dxa" w:w="2592"/>
            <w:shd w:fill="FFFFFF"/>
            <w:tcMar>
              <w:top w:w="100" w:type="dxa"/>
              <w:bottom w:w="100" w:type="dxa"/>
              <w:left w:w="150" w:type="dxa"/>
              <w:right w:w="150" w:type="dxa"/>
            </w:tcMar>
          </w:tcPr>
          <w:p>
            <w:pPr>
              <w:spacing w:after="40"/>
            </w:pPr>
            <w:r>
              <w:rPr>
                <w:rFonts w:ascii="Segoe UI" w:hAnsi="Segoe UI"/>
                <w:color w:val="334155"/>
                <w:sz w:val="20"/>
              </w:rPr>
              <w:t>Presentation Risk</w:t>
            </w:r>
          </w:p>
        </w:tc>
        <w:tc>
          <w:tcPr>
            <w:tcW w:type="dxa" w:w="3600"/>
            <w:shd w:fill="FFFFFF"/>
            <w:tcMar>
              <w:top w:w="100" w:type="dxa"/>
              <w:bottom w:w="100" w:type="dxa"/>
              <w:left w:w="150" w:type="dxa"/>
              <w:right w:w="150" w:type="dxa"/>
            </w:tcMar>
          </w:tcPr>
          <w:p>
            <w:pPr>
              <w:spacing w:after="40"/>
            </w:pPr>
            <w:r>
              <w:rPr>
                <w:rFonts w:ascii="Segoe UI" w:hAnsi="Segoe UI"/>
                <w:color w:val="334155"/>
                <w:sz w:val="20"/>
              </w:rPr>
              <w:t>High failure risk if live roadways are unavailable during demo.</w:t>
            </w:r>
          </w:p>
        </w:tc>
        <w:tc>
          <w:tcPr>
            <w:tcW w:type="dxa" w:w="3888"/>
            <w:shd w:fill="FFFFFF"/>
            <w:tcMar>
              <w:top w:w="100" w:type="dxa"/>
              <w:bottom w:w="100" w:type="dxa"/>
              <w:left w:w="150" w:type="dxa"/>
              <w:right w:w="150" w:type="dxa"/>
            </w:tcMar>
          </w:tcPr>
          <w:p>
            <w:pPr>
              <w:spacing w:after="40"/>
            </w:pPr>
            <w:r>
              <w:rPr>
                <w:rFonts w:ascii="Segoe UI" w:hAnsi="Segoe UI"/>
                <w:color w:val="334155"/>
                <w:sz w:val="20"/>
              </w:rPr>
              <w:t>Simulation Sandbox allowing presenters to test scenarios on Chrome.</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