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B182D" w:sz="24" w:space="1"/>
        </w:pBdr>
        <w:spacing w:after="0" w:before="1400"/>
      </w:pPr>
    </w:p>
    <w:p>
      <w:pPr>
        <w:spacing w:after="0" w:before="480"/>
      </w:pPr>
      <w:r>
        <w:rPr>
          <w:rFonts w:ascii="Arial" w:cs="Arial" w:eastAsia="Arial" w:hAnsi="Arial"/>
          <w:b/>
          <w:bCs/>
          <w:color w:val="051C2B"/>
          <w:sz w:val="96"/>
          <w:szCs w:val="96"/>
        </w:rPr>
        <w:t xml:space="preserve">ROSA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Аудит сайта и рекомендации по росту продаж</w:t>
      </w:r>
    </w:p>
    <w:p>
      <w:pPr>
        <w:spacing w:after="60" w:before="8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rosa-villagio.ru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Новая Рига, 54 км от МКАД   ·   застройщик Villagio Estate</w:t>
      </w:r>
    </w:p>
    <w:p>
      <w:pPr>
        <w:spacing w:after="0" w:before="7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Май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51C2B"/>
          <w:sz w:val="36"/>
          <w:szCs w:val="36"/>
        </w:rPr>
        <w:t xml:space="preserve">1. Главное за минуту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Сайт ROSA —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сильная презентация, но слабая «касса»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. Продукт, бренд и подача — премиальные. Теряются продажи на трёх вещах: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Покупателю фактически некуда оставить заявку — единственная форма на сайте предназначена для агентств. При этом сайт сам обещает «можно напрямую отправить заявку в отдел продаж».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Нет механики мягкого захвата и подбора: квиза, калькулятора, цен на страницах коллекций.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Не используется главный актив доверия — бренд Villagio Estate и его портфель сданных посёлков. На чеке 17–60 млн «достроят ли / кто соседи» — решающий вопрос; у конкурентов в сегменте имя застройщика на сайте вообще не раскрыто.</w:t>
      </w:r>
    </w:p>
    <w:p>
      <w:pPr>
        <w:spacing w:after="120" w:before="12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Эти правки дадут больше, чем всё остальное вместе.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51C2B"/>
          <w:sz w:val="36"/>
          <w:szCs w:val="36"/>
        </w:rPr>
        <w:t xml:space="preserve">2. Что уже работает — сильные стороны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Прежде чем о проблемах — то, на что можно опираться. Сильные стороны ROSA в сравнении с конкурентами — повод выстроить позиционирование, а не повод почивать.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51C2B"/>
          <w:sz w:val="26"/>
          <w:szCs w:val="26"/>
        </w:rPr>
        <w:t xml:space="preserve">Преимущества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Открытая цена.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Сайт показывает цену прямо в hero: «от 17,3 млн ₽» и ежемесячный платёж. В сегменте, где её обычно прячут «за звонок», это редкость и сильный козырь.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Бренд Villagio Estate.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Один из ведущих застройщиков загородного премиума на Новой Риге; за плечами десятки сданных посёлков. Сильный, но недоиспользованный актив доверия — на сайте сейчас одной строкой в подвале.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Архитектура — HAAST и SCAPE.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Проект разработан совместно с двумя известными бюро; для премиум-аудитории это значимый сигнал. На сайте упомянуто, но в фоне — заслуживает выноса вперёд.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Масштаб и инфраструктура.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Большой проект с общественными пространствами, спортивными и детскими площадками, школой и детским садом на 250 мест. На чеке 17–60 млн покупают не дом, а окружение — здесь у ROSA содержательное предложение.</w:t>
      </w:r>
    </w:p>
    <w:p>
      <w:pPr>
        <w:spacing w:after="120" w:before="10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Подробное сравнение по конкурентам — в приложении в конце документа.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51C2B"/>
          <w:sz w:val="26"/>
          <w:szCs w:val="26"/>
        </w:rPr>
        <w:t xml:space="preserve">Технически на месте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Аналитика.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Яндекс.Метрика с Вебвизором и e-commerce, GA4 + Google Tag Manager, пиксели VK и Mail.ru.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SEO-база.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robots.txt и sitemap.xml с актуальными датами, canonical, Open Graph, lang=ru, заполненные title и description.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Премиальный визуал и контент.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Архитектура, фотографии и подача — на уровне сегмента.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51C2B"/>
          <w:sz w:val="36"/>
          <w:szCs w:val="36"/>
        </w:rPr>
        <w:t xml:space="preserve">3. Что чинить — приоритеты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Все рекомендации построены так: что сделать, почему это работает и у кого из конкурентов это уже проверено. Если «—» в третьей колонке — это общая практика, не привязанная к рынку Новой Риги.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51C2B"/>
          <w:sz w:val="26"/>
          <w:szCs w:val="26"/>
        </w:rPr>
        <w:t xml:space="preserve">3.1. Захват и конверсия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tcBorders>
              <w:top w:val="single" w:color="051C2B" w:sz="4"/>
              <w:left w:val="single" w:color="051C2B" w:sz="4"/>
              <w:bottom w:val="single" w:color="051C2B" w:sz="4"/>
              <w:right w:val="single" w:color="051C2B" w:sz="4"/>
            </w:tcBorders>
            <w:shd w:fill="051C2B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сделать</w:t>
            </w:r>
          </w:p>
        </w:tc>
        <w:tc>
          <w:tcPr>
            <w:tcW w:type="dxa" w:w="3024"/>
            <w:tcBorders>
              <w:top w:val="single" w:color="051C2B" w:sz="4"/>
              <w:left w:val="single" w:color="051C2B" w:sz="4"/>
              <w:bottom w:val="single" w:color="051C2B" w:sz="4"/>
              <w:right w:val="single" w:color="051C2B" w:sz="4"/>
            </w:tcBorders>
            <w:shd w:fill="051C2B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это работает</w:t>
            </w:r>
          </w:p>
        </w:tc>
        <w:tc>
          <w:tcPr>
            <w:tcW w:type="dxa" w:w="3024"/>
            <w:tcBorders>
              <w:top w:val="single" w:color="051C2B" w:sz="4"/>
              <w:left w:val="single" w:color="051C2B" w:sz="4"/>
              <w:bottom w:val="single" w:color="051C2B" w:sz="4"/>
              <w:right w:val="single" w:color="051C2B" w:sz="4"/>
            </w:tcBorders>
            <w:shd w:fill="051C2B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Есть у конкурентов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Формы захвата для покупателя на всех страницах (сейчас форма только «для агентств»)</w:t>
            </w:r>
          </w:p>
        </w:tc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Ловит тёплых, кто не готов звонить; собирает базу для длинного цикла сделки.</w:t>
            </w:r>
          </w:p>
        </w:tc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Британика: «приехать выбрать дом», «записаться на просмотр», «получить презентацию».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Оффер и кнопка-заявка в hero (сейчас только описание + телефон)</w:t>
            </w:r>
          </w:p>
        </w:tc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Первый экран должен вести к действию, а не только сообщать.</w:t>
            </w:r>
          </w:p>
        </w:tc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Квиз-подборщик: 5 вопросов → коллекция → контакт. Важно: премиальный дизайн, не дефолтные Marquiz-шаблоны</w:t>
            </w:r>
          </w:p>
        </w:tc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Мягкий вход без звонка; вовлекает и квалифицирует. На чеке 17–60 млн шаблонный квиз обнуляет премиум — дизайн должен соответствовать сегменту.</w:t>
            </w:r>
          </w:p>
        </w:tc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Британика (на Marquiz).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Интерактивный калькулятор ипотеки с выбором программы (семейная / IT / господдержка)</w:t>
            </w:r>
          </w:p>
        </w:tc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Снимает вопрос «сколько в месяц», даёт пользователю выбрать свою ситуацию и увидеть свою ставку. Заодно закрывает конфликт «от 4,5% в одном блоке / 6% в другом» — пользователь видит ставку под себя.</w:t>
            </w:r>
          </w:p>
        </w:tc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Британика.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Цены на коллекциях с раскрытой структурой: участок / участок с домом / полный пакет. В hero две цифры — «От 8–9 млн ₽ за участок / От 17,3 млн ₽ за участок с домом»</w:t>
            </w:r>
          </w:p>
        </w:tc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Сейчас одна цифра 17,3 млн в hero конфликтует с 8–9 млн на генплане за участок — это создаёт ощущение «цена прячется». Раскрытая структура делает ROSA самым прозрачным игроком в сегменте; сильное обещание сайта.</w:t>
            </w:r>
          </w:p>
        </w:tc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Британика и Eli цену прячут — у ROSA шанс заявить «честную цену с раскрытой структурой» как главное преимущество.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51C2B"/>
          <w:sz w:val="26"/>
          <w:szCs w:val="26"/>
        </w:rPr>
        <w:t xml:space="preserve">3.2. Доверие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tcBorders>
              <w:top w:val="single" w:color="051C2B" w:sz="4"/>
              <w:left w:val="single" w:color="051C2B" w:sz="4"/>
              <w:bottom w:val="single" w:color="051C2B" w:sz="4"/>
              <w:right w:val="single" w:color="051C2B" w:sz="4"/>
            </w:tcBorders>
            <w:shd w:fill="051C2B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сделать</w:t>
            </w:r>
          </w:p>
        </w:tc>
        <w:tc>
          <w:tcPr>
            <w:tcW w:type="dxa" w:w="3024"/>
            <w:tcBorders>
              <w:top w:val="single" w:color="051C2B" w:sz="4"/>
              <w:left w:val="single" w:color="051C2B" w:sz="4"/>
              <w:bottom w:val="single" w:color="051C2B" w:sz="4"/>
              <w:right w:val="single" w:color="051C2B" w:sz="4"/>
            </w:tcBorders>
            <w:shd w:fill="051C2B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это работает</w:t>
            </w:r>
          </w:p>
        </w:tc>
        <w:tc>
          <w:tcPr>
            <w:tcW w:type="dxa" w:w="3024"/>
            <w:tcBorders>
              <w:top w:val="single" w:color="051C2B" w:sz="4"/>
              <w:left w:val="single" w:color="051C2B" w:sz="4"/>
              <w:bottom w:val="single" w:color="051C2B" w:sz="4"/>
              <w:right w:val="single" w:color="051C2B" w:sz="4"/>
            </w:tcBorders>
            <w:shd w:fill="051C2B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Есть у конкурентов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Бренд Villagio Estate на видное место: портфель сданных посёлков с отзывами и фото из них, награды девелопера, имена архитекторов HAAST и SCAPE как партнёров</w:t>
            </w:r>
          </w:p>
        </w:tc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Известный девелопер снимает риск «достроят ли». На чеке 17–60 млн «кто соседи / не обманут ли» — решающий вопрос. У ROSA эти активы есть и не привязаны к стройке самого посёлка.</w:t>
            </w:r>
          </w:p>
        </w:tc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Преимущество ROSA: у Британики, Eli и Madison имя застройщика на сайте не раскрыто.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Временно убрать упоминания текущей стройки ROSA: линк «Ход строительства» из навигации, копию «Мы продолжаем строить ваш дом»</w:t>
            </w:r>
          </w:p>
        </w:tc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Стройка приостановилась. Прозрачная замедленная стройка бьёт по доверию сильнее, чем её отсутствие на сайте; формулировка «продолжаем строить» при остановке — фактическое введение в заблуждение.</w:t>
            </w:r>
          </w:p>
        </w:tc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Обновить «© 2022» → 2026 в подвале</w:t>
            </w:r>
          </w:p>
        </w:tc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Устаревшая дата выглядит как «проект заброшен» — прямой удар по доверию.</w:t>
            </w:r>
          </w:p>
        </w:tc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16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Резидентов у ROSA пока нет — копировать конкурентов с «отзывами жителей» нельзя. Поэтому опираемся на портфель Villagio: фото и отзывы из других сданных посёлков застройщика, награды, имена архитектурных партнёров.</w:t>
      </w:r>
    </w:p>
    <w:p>
      <w:pPr>
        <w:spacing w:after="200" w:before="6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AB182D"/>
          <w:sz w:val="22"/>
          <w:szCs w:val="22"/>
        </w:rPr>
        <w:t xml:space="preserve">Следующая фаза — когда стройка возобновится.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Возвращаем «Ход строительства» как один из главных аргументов доверия: даты, фото, веб-камера. Это сильный рычаг, но работает только когда есть что показывать. Сейчас закладываем место на сайте под этот блок, но не наполняем — наполняем сразу, как стройка пошла.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51C2B"/>
          <w:sz w:val="26"/>
          <w:szCs w:val="26"/>
        </w:rPr>
        <w:t xml:space="preserve">3.3. Офферы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Развернуть ипотеку списком программ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семейная (6%) / господдержка / IT (4,5%) / базовая — а не одной строкой «от 4,5%». Сейчас на сайте «Льготная ипотека от 4,5%» в одном блоке и «семейная ипотека 6%» под звёздочкой в другом — без перечня программ читается как противоречие.</w:t>
      </w:r>
    </w:p>
    <w:p>
      <w:pPr>
        <w:spacing w:after="120" w:before="100" w:lin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Калькулятор с выбором программы (см. 3.1) закрывает это автоматически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пользователь выбирает свою ситуацию и видит свою ставку. Заодно «71 900 ₽/мес» в hero подписать явно как «по семейной ипотеке 6%», а не прятать в звёздочку.</w:t>
      </w:r>
    </w:p>
    <w:p>
      <w:pPr>
        <w:spacing w:after="120" w:before="10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Trade-in и рассрочка (Британика, Ruza Family Park) — приёмы городских новостроек. Для премиальных коттеджей механика спорная, и неизвестно, готов ли Villagio её давать. В рекомендации не вносим — это решение застройщика.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51C2B"/>
          <w:sz w:val="36"/>
          <w:szCs w:val="36"/>
        </w:rPr>
        <w:t xml:space="preserve">4. SEO и видимость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 России ~3/4 поиска — Яндекс (десктоп ~74%, мобайл ~68%), Google ~24%. Премиальная iPhone-аудитория ROSA даёт Google выше среднего, но по объёму ведущий — Яндекс. SEO — игра вдолгую (месяцы); быстрые продажи раньше даёт платный трафик.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SEO-база уже на месте (см. раздел 2). Ниже — что улучшить. Это общая поисковая практика, поэтому у конкурентов почти везде «—».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Назначить H1/H2 в коде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(сейчас 0 тегов — Tilda на div-вёрстке). Поиск опирается на эти теги, чтобы понять структуру страницы.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Микроразметка Schema.org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скрытый блок данных в коде страницы, который говорит поиску «это компания X с телефоном Y, продукт стоит Z, вот наш FAQ». Поиск использует это, чтобы показать «расширенные сниппеты» — цены, звёзды, выпадающий FAQ прямо в результатах выдачи до клика. Для ROSA: Organization (название, девелопер, адрес, телефон), Product-Offer (коллекции с ценами), FAQ (стоимость, сроки, ипотека).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Почистить sitemap.xml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убрать /test, /rosa_old, /autumn-2022. Лишние страницы размывают индексацию.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Убрать легаси-аналитику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: мёртвый Universal Analytics и дублирующий GTM. Мусорят данные и тормозят загрузку.</w:t>
      </w:r>
    </w:p>
    <w:p>
      <w:pPr>
        <w:pStyle w:val="ListParagraph"/>
        <w:numPr>
          <w:ilvl w:val="0"/>
          <w:numId w:val="2"/>
        </w:numPr>
        <w:spacing w:after="60" w:before="3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Прописать alt у изображений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и заточить title/description под гео-запросы.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51C2B"/>
          <w:sz w:val="36"/>
          <w:szCs w:val="36"/>
        </w:rPr>
        <w:t xml:space="preserve">5. Что протестировать — гипотезы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Это не диагноз, а недорогие проверки. Часть требует доступа владельца (Вебмастер, Search Console).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72"/>
        <w:gridCol w:w="1800"/>
      </w:tblGrid>
      <w:tr>
        <w:trPr>
          <w:tblHeader/>
        </w:trPr>
        <w:tc>
          <w:tcPr>
            <w:tcW w:type="dxa" w:w="3200"/>
            <w:tcBorders>
              <w:top w:val="single" w:color="051C2B" w:sz="4"/>
              <w:left w:val="single" w:color="051C2B" w:sz="4"/>
              <w:bottom w:val="single" w:color="051C2B" w:sz="4"/>
              <w:right w:val="single" w:color="051C2B" w:sz="4"/>
            </w:tcBorders>
            <w:shd w:fill="051C2B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проверить</w:t>
            </w:r>
          </w:p>
        </w:tc>
        <w:tc>
          <w:tcPr>
            <w:tcW w:type="dxa" w:w="4072"/>
            <w:tcBorders>
              <w:top w:val="single" w:color="051C2B" w:sz="4"/>
              <w:left w:val="single" w:color="051C2B" w:sz="4"/>
              <w:bottom w:val="single" w:color="051C2B" w:sz="4"/>
              <w:right w:val="single" w:color="051C2B" w:sz="4"/>
            </w:tcBorders>
            <w:shd w:fill="051C2B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 / риск, если не так</w:t>
            </w:r>
          </w:p>
        </w:tc>
        <w:tc>
          <w:tcPr>
            <w:tcW w:type="dxa" w:w="1800"/>
            <w:tcBorders>
              <w:top w:val="single" w:color="051C2B" w:sz="4"/>
              <w:left w:val="single" w:color="051C2B" w:sz="4"/>
              <w:bottom w:val="single" w:color="051C2B" w:sz="4"/>
              <w:right w:val="single" w:color="051C2B" w:sz="4"/>
            </w:tcBorders>
            <w:shd w:fill="051C2B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Регион (Москва и МО) в Яндекс.Вебмастере</w:t>
            </w:r>
          </w:p>
        </w:tc>
        <w:tc>
          <w:tcPr>
            <w:tcW w:type="dxa" w:w="4072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Частая причина «нет в гео-выдаче». Вероятно выставлен (база грамотная), но 2 минуты на проверку.</w:t>
            </w:r>
          </w:p>
        </w:tc>
        <w:tc>
          <w:tcPr>
            <w:tcW w:type="dxa" w:w="18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Яндекс.Вебмастер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Core Web Vitals и скорость</w:t>
            </w:r>
          </w:p>
        </w:tc>
        <w:tc>
          <w:tcPr>
            <w:tcW w:type="dxa" w:w="4072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Тяжёлая графика (фото 2–3 МБ) и Tilda → риск медленного мобайла; влияет и на выдачу, и на конверсию.</w:t>
            </w:r>
          </w:p>
        </w:tc>
        <w:tc>
          <w:tcPr>
            <w:tcW w:type="dxa" w:w="18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PageSpeed Insights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WhatsApp vs Telegram — какой канал работает лучше</w:t>
            </w:r>
          </w:p>
        </w:tc>
        <w:tc>
          <w:tcPr>
            <w:tcW w:type="dxa" w:w="4072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Сейчас WA плавает снизу, TG в шапке — без данных непонятно, та ли расстановка. Сравнить клики на оба канала, оставить лидера плавающим, второй — в шапке.</w:t>
            </w:r>
          </w:p>
        </w:tc>
        <w:tc>
          <w:tcPr>
            <w:tcW w:type="dxa" w:w="18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Яндекс.Метрика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Цели в Метрике на формы и квиз</w:t>
            </w:r>
          </w:p>
        </w:tc>
        <w:tc>
          <w:tcPr>
            <w:tcW w:type="dxa" w:w="4072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Без целей не видно, какой канал приносит заявки.</w:t>
            </w:r>
          </w:p>
        </w:tc>
        <w:tc>
          <w:tcPr>
            <w:tcW w:type="dxa" w:w="18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Яндекс.Метрика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Онлайн-бронирование лота — есть ли спрос на чеке 17–60 млн</w:t>
            </w:r>
          </w:p>
        </w:tc>
        <w:tc>
          <w:tcPr>
            <w:tcW w:type="dxa" w:w="4072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На премиуме люди обычно хотят приехать. Можно протестировать формат «забронировать на 7 дней с залогом» на одной коллекции.</w:t>
            </w:r>
          </w:p>
        </w:tc>
        <w:tc>
          <w:tcPr>
            <w:tcW w:type="dxa" w:w="18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A/B тест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Реальная индексация в Яндексе и Google</w:t>
            </w:r>
          </w:p>
        </w:tc>
        <w:tc>
          <w:tcPr>
            <w:tcW w:type="dxa" w:w="4072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Сколько страниц в индексе, какие ошибки, по каким запросам показы.</w:t>
            </w:r>
          </w:p>
        </w:tc>
        <w:tc>
          <w:tcPr>
            <w:tcW w:type="dxa" w:w="18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Вебмастер + Search Console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H1/H2 в редакторе Tilda</w:t>
            </w:r>
          </w:p>
        </w:tc>
        <w:tc>
          <w:tcPr>
            <w:tcW w:type="dxa" w:w="4072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 коде их нет; проверить, не настроены ли через блоки.</w:t>
            </w:r>
          </w:p>
        </w:tc>
        <w:tc>
          <w:tcPr>
            <w:tcW w:type="dxa" w:w="18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Tilda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51C2B"/>
          <w:sz w:val="36"/>
          <w:szCs w:val="36"/>
        </w:rPr>
        <w:t xml:space="preserve">6. План внедрения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51C2B"/>
          <w:sz w:val="26"/>
          <w:szCs w:val="26"/>
        </w:rPr>
        <w:t xml:space="preserve">Очередь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Квиз-подборщик и калькулятор ипотеки с выбором программы.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Формы захвата для покупателя + кнопка-заявка в hero и шапке.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Цены на коллекциях с раскрытой структурой + обновить hero на двойную цену («От 8–9 млн ₽ за участок / От 17,3 млн ₽ за участок с домом»).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Бренд Villagio Estate и портфель + временно скрыть упоминания текущей стройки + © 2022 → 2026.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SEO-гигиена: H1/H2, Schema.org, чистка sitemap и аналитики.</w:t>
      </w:r>
    </w:p>
    <w:p>
      <w:pPr>
        <w:pStyle w:val="ListParagraph"/>
        <w:numPr>
          <w:ilvl w:val="0"/>
          <w:numId w:val="3"/>
        </w:numPr>
        <w:spacing w:after="60" w:before="3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Быстрая проверка: регион в Яндекс.Вебмастере.</w:t>
      </w:r>
    </w:p>
    <w:p>
      <w:pPr>
        <w:spacing w:after="120" w:before="12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Прототип с пунктами 1–4 уже собран отдельно — переносится в Tilda как блоки «HTML-код (T123)» после согласования с владельцем сайта.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51C2B"/>
          <w:sz w:val="26"/>
          <w:szCs w:val="26"/>
        </w:rPr>
        <w:t xml:space="preserve">Tilda — как внедрить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Сайт собран на Tilda. Большинство правок делается в редакторе без программиста; квиз, калькулятор и микроразметка — отдельным блоком «HTML-код (T123)» с произвольным HTML/JS.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6048"/>
      </w:tblGrid>
      <w:tr>
        <w:trPr>
          <w:tblHeader/>
        </w:trPr>
        <w:tc>
          <w:tcPr>
            <w:tcW w:type="dxa" w:w="3024"/>
            <w:tcBorders>
              <w:top w:val="single" w:color="051C2B" w:sz="4"/>
              <w:left w:val="single" w:color="051C2B" w:sz="4"/>
              <w:bottom w:val="single" w:color="051C2B" w:sz="4"/>
              <w:right w:val="single" w:color="051C2B" w:sz="4"/>
            </w:tcBorders>
            <w:shd w:fill="051C2B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Изменение</w:t>
            </w:r>
          </w:p>
        </w:tc>
        <w:tc>
          <w:tcPr>
            <w:tcW w:type="dxa" w:w="6048"/>
            <w:tcBorders>
              <w:top w:val="single" w:color="051C2B" w:sz="4"/>
              <w:left w:val="single" w:color="051C2B" w:sz="4"/>
              <w:bottom w:val="single" w:color="051C2B" w:sz="4"/>
              <w:right w:val="single" w:color="051C2B" w:sz="4"/>
            </w:tcBorders>
            <w:shd w:fill="051C2B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внедрить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Формы захвата для покупателя</w:t>
            </w:r>
          </w:p>
        </w:tc>
        <w:tc>
          <w:tcPr>
            <w:tcW w:type="dxa" w:w="6048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 редакторе Tilda: нативный блок формы. Приём заявок настраивается в свойствах формы — Telegram-бот, email, AmoCRM/Bitrix/Roistat и т. д.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Кнопки-заявки в hero и шапке</w:t>
            </w:r>
          </w:p>
        </w:tc>
        <w:tc>
          <w:tcPr>
            <w:tcW w:type="dxa" w:w="6048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 редакторе Tilda: стандартные кнопки drag-and-drop; ссылка ведёт на форму или квиз.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Цены на коллекциях с раскрытой структурой + двойная цена в hero</w:t>
            </w:r>
          </w:p>
        </w:tc>
        <w:tc>
          <w:tcPr>
            <w:tcW w:type="dxa" w:w="6048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 редакторе Tilda: правка текста и табличных блоков на главной и /lugovaya, /plans, /residents.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Временно скрыть упоминания текущей стройки</w:t>
            </w:r>
          </w:p>
        </w:tc>
        <w:tc>
          <w:tcPr>
            <w:tcW w:type="dxa" w:w="6048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 редакторе Tilda: убрать линк «Ход строительства» из меню, скрыть блок «Мы продолжаем строить ваш дом», страница /progress в архив или закрыть от индексации.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Заголовки H1 / H2</w:t>
            </w:r>
          </w:p>
        </w:tc>
        <w:tc>
          <w:tcPr>
            <w:tcW w:type="dxa" w:w="6048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 редакторе Tilda: в настройках текстового блока выбрать тег — один H1 на страницу, H2 на секции.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alt у изображений</w:t>
            </w:r>
          </w:p>
        </w:tc>
        <w:tc>
          <w:tcPr>
            <w:tcW w:type="dxa" w:w="6048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 редакторе Tilda: поле alt в настройках каждой картинки.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title / description под гео</w:t>
            </w:r>
          </w:p>
        </w:tc>
        <w:tc>
          <w:tcPr>
            <w:tcW w:type="dxa" w:w="6048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 редакторе Tilda: настройки страницы → SEO.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© 2022 → 2026</w:t>
            </w:r>
          </w:p>
        </w:tc>
        <w:tc>
          <w:tcPr>
            <w:tcW w:type="dxa" w:w="6048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 редакторе Tilda: правка текста в футере.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Чистка sitemap</w:t>
            </w:r>
          </w:p>
        </w:tc>
        <w:tc>
          <w:tcPr>
            <w:tcW w:type="dxa" w:w="6048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 редакторе Tilda: лишние страницы (/test, /rosa_old, /autumn-2022) удалить или закрыть от индексации в настройках страницы.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Чистка аналитики</w:t>
            </w:r>
          </w:p>
        </w:tc>
        <w:tc>
          <w:tcPr>
            <w:tcW w:type="dxa" w:w="6048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 редакторе Tilda: настройки сайта → «Аналитика, статистика». Убрать мёртвый Universal Analytics и дублирующий GTM. Аккуратно.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Квиз-подборщик (премиальный)</w:t>
            </w:r>
          </w:p>
        </w:tc>
        <w:tc>
          <w:tcPr>
            <w:tcW w:type="dxa" w:w="6048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Кастомный HTML/JS-блок в T123. Финальный шаг с контактами — нативная Tilda-форма (тогда заявка идёт в подключённые к Tilda каналы).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Калькулятор ипотеки с выбором программы</w:t>
            </w:r>
          </w:p>
        </w:tc>
        <w:tc>
          <w:tcPr>
            <w:tcW w:type="dxa" w:w="6048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Кастомный HTML/JS-блок в T123. Если есть CTA «получить расчёт» — submit через Tilda-форму, как у квиза.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Микроразметка Schema.org (JSON-LD)</w:t>
            </w:r>
          </w:p>
        </w:tc>
        <w:tc>
          <w:tcPr>
            <w:tcW w:type="dxa" w:w="6048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Блок T123 со скриптом JSON-LD в теле страницы. По одному набору на главную и каждую коллекцию.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51C2B"/>
          <w:sz w:val="36"/>
          <w:szCs w:val="36"/>
        </w:rPr>
        <w:t xml:space="preserve">Приложение. Что анализировали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51C2B"/>
          <w:sz w:val="26"/>
          <w:szCs w:val="26"/>
        </w:rPr>
        <w:t xml:space="preserve">Сайт ROSA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Просканирован через Claude Code. Главная и страницы коллекций /residents, /plans, /lugovaya. Служебные файлы — robots.txt и sitemap.xml. Исходный код — title и meta-описание, заголовки H1–H3, Schema.org, счётчики аналитики, alt у изображений, canonical, Open Graph. Платформа Tilda; фирменный стиль — тёмно-синий #051c2b, винно-красный #ab182d, шрифт Formular.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51C2B"/>
          <w:sz w:val="26"/>
          <w:szCs w:val="26"/>
        </w:rPr>
        <w:t xml:space="preserve">Сравнение с конкурентами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Просканированы официальные сайты посёлков Новой Риги — сами посёлки, а не агрегаторы. ROSA добавлена первой строкой.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72"/>
      </w:tblGrid>
      <w:tr>
        <w:trPr>
          <w:tblHeader/>
        </w:trPr>
        <w:tc>
          <w:tcPr>
            <w:tcW w:type="dxa" w:w="2200"/>
            <w:tcBorders>
              <w:top w:val="single" w:color="051C2B" w:sz="4"/>
              <w:left w:val="single" w:color="051C2B" w:sz="4"/>
              <w:bottom w:val="single" w:color="051C2B" w:sz="4"/>
              <w:right w:val="single" w:color="051C2B" w:sz="4"/>
            </w:tcBorders>
            <w:shd w:fill="051C2B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Посёлок</w:t>
            </w:r>
          </w:p>
        </w:tc>
        <w:tc>
          <w:tcPr>
            <w:tcW w:type="dxa" w:w="1800"/>
            <w:tcBorders>
              <w:top w:val="single" w:color="051C2B" w:sz="4"/>
              <w:left w:val="single" w:color="051C2B" w:sz="4"/>
              <w:bottom w:val="single" w:color="051C2B" w:sz="4"/>
              <w:right w:val="single" w:color="051C2B" w:sz="4"/>
            </w:tcBorders>
            <w:shd w:fill="051C2B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Гео / цена</w:t>
            </w:r>
          </w:p>
        </w:tc>
        <w:tc>
          <w:tcPr>
            <w:tcW w:type="dxa" w:w="5072"/>
            <w:tcBorders>
              <w:top w:val="single" w:color="051C2B" w:sz="4"/>
              <w:left w:val="single" w:color="051C2B" w:sz="4"/>
              <w:bottom w:val="single" w:color="051C2B" w:sz="4"/>
              <w:right w:val="single" w:color="051C2B" w:sz="4"/>
            </w:tcBorders>
            <w:shd w:fill="051C2B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есть на сайте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ROSA</w:t>
            </w:r>
          </w:p>
        </w:tc>
        <w:tc>
          <w:tcPr>
            <w:tcW w:type="dxa" w:w="18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54 км; от 17,3 млн ₽</w:t>
            </w:r>
          </w:p>
        </w:tc>
        <w:tc>
          <w:tcPr>
            <w:tcW w:type="dxa" w:w="5072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Нет квиза, калькулятора, брони, 3D-тура. Ипотека от 4,5%. Бренд Villagio не раскрыт. TG / WA / VK; Tilda.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Riga Family (К2 DOM) — ближайший аналог</w:t>
            </w:r>
          </w:p>
        </w:tc>
        <w:tc>
          <w:tcPr>
            <w:tcW w:type="dxa" w:w="18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57 км; 17,7–85,5 млн (127–391 м²)</w:t>
            </w:r>
          </w:p>
        </w:tc>
        <w:tc>
          <w:tcPr>
            <w:tcW w:type="dxa" w:w="5072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Генплан, ход стройки. Рассрочка 0% до 30 мес, ипотека 6/8/6%, отделка в 3 вариантах. «Посёлок года 2022», 282 построенных дома. TG.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Британика — эталон конверсии</w:t>
            </w:r>
          </w:p>
        </w:tc>
        <w:tc>
          <w:tcPr>
            <w:tcW w:type="dxa" w:w="18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~25 мин; цены скрыты</w:t>
            </w:r>
          </w:p>
        </w:tc>
        <w:tc>
          <w:tcPr>
            <w:tcW w:type="dxa" w:w="5072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Квиз (Marquiz), калькулятор, интерактивный генплан. Trade-in, рассрочка, льготная ипотека, отделка, скидка до 500 000 ₽. 9 отзывов резидентов, 4 награды, реальные фото. TG/VK/WA/IG/YT; кастом (OpenCart).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Eli Estate — эко-клуб</w:t>
            </w:r>
          </w:p>
        </w:tc>
        <w:tc>
          <w:tcPr>
            <w:tcW w:type="dxa" w:w="18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~60 мин; готовый от 15 млн</w:t>
            </w:r>
          </w:p>
        </w:tc>
        <w:tc>
          <w:tcPr>
            <w:tcW w:type="dxa" w:w="5072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Инструментов почти нет; генплан в презентации. Видеоотзывы, фото «без рендеров», награды. TG / WA; Tilda.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Ruza Family Park (КМД)</w:t>
            </w:r>
          </w:p>
        </w:tc>
        <w:tc>
          <w:tcPr>
            <w:tcW w:type="dxa" w:w="18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Рузское/Новориж.; от ~975 тыс ₽/сотка</w:t>
            </w:r>
          </w:p>
        </w:tc>
        <w:tc>
          <w:tcPr>
            <w:tcW w:type="dxa" w:w="5072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Нет онлайн-инструментов. Рассрочка до 2 лет, trade-in, скидки до 1,5 млн. Отзывы, фотогалереи. TG; Bitrix.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Madison Park — элит</w:t>
            </w:r>
          </w:p>
        </w:tc>
        <w:tc>
          <w:tcPr>
            <w:tcW w:type="dxa" w:w="1800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 км; 57–777 млн (369–1500 м²)</w:t>
            </w:r>
          </w:p>
        </w:tc>
        <w:tc>
          <w:tcPr>
            <w:tcW w:type="dxa" w:w="5072"/>
            <w:tcBorders>
              <w:top w:val="single" w:color="D9DDE2" w:sz="4"/>
              <w:left w:val="single" w:color="D9DDE2" w:sz="4"/>
              <w:bottom w:val="single" w:color="D9DDE2" w:sz="4"/>
              <w:right w:val="single" w:color="D9DDE2" w:sz="4"/>
            </w:tcBorders>
            <w:shd w:fill="F7F8F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40" w:line="2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Почти нет инструментов. «Под ключ с мебелью» (часть домов). Отзывы менеджеров (не резидентов). TG / WA; простой лендинг.</w:t>
            </w:r>
          </w:p>
        </w:tc>
      </w:tr>
    </w:tbl>
    <w:p>
      <w:pPr>
        <w:spacing w:after="120" w:before="12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Незанятые ниши у всех в выборке — 3D-тур и онлайн-бронирование лота. Квиз и калькулятор есть только у Британики. КП «Берёзы» проверен дополнительно — продажа участков уровня СНТ, не сопоставим с ROSA.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51C2B"/>
          <w:sz w:val="26"/>
          <w:szCs w:val="26"/>
        </w:rPr>
        <w:t xml:space="preserve">Рынок — открытые источники 2025–2026</w:t>
      </w:r>
    </w:p>
    <w:p>
      <w:pPr>
        <w:spacing w:after="120" w:before="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Доли поисковых систем в России (Яндекс/Google, десктоп и мобайл). Тренды загородной недвижимости и ИЖС, изменения семейной ипотеки с 01.02.2026. Каналы лидогенерации для коттеджных посёлков (VK Реклама, Яндекс ПромоСтраницы, Avito).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Arial" w:cs="Arial" w:eastAsia="Arial" w:hAnsi="Arial"/>
        <w:color w:val="051C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b/>
        <w:bCs/>
        <w:color w:val="051C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51C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51C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ROSA — аудит сайта</dc:title>
  <dc:creator>Claude</dc:creator>
  <cp:lastModifiedBy>Un-named</cp:lastModifiedBy>
  <cp:revision>1</cp:revision>
  <dcterms:created xsi:type="dcterms:W3CDTF">2026-05-21T07:50:19.285Z</dcterms:created>
  <dcterms:modified xsi:type="dcterms:W3CDTF">2026-05-21T07:50:19.286Z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