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600"/>
        <w:jc w:val="center"/>
      </w:pPr>
      <w:r>
        <w:rPr>
          <w:b/>
          <w:bCs/>
          <w:color w:val="1F3864"/>
          <w:sz w:val="36"/>
          <w:szCs w:val="36"/>
        </w:rPr>
        <w:t xml:space="preserve">DAY 4 — PROJECT LAB</w:t>
      </w:r>
    </w:p>
    <w:p>
      <w:pPr>
        <w:spacing w:after="200"/>
        <w:jc w:val="center"/>
      </w:pPr>
      <w:r>
        <w:rPr>
          <w:b/>
          <w:bCs/>
          <w:color w:val="2E8B8B"/>
          <w:sz w:val="26"/>
          <w:szCs w:val="26"/>
        </w:rPr>
        <w:t xml:space="preserve">India — Batch 2</w:t>
      </w:r>
    </w:p>
    <w:p>
      <w:pPr>
        <w:spacing w:after="300"/>
        <w:jc w:val="center"/>
      </w:pPr>
      <w:r>
        <w:rPr>
          <w:b/>
          <w:bCs/>
          <w:color w:val="B08D57"/>
          <w:sz w:val="22"/>
          <w:szCs w:val="22"/>
        </w:rPr>
        <w:t xml:space="preserve">Underwriting &amp; Risk Assessment</w:t>
      </w:r>
    </w:p>
    <w:p>
      <w:pPr>
        <w:spacing w:after="500"/>
        <w:jc w:val="center"/>
      </w:pPr>
      <w:r>
        <w:rPr>
          <w:i/>
          <w:iCs/>
          <w:color w:val="555555"/>
          <w:sz w:val="20"/>
          <w:szCs w:val="20"/>
        </w:rPr>
        <w:t xml:space="preserve">Week 1 · Day 4 · Live Batch Practical (1 Hour) · Prepared by Rajesh Pasham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Session Context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6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 — Batch 2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Slot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 PM – 5:00 PM IST / 12:30 PM – 1:30 PM CEST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6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Underwriting &amp; Risk Assessment — New business intake through the underwriting decision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Live, trainer-facilitated — 1 hour, batch-wise mentoring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Where You're Starting From</w:t>
      </w:r>
    </w:p>
    <w:p>
      <w:pPr>
        <w:spacing w:after="130"/>
      </w:pPr>
      <w:r>
        <w:rPr>
          <w:sz w:val="21"/>
          <w:szCs w:val="21"/>
        </w:rPr>
        <w:t xml:space="preserve">Day 3 was your first hands-on lab — it gave you real experience with the pipeline, branching, Ontology-building, and the isHighValueClaim security-policy workaround, using a 300-row Claims dataset. Today you apply that same workflow, including the boolean-condition workaround, to your own Underwriting object model and your own 300-row dataset for the first time.</w:t>
      </w:r>
    </w:p>
    <w:p>
      <w:pPr>
        <w:spacing w:after="130"/>
      </w:pPr>
      <w:r>
        <w:rPr>
          <w:i/>
          <w:iCs/>
          <w:color w:val="555555"/>
          <w:sz w:val="21"/>
          <w:szCs w:val="21"/>
        </w:rPr>
        <w:t xml:space="preserve">This session is not new theory — it's the same Insurance Ontology Baseline workflow from Day 3 (data review, pipeline, branching, Object Types, relationships, RBAC/ABAC, testing, lineage), applied to your batch's own use case, including the platform-constraint workaround for security policies you'll see below. Keep Day 3's updated lab guide open as your step-by-step reference.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Your Object Model</w:t>
      </w:r>
    </w:p>
    <w:p>
      <w:pPr>
        <w:spacing w:after="130"/>
      </w:pPr>
      <w:r>
        <w:rPr>
          <w:sz w:val="21"/>
          <w:szCs w:val="21"/>
        </w:rPr>
        <w:t xml:space="preserve">Create these seven Object Types, following the exact same workflow as Day 3, Part 5 (Ontology Manager → New → Create object type → select the backing dataset → configure primary key and title key → save). Every Object Type in this lab has a real backing dataset — none are generated empty.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900"/>
        <w:gridCol w:w="5250"/>
      </w:tblGrid>
      <w:tr>
        <w:trPr>
          <w:tblHeader/>
        </w:trPr>
        <w:tc>
          <w:tcPr>
            <w:tcW w:type="dxa" w:w="1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applicantId</w:t>
            </w:r>
          </w:p>
        </w:tc>
        <w:tc>
          <w:tcPr>
            <w:tcW w:type="dxa" w:w="5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dateOfBirth, contactEmail (PII)</w:t>
            </w:r>
          </w:p>
        </w:tc>
      </w:tr>
      <w:tr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 Application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applicationId</w:t>
            </w:r>
          </w:p>
        </w:tc>
        <w:tc>
          <w:tcPr>
            <w:tcW w:type="dxa" w:w="5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requestedCoverage, submissionDate, status</w:t>
            </w:r>
          </w:p>
        </w:tc>
      </w:tr>
      <w:tr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riskAssessmentId</w:t>
            </w:r>
          </w:p>
        </w:tc>
        <w:tc>
          <w:tcPr>
            <w:tcW w:type="dxa" w:w="5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riskScore (sensitive), riskCategory, isHighRiskApplication, assessmentDate</w:t>
            </w:r>
          </w:p>
        </w:tc>
      </w:tr>
      <w:tr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Rating Factor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ratingFactorId</w:t>
            </w:r>
          </w:p>
        </w:tc>
        <w:tc>
          <w:tcPr>
            <w:tcW w:type="dxa" w:w="5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factorType, factorValue, weight</w:t>
            </w:r>
          </w:p>
        </w:tc>
      </w:tr>
      <w:tr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Underwriting Decision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decisionId</w:t>
            </w:r>
          </w:p>
        </w:tc>
        <w:tc>
          <w:tcPr>
            <w:tcW w:type="dxa" w:w="5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decision, premium (sensitive), decisionDate</w:t>
            </w:r>
          </w:p>
        </w:tc>
      </w:tr>
      <w:tr>
        <w:tc>
          <w:tcPr>
            <w:tcW w:type="dxa" w:w="1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underwriterId</w:t>
            </w:r>
          </w:p>
        </w:tc>
        <w:tc>
          <w:tcPr>
            <w:tcW w:type="dxa" w:w="5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team, authorityLimit</w:t>
            </w:r>
          </w:p>
        </w:tc>
      </w:tr>
      <w:tr>
        <w:tc>
          <w:tcPr>
            <w:tcW w:type="dxa" w:w="1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referralId</w:t>
            </w:r>
          </w:p>
        </w:tc>
        <w:tc>
          <w:tcPr>
            <w:tcW w:type="dxa" w:w="5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reason, status, referralDate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Your Relationships</w:t>
      </w:r>
    </w:p>
    <w:p>
      <w:pPr>
        <w:spacing w:after="130"/>
      </w:pPr>
      <w:r>
        <w:rPr>
          <w:sz w:val="21"/>
          <w:szCs w:val="21"/>
        </w:rPr>
        <w:t xml:space="preserve">Follow Day 3, Part 6's guidance: object type foreign keys for one-to-one or many-to-one links, object-backed link types for many-to-many or when the relationship itself carries metadata. Every link below is one-to-many or many-to-one, so object type foreign keys are the right choice throughout.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28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FK Column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 → Insurance Application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InsuranceApplication.applicantId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 Application → Risk Assessment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One-to-one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RiskAssessment.applicationId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Assessment → Rating Factor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RatingFactor.riskAssessmentId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 Application → Underwriting Decision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One-to-one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UnderwritingDecision.applicationId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 Application → Referral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One-to-one, optional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Referral.applicationId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Underwriter → Referral (assigned)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Referral.underwriterId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Underwriter → Underwriting Decision (decided by)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UnderwritingDecision.underwriterId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Your Reference Dataset</w:t>
      </w:r>
    </w:p>
    <w:p>
      <w:pPr>
        <w:spacing w:after="130"/>
      </w:pPr>
      <w:r>
        <w:rPr>
          <w:sz w:val="21"/>
          <w:szCs w:val="21"/>
        </w:rPr>
        <w:t xml:space="preserve">Four attached CSV files (applicants.csv, applications.csv, risk_assessments.csv, rating_factors.csv, 300 rows each) are provided with this document — nothing to prepare beforehand.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47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Notable Characteristics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applicants.csv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applicantId APP001–APP300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applications.csv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rows have an empty applicantId (data-quality test)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risk_assessments.csv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4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 rows have riskScore above 75 (security test)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rating_factors.csv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4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references a riskAssessmentId; several factors per assessment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Today's Session Plan (1 Hour)</w:t>
      </w:r>
    </w:p>
    <w:p>
      <w:pPr>
        <w:spacing w:after="130"/>
      </w:pPr>
      <w:r>
        <w:rPr>
          <w:sz w:val="21"/>
          <w:szCs w:val="21"/>
        </w:rPr>
        <w:t xml:space="preserve">With the trainer live, this hour is focused on the highest-value checkpoints — you'll continue independently afterward using Day 3's guide for anything not finished live.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Minutes</w:t>
            </w:r>
          </w:p>
        </w:tc>
        <w:tc>
          <w:tcPr>
            <w:tcW w:type="dxa" w:w="8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0–10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your reference dataset is loaded and schema-checked; trainer reviews your problem framing and object list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10–30</w:t>
            </w:r>
          </w:p>
        </w:tc>
        <w:tc>
          <w:tcPr>
            <w:tcW w:type="dxa" w:w="8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your Object Types live, with the trainer reviewing primary key and property choices as you go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30–45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your Link Types; trainer checks cardinality reasoning against your domain notes, not assumption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45–55</w:t>
            </w:r>
          </w:p>
        </w:tc>
        <w:tc>
          <w:tcPr>
            <w:tcW w:type="dxa" w:w="8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your governance plan (see below), including the security-policy condition workaround if your batch needs one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55–60</w:t>
            </w:r>
          </w:p>
        </w:tc>
        <w:tc>
          <w:tcPr>
            <w:tcW w:type="dxa" w:w="8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what's done, what's open, and what you'll bring to Day 5's review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Your Governance Plan</w:t>
      </w:r>
    </w:p>
    <w:p>
      <w:pPr>
        <w:spacing w:after="130"/>
      </w:pPr>
      <w:r>
        <w:rPr>
          <w:sz w:val="21"/>
          <w:szCs w:val="21"/>
        </w:rPr>
        <w:t xml:space="preserve">Design — don't necessarily finish implementing during this session — the RBAC/ABAC approach for your Ontology, following Day 3, Part 7's pattern.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Batch's Plan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Sensitive Field(s)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Assessment.riskScore and Underwriting Decision.premium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Marking Name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High-Risk Application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Condition Column</w:t>
            </w:r>
          </w:p>
        </w:tc>
        <w:tc>
          <w:tcPr>
            <w:tcW w:type="dxa" w:w="6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isHighRiskApplication (Boolean)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Marking Rule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objects where isHighRiskApplication is true (37 of your 300 risk assessments) — not riskScore directly</w:t>
            </w:r>
          </w:p>
        </w:tc>
      </w:tr>
    </w:tbl>
    <w:p>
      <w:pPr>
        <w:spacing w:after="130"/>
      </w:pPr>
      <w:r>
        <w:rPr>
          <w:b/>
          <w:bCs/>
          <w:i/>
          <w:iCs/>
          <w:color w:val="B0413E"/>
          <w:sz w:val="21"/>
          <w:szCs w:val="21"/>
        </w:rPr>
        <w:t xml:space="preserve">Platform constraint, and whether it applies to you: riskScore is numeric (an integer/score out of 100), so it hits the exact same platform constraint Day 3 covered: security policy conditions only accept string or boolean properties. Derive isHighRiskApplication as a boolean (riskScore &gt; 75) using the same Greater than → boolean pattern from Day 3, Part 2.3, before you attempt the security policy in Part 7.3's equivalent step today.</w:t>
      </w:r>
    </w:p>
    <w:p>
      <w:pPr>
        <w:spacing w:after="130"/>
      </w:pPr>
      <w:r>
        <w:rPr>
          <w:sz w:val="21"/>
          <w:szCs w:val="21"/>
        </w:rPr>
        <w:t xml:space="preserve">Implement the Marking and the object/property security policies independently after this session, using Day 3, Part 7–8 as your step-by-step reference — including the solo before/after access test from Day 3, Part 8 (add yourself as an eligible member only after confirming access is denied without it; no second account needed).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Definition of Done for Day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 Reference dataset loaded and schema-checked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 All seven Object Types created with valid primary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 All seven relationships defined and navigable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 A governance plan is written down (Marking name, condition column, rule, and which fields it protects)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 Your boolean condition column is derived in the pipeline, following Day 3's isHighValueClaim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 A short list of open items to bring to Day 5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Open Items for Day 5</w:t>
      </w:r>
    </w:p>
    <w:p>
      <w:pPr>
        <w:pBdr>
          <w:bottom w:val="single" w:color="AAAAAA" w:sz="4" w:space="4"/>
        </w:pBdr>
        <w:spacing w:after="150"/>
      </w:pPr>
      <w:r>
        <w:rPr>
          <w:i/>
          <w:iCs/>
          <w:color w:val="808080"/>
          <w:sz w:val="20"/>
          <w:szCs w:val="20"/>
        </w:rPr>
        <w:t xml:space="preserve">1.</w:t>
      </w:r>
    </w:p>
    <w:p>
      <w:pPr>
        <w:pBdr>
          <w:bottom w:val="single" w:color="AAAAAA" w:sz="4" w:space="4"/>
        </w:pBdr>
        <w:spacing w:after="150"/>
      </w:pPr>
      <w:r>
        <w:rPr>
          <w:i/>
          <w:iCs/>
          <w:color w:val="808080"/>
          <w:sz w:val="20"/>
          <w:szCs w:val="20"/>
        </w:rPr>
        <w:t xml:space="preserve">2.</w:t>
      </w:r>
    </w:p>
    <w:p>
      <w:pPr>
        <w:pBdr>
          <w:bottom w:val="single" w:color="AAAAAA" w:sz="4" w:space="4"/>
        </w:pBdr>
        <w:spacing w:after="150"/>
      </w:pPr>
      <w:r>
        <w:rPr>
          <w:i/>
          <w:iCs/>
          <w:color w:val="808080"/>
          <w:sz w:val="20"/>
          <w:szCs w:val="20"/>
        </w:rPr>
        <w:t xml:space="preserve">3.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Day 4 Project Lab — India — Batch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2026-08-13T18:08:16.131Z</dcterms:created>
  <dcterms:modified xsi:type="dcterms:W3CDTF">2026-08-13T18:08:16.131Z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