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600"/>
        <w:jc w:val="center"/>
      </w:pPr>
      <w:r>
        <w:rPr>
          <w:b/>
          <w:bCs/>
          <w:color w:val="1F3864"/>
          <w:sz w:val="38"/>
          <w:szCs w:val="38"/>
        </w:rPr>
        <w:t xml:space="preserve">HANDS-ON EXERCISE</w:t>
      </w:r>
    </w:p>
    <w:p>
      <w:pPr>
        <w:spacing w:after="300"/>
        <w:jc w:val="center"/>
      </w:pPr>
      <w:r>
        <w:rPr>
          <w:b/>
          <w:bCs/>
          <w:color w:val="2E8B8B"/>
          <w:sz w:val="26"/>
          <w:szCs w:val="26"/>
        </w:rPr>
        <w:t xml:space="preserve">Underwriting Copilot</w:t>
      </w:r>
    </w:p>
    <w:p>
      <w:pPr>
        <w:spacing w:after="300"/>
        <w:jc w:val="center"/>
      </w:pPr>
      <w:r>
        <w:rPr>
          <w:b/>
          <w:bCs/>
          <w:color w:val="B08D57"/>
          <w:sz w:val="22"/>
          <w:szCs w:val="22"/>
        </w:rPr>
        <w:t xml:space="preserve">India — Batch 2 — Underwriting &amp; Risk Assessment</w:t>
      </w:r>
    </w:p>
    <w:p>
      <w:pPr>
        <w:spacing w:after="500"/>
        <w:jc w:val="center"/>
      </w:pPr>
      <w:r>
        <w:rPr>
          <w:i/>
          <w:iCs/>
          <w:color w:val="555555"/>
          <w:sz w:val="20"/>
          <w:szCs w:val="20"/>
        </w:rPr>
        <w:t xml:space="preserve">Week 2 · Day 3 · Self-Paced Lab, Step by Step · Prepared by Rajesh Pasham</w:t>
      </w:r>
    </w:p>
    <w:p>
      <w:pPr>
        <w:pStyle w:val="Heading1"/>
        <w:pBdr>
          <w:bottom w:val="single" w:color="1F3864" w:sz="6" w:space="4"/>
        </w:pBdr>
        <w:spacing w:after="200" w:before="420"/>
      </w:pPr>
      <w:r>
        <w:rPr>
          <w:b/>
          <w:bCs/>
          <w:color w:val="1F3864"/>
          <w:sz w:val="30"/>
          <w:szCs w:val="30"/>
        </w:rPr>
        <w:t xml:space="preserve">Before You Begin</w:t>
      </w:r>
    </w:p>
    <w:p>
      <w:pPr>
        <w:spacing w:after="130"/>
      </w:pPr>
      <w:r>
        <w:rPr>
          <w:sz w:val="21"/>
          <w:szCs w:val="21"/>
        </w:rPr>
        <w:t xml:space="preserve">This lab builds your Underwriting Copilot — the first AI capability in this program, built on top of the Underwriting &amp; Risk Assessment Ontology your batch built and secured in Week 1. You will use AIP Logic, a no-code tool. Every click is spelled out below — if you've never opened AIP Logic before, this document alone is enough to get you to a published, working Copilot.</w:t>
      </w:r>
    </w:p>
    <w:p>
      <w:pPr>
        <w:spacing w:after="130"/>
      </w:pPr>
      <w:r>
        <w:rPr>
          <w:sz w:val="21"/>
          <w:szCs w:val="21"/>
        </w:rPr>
        <w:t xml:space="preserve">This is a self-paced lab: no live trainer assistance, working entirely on your own individual Palantir Developer Tier account.</w:t>
      </w:r>
    </w:p>
    <w:p>
      <w:pPr>
        <w:spacing w:after="60" w:before="140"/>
      </w:pPr>
      <w:r>
        <w:rPr>
          <w:b/>
          <w:bCs/>
          <w:color w:val="333333"/>
          <w:sz w:val="21"/>
          <w:szCs w:val="21"/>
        </w:rPr>
        <w:t xml:space="preserve">How Long This Takes</w:t>
      </w:r>
    </w:p>
    <w:p>
      <w:pPr>
        <w:spacing w:after="130"/>
      </w:pPr>
      <w:r>
        <w:rPr>
          <w:sz w:val="21"/>
          <w:szCs w:val="21"/>
        </w:rPr>
        <w:t xml:space="preserve">Budget 3–4 hours. This lab implements all twelve requirements from the Practical Lab specification, plus testing and publishing — including a dedicated fix for the most common publish error, described in Part 9.</w:t>
      </w:r>
    </w:p>
    <w:p>
      <w:pPr>
        <w:spacing w:after="60" w:before="140"/>
      </w:pPr>
      <w:r>
        <w:rPr>
          <w:b/>
          <w:bCs/>
          <w:color w:val="333333"/>
          <w:sz w:val="21"/>
          <w:szCs w:val="21"/>
        </w:rPr>
        <w:t xml:space="preserve">What You Need Before Starting</w:t>
      </w:r>
    </w:p>
    <w:p>
      <w:pPr>
        <w:pStyle w:val="ListParagraph"/>
        <w:numPr>
          <w:ilvl w:val="0"/>
          <w:numId w:val="2"/>
        </w:numPr>
        <w:spacing w:after="60"/>
      </w:pPr>
      <w:r>
        <w:rPr>
          <w:sz w:val="21"/>
          <w:szCs w:val="21"/>
        </w:rPr>
        <w:t xml:space="preserve">Your individual Palantir Developer Tier account, with your Week 1 Underwriting &amp; Risk Assessment Ontology already built and secured (all seven Object Types, relationships, and the High-Risk Application Marking)</w:t>
      </w:r>
    </w:p>
    <w:p>
      <w:pPr>
        <w:pStyle w:val="ListParagraph"/>
        <w:numPr>
          <w:ilvl w:val="0"/>
          <w:numId w:val="2"/>
        </w:numPr>
        <w:spacing w:after="60"/>
      </w:pPr>
      <w:r>
        <w:rPr>
          <w:sz w:val="21"/>
          <w:szCs w:val="21"/>
        </w:rPr>
        <w:t xml:space="preserve">Today's Week 2, Day 1 and Day 2 study guides open for reference</w:t>
      </w:r>
    </w:p>
    <w:p>
      <w:pPr>
        <w:pStyle w:val="ListParagraph"/>
        <w:numPr>
          <w:ilvl w:val="0"/>
          <w:numId w:val="2"/>
        </w:numPr>
        <w:spacing w:after="60"/>
      </w:pPr>
      <w:r>
        <w:rPr>
          <w:sz w:val="21"/>
          <w:szCs w:val="21"/>
        </w:rPr>
        <w:t xml:space="preserve">Nothing else — no new data to load; this Copilot is built entirely on your existing Ontology</w:t>
      </w:r>
    </w:p>
    <w:p>
      <w:pPr>
        <w:pStyle w:val="Heading1"/>
        <w:pBdr>
          <w:bottom w:val="single" w:color="1F3864" w:sz="6" w:space="4"/>
        </w:pBdr>
        <w:spacing w:after="200" w:before="420"/>
      </w:pPr>
      <w:r>
        <w:rPr>
          <w:b/>
          <w:bCs/>
          <w:color w:val="1F3864"/>
          <w:sz w:val="30"/>
          <w:szCs w:val="30"/>
        </w:rPr>
        <w:t xml:space="preserve">Lab Outcome</w:t>
      </w:r>
    </w:p>
    <w:p>
      <w:pPr>
        <w:spacing w:after="130"/>
      </w:pPr>
      <w:r>
        <w:rPr>
          <w:sz w:val="21"/>
          <w:szCs w:val="21"/>
        </w:rPr>
        <w:t xml:space="preserve">By the end of this lab, you will have a functional, Ontology-grounded Underwriting Copilot with structured, permission-aware responses. It will: accept a applicationId; retrieve the Applicant and Risk Assessment; retrieve Rating Factor history; validate application completeness; summarize the record; highlight missing information; identify risk factors; recommend a next step; provide grounded references; return structured output; refuse unauthorized queries; and escalate low-confidence responses.</w:t>
      </w:r>
    </w:p>
    <w:p>
      <w:pPr>
        <w:pStyle w:val="Heading1"/>
        <w:pBdr>
          <w:bottom w:val="single" w:color="1F3864" w:sz="6" w:space="4"/>
        </w:pBdr>
        <w:spacing w:after="200" w:before="420"/>
      </w:pPr>
      <w:r>
        <w:rPr>
          <w:b/>
          <w:bCs/>
          <w:color w:val="1F3864"/>
          <w:sz w:val="30"/>
          <w:szCs w:val="30"/>
        </w:rPr>
        <w:t xml:space="preserve">Orienting Yourself in AIP Logic</w:t>
      </w:r>
    </w:p>
    <w:p>
      <w:pPr>
        <w:spacing w:after="130"/>
      </w:pPr>
      <w:r>
        <w:rPr>
          <w:sz w:val="21"/>
          <w:szCs w:val="21"/>
        </w:rPr>
        <w:t xml:space="preserve">Before building anything, know what you're looking at. When you open a Logic function, the screen has these key areas: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Screen Area</w:t>
            </w:r>
          </w:p>
        </w:tc>
        <w:tc>
          <w:tcPr>
            <w:tcW w:type="dxa" w:w="6950"/>
            <w:shd w:fill="1F3864" w:val="clear"/>
            <w:tcMar>
              <w:top w:type="dxa" w:w="80"/>
              <w:left w:type="dxa" w:w="100"/>
              <w:bottom w:type="dxa" w:w="80"/>
              <w:right w:type="dxa" w:w="100"/>
            </w:tcMar>
            <w:vAlign w:val="center"/>
          </w:tcPr>
          <w:p>
            <w:r>
              <w:rPr>
                <w:b/>
                <w:bCs/>
                <w:color w:val="FFFFFF"/>
                <w:sz w:val="20"/>
                <w:szCs w:val="20"/>
              </w:rPr>
              <w:t xml:space="preserve">What It's For</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Breadcrumb (top left)</w:t>
            </w:r>
          </w:p>
        </w:tc>
        <w:tc>
          <w:tcPr>
            <w:tcW w:type="dxa" w:w="6950"/>
            <w:shd w:fill="F2F2F2" w:val="clear"/>
            <w:tcMar>
              <w:top w:type="dxa" w:w="80"/>
              <w:left w:type="dxa" w:w="100"/>
              <w:bottom w:type="dxa" w:w="80"/>
              <w:right w:type="dxa" w:w="100"/>
            </w:tcMar>
            <w:vAlign w:val="center"/>
          </w:tcPr>
          <w:p>
            <w:r>
              <w:rPr>
                <w:b w:val="false"/>
                <w:bCs w:val="false"/>
                <w:color w:val="000000"/>
                <w:sz w:val="20"/>
                <w:szCs w:val="20"/>
              </w:rPr>
              <w:t xml:space="preserve">Shows where your function lives — e.g., Project → Folder → Function name. Click any part to navigate back.</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Block / Graph toggle</w:t>
            </w:r>
          </w:p>
        </w:tc>
        <w:tc>
          <w:tcPr>
            <w:tcW w:type="dxa" w:w="6950"/>
            <w:shd w:fill="FFFFFF" w:val="clear"/>
            <w:tcMar>
              <w:top w:type="dxa" w:w="80"/>
              <w:left w:type="dxa" w:w="100"/>
              <w:bottom w:type="dxa" w:w="80"/>
              <w:right w:type="dxa" w:w="100"/>
            </w:tcMar>
            <w:vAlign w:val="center"/>
          </w:tcPr>
          <w:p>
            <w:r>
              <w:rPr>
                <w:b w:val="false"/>
                <w:bCs w:val="false"/>
                <w:color w:val="000000"/>
                <w:sz w:val="20"/>
                <w:szCs w:val="20"/>
              </w:rPr>
              <w:t xml:space="preserve">Block view (what you'll use throughout this lab) shows your function as a linear sequence. Graph view shows it as a node diagram — same function, different visualization.</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Branch selector (“Main”)</w:t>
            </w:r>
          </w:p>
        </w:tc>
        <w:tc>
          <w:tcPr>
            <w:tcW w:type="dxa" w:w="6950"/>
            <w:shd w:fill="F2F2F2" w:val="clear"/>
            <w:tcMar>
              <w:top w:type="dxa" w:w="80"/>
              <w:left w:type="dxa" w:w="100"/>
              <w:bottom w:type="dxa" w:w="80"/>
              <w:right w:type="dxa" w:w="100"/>
            </w:tcMar>
            <w:vAlign w:val="center"/>
          </w:tcPr>
          <w:p>
            <w:r>
              <w:rPr>
                <w:b w:val="false"/>
                <w:bCs w:val="false"/>
                <w:color w:val="000000"/>
                <w:sz w:val="20"/>
                <w:szCs w:val="20"/>
              </w:rPr>
              <w:t xml:space="preserve">Like the branching you used in Week 1 — you're currently working on the Main branch unless you've created another one.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Publish button</w:t>
            </w:r>
          </w:p>
        </w:tc>
        <w:tc>
          <w:tcPr>
            <w:tcW w:type="dxa" w:w="6950"/>
            <w:shd w:fill="FFFFFF" w:val="clear"/>
            <w:tcMar>
              <w:top w:type="dxa" w:w="80"/>
              <w:left w:type="dxa" w:w="100"/>
              <w:bottom w:type="dxa" w:w="80"/>
              <w:right w:type="dxa" w:w="100"/>
            </w:tcMar>
            <w:vAlign w:val="center"/>
          </w:tcPr>
          <w:p>
            <w:r>
              <w:rPr>
                <w:b w:val="false"/>
                <w:bCs w:val="false"/>
                <w:color w:val="000000"/>
                <w:sz w:val="20"/>
                <w:szCs w:val="20"/>
              </w:rPr>
              <w:t xml:space="preserve">Saves your function so it can be called from elsewhere. Greyed out or produces errors until your function is complete and valid — covered in Part 9.</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Inputs board</w:t>
            </w:r>
          </w:p>
        </w:tc>
        <w:tc>
          <w:tcPr>
            <w:tcW w:type="dxa" w:w="6950"/>
            <w:shd w:fill="F2F2F2" w:val="clear"/>
            <w:tcMar>
              <w:top w:type="dxa" w:w="80"/>
              <w:left w:type="dxa" w:w="100"/>
              <w:bottom w:type="dxa" w:w="80"/>
              <w:right w:type="dxa" w:w="100"/>
            </w:tcMar>
            <w:vAlign w:val="center"/>
          </w:tcPr>
          <w:p>
            <w:r>
              <w:rPr>
                <w:b w:val="false"/>
                <w:bCs w:val="false"/>
                <w:color w:val="000000"/>
                <w:sz w:val="20"/>
                <w:szCs w:val="20"/>
              </w:rPr>
              <w:t xml:space="preserve">Where you define what your function receives when it's called — Part 2, below.</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Use LLM block</w:t>
            </w:r>
          </w:p>
        </w:tc>
        <w:tc>
          <w:tcPr>
            <w:tcW w:type="dxa" w:w="6950"/>
            <w:shd w:fill="FFFFFF" w:val="clear"/>
            <w:tcMar>
              <w:top w:type="dxa" w:w="80"/>
              <w:left w:type="dxa" w:w="100"/>
              <w:bottom w:type="dxa" w:w="80"/>
              <w:right w:type="dxa" w:w="100"/>
            </w:tcMar>
            <w:vAlign w:val="center"/>
          </w:tcPr>
          <w:p>
            <w:r>
              <w:rPr>
                <w:b w:val="false"/>
                <w:bCs w:val="false"/>
                <w:color w:val="000000"/>
                <w:sz w:val="20"/>
                <w:szCs w:val="20"/>
              </w:rPr>
              <w:t xml:space="preserve">Where your prompt, tools, and output live — the core of this entire lab.</w:t>
            </w:r>
          </w:p>
        </w:tc>
      </w:tr>
    </w:tbl>
    <w:p>
      <w:pPr>
        <w:pStyle w:val="Heading1"/>
        <w:pBdr>
          <w:bottom w:val="single" w:color="1F3864" w:sz="6" w:space="4"/>
        </w:pBdr>
        <w:spacing w:after="200" w:before="420"/>
      </w:pPr>
      <w:r>
        <w:rPr>
          <w:b/>
          <w:bCs/>
          <w:color w:val="1F3864"/>
          <w:sz w:val="30"/>
          <w:szCs w:val="30"/>
        </w:rPr>
        <w:t xml:space="preserve">Lab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8650"/>
      </w:tblGrid>
      <w:tr>
        <w:trPr>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Part</w:t>
            </w:r>
          </w:p>
        </w:tc>
        <w:tc>
          <w:tcPr>
            <w:tcW w:type="dxa" w:w="8650"/>
            <w:shd w:fill="1F3864" w:val="clear"/>
            <w:tcMar>
              <w:top w:type="dxa" w:w="80"/>
              <w:left w:type="dxa" w:w="100"/>
              <w:bottom w:type="dxa" w:w="80"/>
              <w:right w:type="dxa" w:w="100"/>
            </w:tcMar>
            <w:vAlign w:val="center"/>
          </w:tcPr>
          <w:p>
            <w:r>
              <w:rPr>
                <w:b/>
                <w:bCs/>
                <w:color w:val="FFFFFF"/>
                <w:sz w:val="20"/>
                <w:szCs w:val="20"/>
              </w:rPr>
              <w:t xml:space="preserve">Task</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Create your AIP Logic function</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Define the applicationId input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3</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Add a Use LLM block and understand its two prompt fields</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4</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Write your System prompt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5</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Configure your Query tool (this is how the Copilot reads the Ontology)</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6</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Write your Task prompt</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Configure structured output</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8</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Preview run and debug</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9</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Fix the “Missing ontology binding” publish error</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10</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Test refusal on unauthorized queries</w:t>
            </w:r>
          </w:p>
        </w:tc>
      </w:tr>
      <w:tr>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11</w:t>
            </w:r>
          </w:p>
        </w:tc>
        <w:tc>
          <w:tcPr>
            <w:tcW w:type="dxa" w:w="8650"/>
            <w:shd w:fill="F2F2F2" w:val="clear"/>
            <w:tcMar>
              <w:top w:type="dxa" w:w="80"/>
              <w:left w:type="dxa" w:w="100"/>
              <w:bottom w:type="dxa" w:w="80"/>
              <w:right w:type="dxa" w:w="100"/>
            </w:tcMar>
            <w:vAlign w:val="center"/>
          </w:tcPr>
          <w:p>
            <w:r>
              <w:rPr>
                <w:b w:val="false"/>
                <w:bCs w:val="false"/>
                <w:color w:val="000000"/>
                <w:sz w:val="20"/>
                <w:szCs w:val="20"/>
              </w:rPr>
              <w:t xml:space="preserve">Test escalation on low-confidence responses</w:t>
            </w:r>
          </w:p>
        </w:tc>
      </w:tr>
      <w:tr>
        <w:tc>
          <w:tcPr>
            <w:tcW w:type="dxa" w:w="700"/>
            <w:shd w:fill="FFFFFF" w:val="clear"/>
            <w:tcMar>
              <w:top w:type="dxa" w:w="80"/>
              <w:left w:type="dxa" w:w="100"/>
              <w:bottom w:type="dxa" w:w="80"/>
              <w:right w:type="dxa" w:w="100"/>
            </w:tcMar>
            <w:vAlign w:val="center"/>
          </w:tcPr>
          <w:p>
            <w:r>
              <w:rPr>
                <w:b w:val="false"/>
                <w:bCs w:val="false"/>
                <w:color w:val="000000"/>
                <w:sz w:val="20"/>
                <w:szCs w:val="20"/>
              </w:rPr>
              <w:t xml:space="preserve">12</w:t>
            </w:r>
          </w:p>
        </w:tc>
        <w:tc>
          <w:tcPr>
            <w:tcW w:type="dxa" w:w="8650"/>
            <w:shd w:fill="FFFFFF" w:val="clear"/>
            <w:tcMar>
              <w:top w:type="dxa" w:w="80"/>
              <w:left w:type="dxa" w:w="100"/>
              <w:bottom w:type="dxa" w:w="80"/>
              <w:right w:type="dxa" w:w="100"/>
            </w:tcMar>
            <w:vAlign w:val="center"/>
          </w:tcPr>
          <w:p>
            <w:r>
              <w:rPr>
                <w:b w:val="false"/>
                <w:bCs w:val="false"/>
                <w:color w:val="000000"/>
                <w:sz w:val="20"/>
                <w:szCs w:val="20"/>
              </w:rPr>
              <w:t xml:space="preserve">Create an evaluation suite and publish</w:t>
            </w:r>
          </w:p>
        </w:tc>
      </w:tr>
    </w:tbl>
    <w:p>
      <w:pPr>
        <w:pStyle w:val="Heading1"/>
        <w:pBdr>
          <w:bottom w:val="single" w:color="1F3864" w:sz="6" w:space="4"/>
        </w:pBdr>
        <w:spacing w:after="200" w:before="420"/>
      </w:pPr>
      <w:r>
        <w:rPr>
          <w:b/>
          <w:bCs/>
          <w:color w:val="1F3864"/>
          <w:sz w:val="30"/>
          <w:szCs w:val="30"/>
        </w:rPr>
        <w:t xml:space="preserve">Part 1 — Create Your AIP Logic Function</w:t>
      </w:r>
    </w:p>
    <w:p>
      <w:pPr>
        <w:pStyle w:val="Heading2"/>
        <w:spacing w:after="100" w:before="240"/>
      </w:pPr>
      <w:r>
        <w:rPr>
          <w:b/>
          <w:bCs/>
          <w:color w:val="2E8B8B"/>
          <w:sz w:val="23"/>
          <w:szCs w:val="23"/>
        </w:rPr>
        <w:t xml:space="preserve">Step 1: Open AIP Logic</w:t>
      </w:r>
    </w:p>
    <w:p>
      <w:pPr>
        <w:pStyle w:val="ListParagraph"/>
        <w:numPr>
          <w:ilvl w:val="0"/>
          <w:numId w:val="3"/>
        </w:numPr>
        <w:spacing w:after="90"/>
      </w:pPr>
      <w:r>
        <w:rPr>
          <w:sz w:val="21"/>
          <w:szCs w:val="21"/>
        </w:rPr>
        <w:t xml:space="preserve">From anywhere in your workspace, press Cmd+J (macOS) or Ctrl+J (Windows) to open quick search.</w:t>
      </w:r>
    </w:p>
    <w:p>
      <w:pPr>
        <w:pStyle w:val="ListParagraph"/>
        <w:numPr>
          <w:ilvl w:val="0"/>
          <w:numId w:val="3"/>
        </w:numPr>
        <w:spacing w:after="90"/>
      </w:pPr>
      <w:r>
        <w:rPr>
          <w:sz w:val="21"/>
          <w:szCs w:val="21"/>
        </w:rPr>
        <w:t xml:space="preserve">Type “AIP Logic” and select it — or, from your Project's file browser, select + New, then AIP Logic.</w:t>
      </w:r>
    </w:p>
    <w:p>
      <w:pPr>
        <w:pStyle w:val="Heading2"/>
        <w:spacing w:after="100" w:before="240"/>
      </w:pPr>
      <w:r>
        <w:rPr>
          <w:b/>
          <w:bCs/>
          <w:color w:val="2E8B8B"/>
          <w:sz w:val="23"/>
          <w:szCs w:val="23"/>
        </w:rPr>
        <w:t xml:space="preserve">Step 2: Name and save your function</w:t>
      </w:r>
    </w:p>
    <w:p>
      <w:pPr>
        <w:pStyle w:val="ListParagraph"/>
        <w:numPr>
          <w:ilvl w:val="0"/>
          <w:numId w:val="3"/>
        </w:numPr>
        <w:spacing w:after="90"/>
      </w:pPr>
      <w:r>
        <w:rPr>
          <w:sz w:val="21"/>
          <w:szCs w:val="21"/>
        </w:rPr>
        <w:t xml:space="preserve">Name your function UnderwritingCopilot.</w:t>
      </w:r>
    </w:p>
    <w:p>
      <w:pPr>
        <w:pStyle w:val="ListParagraph"/>
        <w:numPr>
          <w:ilvl w:val="0"/>
          <w:numId w:val="3"/>
        </w:numPr>
        <w:spacing w:after="90"/>
      </w:pPr>
      <w:r>
        <w:rPr>
          <w:sz w:val="21"/>
          <w:szCs w:val="21"/>
        </w:rPr>
        <w:t xml:space="preserve">Save it inside your Week 1 Project folder, alongside your Ontology. Logic files must be saved in a project folder, never your home folder.</w:t>
      </w:r>
    </w:p>
    <w:p>
      <w:pPr>
        <w:pStyle w:val="Heading1"/>
        <w:pBdr>
          <w:bottom w:val="single" w:color="1F3864" w:sz="6" w:space="4"/>
        </w:pBdr>
        <w:spacing w:after="200" w:before="420"/>
      </w:pPr>
      <w:r>
        <w:rPr>
          <w:b/>
          <w:bCs/>
          <w:color w:val="1F3864"/>
          <w:sz w:val="30"/>
          <w:szCs w:val="30"/>
        </w:rPr>
        <w:t xml:space="preserve">Part 2 — Define the applicationId Input</w:t>
      </w:r>
    </w:p>
    <w:p>
      <w:pPr>
        <w:pStyle w:val="Heading2"/>
        <w:spacing w:after="100" w:before="240"/>
      </w:pPr>
      <w:r>
        <w:rPr>
          <w:b/>
          <w:bCs/>
          <w:color w:val="2E8B8B"/>
          <w:sz w:val="23"/>
          <w:szCs w:val="23"/>
        </w:rPr>
        <w:t xml:space="preserve">Step 1: Add your input</w:t>
      </w:r>
    </w:p>
    <w:p>
      <w:pPr>
        <w:pStyle w:val="ListParagraph"/>
        <w:numPr>
          <w:ilvl w:val="0"/>
          <w:numId w:val="3"/>
        </w:numPr>
        <w:spacing w:after="90"/>
      </w:pPr>
      <w:r>
        <w:rPr>
          <w:sz w:val="21"/>
          <w:szCs w:val="21"/>
        </w:rPr>
        <w:t xml:space="preserve">In the Inputs board, find the Variable name field and type applicationId.</w:t>
      </w:r>
    </w:p>
    <w:p>
      <w:pPr>
        <w:pStyle w:val="ListParagraph"/>
        <w:numPr>
          <w:ilvl w:val="0"/>
          <w:numId w:val="3"/>
        </w:numPr>
        <w:spacing w:after="90"/>
      </w:pPr>
      <w:r>
        <w:rPr>
          <w:sz w:val="21"/>
          <w:szCs w:val="21"/>
        </w:rPr>
        <w:t xml:space="preserve">Set Type to String.</w:t>
      </w:r>
    </w:p>
    <w:p>
      <w:pPr>
        <w:pStyle w:val="ListParagraph"/>
        <w:numPr>
          <w:ilvl w:val="0"/>
          <w:numId w:val="3"/>
        </w:numPr>
        <w:spacing w:after="90"/>
      </w:pPr>
      <w:r>
        <w:rPr>
          <w:sz w:val="21"/>
          <w:szCs w:val="21"/>
        </w:rPr>
        <w:t xml:space="preserve">Leave it set to Required — this function should never run without an insurance application to look up.</w:t>
      </w:r>
    </w:p>
    <w:p>
      <w:pPr>
        <w:pStyle w:val="ListParagraph"/>
        <w:numPr>
          <w:ilvl w:val="0"/>
          <w:numId w:val="3"/>
        </w:numPr>
        <w:spacing w:after="90"/>
      </w:pPr>
      <w:r>
        <w:rPr>
          <w:sz w:val="21"/>
          <w:szCs w:val="21"/>
        </w:rPr>
        <w:t xml:space="preserve">If you need to add another input later, use the + Add button below the input row. For this lab, applicationId is the only input you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Inputs board shows exactly one input: applicationId, type String, Required.</w:t>
            </w:r>
          </w:p>
        </w:tc>
      </w:tr>
    </w:tbl>
    <w:p>
      <w:pPr>
        <w:spacing w:after="160"/>
      </w:pPr>
    </w:p>
    <w:p>
      <w:pPr>
        <w:pStyle w:val="Heading1"/>
        <w:pBdr>
          <w:bottom w:val="single" w:color="1F3864" w:sz="6" w:space="4"/>
        </w:pBdr>
        <w:spacing w:after="200" w:before="420"/>
      </w:pPr>
      <w:r>
        <w:rPr>
          <w:b/>
          <w:bCs/>
          <w:color w:val="1F3864"/>
          <w:sz w:val="30"/>
          <w:szCs w:val="30"/>
        </w:rPr>
        <w:t xml:space="preserve">Part 3 — Add a Use LLM Block</w:t>
      </w:r>
    </w:p>
    <w:p>
      <w:pPr>
        <w:spacing w:after="130"/>
      </w:pPr>
      <w:r>
        <w:rPr>
          <w:sz w:val="21"/>
          <w:szCs w:val="21"/>
        </w:rPr>
        <w:t xml:space="preserve">This is the block that does the thinking. Every Use LLM block has two separate prompt fields that are easy to confuse the first time you see them — get this distinction clear now, before you write anything.</w:t>
      </w:r>
    </w:p>
    <w:p>
      <w:pPr>
        <w:pStyle w:val="Heading2"/>
        <w:spacing w:after="100" w:before="240"/>
      </w:pPr>
      <w:r>
        <w:rPr>
          <w:b/>
          <w:bCs/>
          <w:color w:val="2E8B8B"/>
          <w:sz w:val="23"/>
          <w:szCs w:val="23"/>
        </w:rPr>
        <w:t xml:space="preserve">Step 1: Add the block</w:t>
      </w:r>
    </w:p>
    <w:p>
      <w:pPr>
        <w:pStyle w:val="ListParagraph"/>
        <w:numPr>
          <w:ilvl w:val="0"/>
          <w:numId w:val="3"/>
        </w:numPr>
        <w:spacing w:after="90"/>
      </w:pPr>
      <w:r>
        <w:rPr>
          <w:sz w:val="21"/>
          <w:szCs w:val="21"/>
        </w:rPr>
        <w:t xml:space="preserve">From the blocks toolbar, select Use LLM.</w:t>
      </w:r>
    </w:p>
    <w:p>
      <w:pPr>
        <w:pStyle w:val="Heading2"/>
        <w:spacing w:after="100" w:before="240"/>
      </w:pPr>
      <w:r>
        <w:rPr>
          <w:b/>
          <w:bCs/>
          <w:color w:val="2E8B8B"/>
          <w:sz w:val="23"/>
          <w:szCs w:val="23"/>
        </w:rPr>
        <w:t xml:space="preserve">Step 2: Understand the two prompt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750"/>
            <w:shd w:fill="1F3864" w:val="clear"/>
            <w:tcMar>
              <w:top w:type="dxa" w:w="80"/>
              <w:left w:type="dxa" w:w="100"/>
              <w:bottom w:type="dxa" w:w="80"/>
              <w:right w:type="dxa" w:w="100"/>
            </w:tcMar>
            <w:vAlign w:val="center"/>
          </w:tcPr>
          <w:p>
            <w:r>
              <w:rPr>
                <w:b/>
                <w:bCs/>
                <w:color w:val="FFFFFF"/>
                <w:sz w:val="20"/>
                <w:szCs w:val="20"/>
              </w:rPr>
              <w:t xml:space="preserve">What Goes Here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System prompt</w:t>
            </w:r>
          </w:p>
        </w:tc>
        <w:tc>
          <w:tcPr>
            <w:tcW w:type="dxa" w:w="6750"/>
            <w:shd w:fill="F2F2F2" w:val="clear"/>
            <w:tcMar>
              <w:top w:type="dxa" w:w="80"/>
              <w:left w:type="dxa" w:w="100"/>
              <w:bottom w:type="dxa" w:w="80"/>
              <w:right w:type="dxa" w:w="100"/>
            </w:tcMar>
            <w:vAlign w:val="center"/>
          </w:tcPr>
          <w:p>
            <w:r>
              <w:rPr>
                <w:b w:val="false"/>
                <w:bCs w:val="false"/>
                <w:color w:val="000000"/>
                <w:sz w:val="20"/>
                <w:szCs w:val="20"/>
              </w:rPr>
              <w:t xml:space="preserve">Your permanent instructions — what this Copilot is for, how it should behave, and what tools it has. You write this once in Part 4 and rarely change it.</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Task prompt</w:t>
            </w:r>
          </w:p>
        </w:tc>
        <w:tc>
          <w:tcPr>
            <w:tcW w:type="dxa" w:w="6750"/>
            <w:shd w:fill="FFFFFF" w:val="clear"/>
            <w:tcMar>
              <w:top w:type="dxa" w:w="80"/>
              <w:left w:type="dxa" w:w="100"/>
              <w:bottom w:type="dxa" w:w="80"/>
              <w:right w:type="dxa" w:w="100"/>
            </w:tcMar>
            <w:vAlign w:val="center"/>
          </w:tcPr>
          <w:p>
            <w:r>
              <w:rPr>
                <w:b w:val="false"/>
                <w:bCs w:val="false"/>
                <w:color w:val="000000"/>
                <w:sz w:val="20"/>
                <w:szCs w:val="20"/>
              </w:rPr>
              <w:t xml:space="preserve">The specific, per-call data — for this lab, just a reference to the applicationId your function was called with. You configure this in Part 6, after your tools exist.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This maps directly to Week 2, Day 1's three instruction layers: System prompt = your System layer; Task prompt = your User layer. The Context layer — the retrieved Ontology data — comes from the tools you'll add in Part 5, and becomes available to reference in both fields.</w:t>
            </w:r>
          </w:p>
        </w:tc>
      </w:tr>
    </w:tbl>
    <w:p>
      <w:pPr>
        <w:spacing w:after="160"/>
      </w:pPr>
    </w:p>
    <w:p>
      <w:pPr>
        <w:pStyle w:val="Heading1"/>
        <w:pBdr>
          <w:bottom w:val="single" w:color="1F3864" w:sz="6" w:space="4"/>
        </w:pBdr>
        <w:spacing w:after="200" w:before="420"/>
      </w:pPr>
      <w:r>
        <w:rPr>
          <w:b/>
          <w:bCs/>
          <w:color w:val="1F3864"/>
          <w:sz w:val="30"/>
          <w:szCs w:val="30"/>
        </w:rPr>
        <w:t xml:space="preserve">Part 4 — Write Your System Prompt</w:t>
      </w:r>
    </w:p>
    <w:p>
      <w:pPr>
        <w:spacing w:after="130"/>
      </w:pPr>
      <w:r>
        <w:rPr>
          <w:sz w:val="21"/>
          <w:szCs w:val="21"/>
        </w:rPr>
        <w:t xml:space="preserve">Write the following into the System prompt field. This is deliberately close to what a working version looks like — you're free to adjust wording, but keep every instruction below, since Parts 9–11 depend on them.</w:t>
      </w:r>
    </w:p>
    <w:p>
      <w:pPr>
        <w:spacing w:after="60" w:before="140"/>
      </w:pPr>
      <w:r>
        <w:rPr>
          <w:b/>
          <w:bCs/>
          <w:color w:val="333333"/>
          <w:sz w:val="21"/>
          <w:szCs w:val="21"/>
        </w:rPr>
        <w:t xml:space="preserve">Overview</w:t>
      </w:r>
    </w:p>
    <w:p>
      <w:pPr>
        <w:shd w:fill="162447" w:val="clear"/>
        <w:spacing w:after="20"/>
      </w:pPr>
      <w:r>
        <w:rPr>
          <w:rFonts w:ascii="Courier New" w:cs="Courier New" w:eastAsia="Courier New" w:hAnsi="Courier New"/>
          <w:color w:val="9FE6C8"/>
          <w:sz w:val="17"/>
          <w:szCs w:val="17"/>
        </w:rPr>
        <w:t xml:space="preserve">This assistant helps an underwriter understand an Insurance Application's status,</w:t>
      </w:r>
    </w:p>
    <w:p>
      <w:pPr>
        <w:shd w:fill="162447" w:val="clear"/>
        <w:spacing w:after="20"/>
      </w:pPr>
      <w:r>
        <w:rPr>
          <w:rFonts w:ascii="Courier New" w:cs="Courier New" w:eastAsia="Courier New" w:hAnsi="Courier New"/>
          <w:color w:val="9FE6C8"/>
          <w:sz w:val="17"/>
          <w:szCs w:val="17"/>
        </w:rPr>
        <w:t xml:space="preserve">flag gaps, and identify what to do next. It summarizes, flags, and</w:t>
      </w:r>
    </w:p>
    <w:p>
      <w:pPr>
        <w:shd w:fill="162447" w:val="clear"/>
        <w:spacing w:after="20"/>
      </w:pPr>
      <w:r>
        <w:rPr>
          <w:rFonts w:ascii="Courier New" w:cs="Courier New" w:eastAsia="Courier New" w:hAnsi="Courier New"/>
          <w:color w:val="9FE6C8"/>
          <w:sz w:val="17"/>
          <w:szCs w:val="17"/>
        </w:rPr>
        <w:t xml:space="preserve">recommends — it does not make a final decision, and it does not write</w:t>
      </w:r>
    </w:p>
    <w:p>
      <w:pPr>
        <w:shd w:fill="162447" w:val="clear"/>
        <w:spacing w:after="20"/>
      </w:pPr>
      <w:r>
        <w:rPr>
          <w:rFonts w:ascii="Courier New" w:cs="Courier New" w:eastAsia="Courier New" w:hAnsi="Courier New"/>
          <w:color w:val="9FE6C8"/>
          <w:sz w:val="17"/>
          <w:szCs w:val="17"/>
        </w:rPr>
        <w:t xml:space="preserve">back to the Ontology.</w:t>
      </w:r>
    </w:p>
    <w:p>
      <w:pPr>
        <w:spacing w:after="60" w:before="140"/>
      </w:pPr>
      <w:r>
        <w:rPr>
          <w:b/>
          <w:bCs/>
          <w:color w:val="333333"/>
          <w:sz w:val="21"/>
          <w:szCs w:val="21"/>
        </w:rPr>
        <w:t xml:space="preserve">Context Instruction</w:t>
      </w:r>
    </w:p>
    <w:p>
      <w:pPr>
        <w:shd w:fill="162447" w:val="clear"/>
        <w:spacing w:after="20"/>
      </w:pPr>
      <w:r>
        <w:rPr>
          <w:rFonts w:ascii="Courier New" w:cs="Courier New" w:eastAsia="Courier New" w:hAnsi="Courier New"/>
          <w:color w:val="9FE6C8"/>
          <w:sz w:val="17"/>
          <w:szCs w:val="17"/>
        </w:rPr>
        <w:t xml:space="preserve">Use the retrieved Insurance Application and Applicant and Risk Assessment data as the basis</w:t>
      </w:r>
    </w:p>
    <w:p>
      <w:pPr>
        <w:shd w:fill="162447" w:val="clear"/>
        <w:spacing w:after="20"/>
      </w:pPr>
      <w:r>
        <w:rPr>
          <w:rFonts w:ascii="Courier New" w:cs="Courier New" w:eastAsia="Courier New" w:hAnsi="Courier New"/>
          <w:color w:val="9FE6C8"/>
          <w:sz w:val="17"/>
          <w:szCs w:val="17"/>
        </w:rPr>
        <w:t xml:space="preserve">for everything you say — not general knowledge about insurance.</w:t>
      </w:r>
    </w:p>
    <w:p>
      <w:pPr>
        <w:spacing w:after="60" w:before="140"/>
      </w:pPr>
      <w:r>
        <w:rPr>
          <w:b/>
          <w:bCs/>
          <w:color w:val="333333"/>
          <w:sz w:val="21"/>
          <w:szCs w:val="21"/>
        </w:rPr>
        <w:t xml:space="preserve">History Instruction</w:t>
      </w:r>
    </w:p>
    <w:p>
      <w:pPr>
        <w:shd w:fill="162447" w:val="clear"/>
        <w:spacing w:after="20"/>
      </w:pPr>
      <w:r>
        <w:rPr>
          <w:rFonts w:ascii="Courier New" w:cs="Courier New" w:eastAsia="Courier New" w:hAnsi="Courier New"/>
          <w:color w:val="9FE6C8"/>
          <w:sz w:val="17"/>
          <w:szCs w:val="17"/>
        </w:rPr>
        <w:t xml:space="preserve">Retrieve the Rating Factors linked to this application's Risk</w:t>
      </w:r>
    </w:p>
    <w:p>
      <w:pPr>
        <w:shd w:fill="162447" w:val="clear"/>
        <w:spacing w:after="20"/>
      </w:pPr>
      <w:r>
        <w:rPr>
          <w:rFonts w:ascii="Courier New" w:cs="Courier New" w:eastAsia="Courier New" w:hAnsi="Courier New"/>
          <w:color w:val="9FE6C8"/>
          <w:sz w:val="17"/>
          <w:szCs w:val="17"/>
        </w:rPr>
        <w:t xml:space="preserve">Assessment and consider them when forming your summary — they are</w:t>
      </w:r>
    </w:p>
    <w:p>
      <w:pPr>
        <w:shd w:fill="162447" w:val="clear"/>
        <w:spacing w:after="20"/>
      </w:pPr>
      <w:r>
        <w:rPr>
          <w:rFonts w:ascii="Courier New" w:cs="Courier New" w:eastAsia="Courier New" w:hAnsi="Courier New"/>
          <w:color w:val="9FE6C8"/>
          <w:sz w:val="17"/>
          <w:szCs w:val="17"/>
        </w:rPr>
        <w:t xml:space="preserve">the specific signals behind the risk score, not just a number on its</w:t>
      </w:r>
    </w:p>
    <w:p>
      <w:pPr>
        <w:shd w:fill="162447" w:val="clear"/>
        <w:spacing w:after="20"/>
      </w:pPr>
      <w:r>
        <w:rPr>
          <w:rFonts w:ascii="Courier New" w:cs="Courier New" w:eastAsia="Courier New" w:hAnsi="Courier New"/>
          <w:color w:val="9FE6C8"/>
          <w:sz w:val="17"/>
          <w:szCs w:val="17"/>
        </w:rPr>
        <w:t xml:space="preserve">own.</w:t>
      </w:r>
    </w:p>
    <w:p>
      <w:pPr>
        <w:spacing w:after="60" w:before="140"/>
      </w:pPr>
      <w:r>
        <w:rPr>
          <w:b/>
          <w:bCs/>
          <w:color w:val="333333"/>
          <w:sz w:val="21"/>
          <w:szCs w:val="21"/>
        </w:rPr>
        <w:t xml:space="preserve">Validation Instruction</w:t>
      </w:r>
    </w:p>
    <w:p>
      <w:pPr>
        <w:shd w:fill="162447" w:val="clear"/>
        <w:spacing w:after="20"/>
      </w:pPr>
      <w:r>
        <w:rPr>
          <w:rFonts w:ascii="Courier New" w:cs="Courier New" w:eastAsia="Courier New" w:hAnsi="Courier New"/>
          <w:color w:val="9FE6C8"/>
          <w:sz w:val="17"/>
          <w:szCs w:val="17"/>
        </w:rPr>
        <w:t xml:space="preserve">Confirm a Risk Assessment exists for this Insurance Application, and</w:t>
      </w:r>
    </w:p>
    <w:p>
      <w:pPr>
        <w:shd w:fill="162447" w:val="clear"/>
        <w:spacing w:after="20"/>
      </w:pPr>
      <w:r>
        <w:rPr>
          <w:rFonts w:ascii="Courier New" w:cs="Courier New" w:eastAsia="Courier New" w:hAnsi="Courier New"/>
          <w:color w:val="9FE6C8"/>
          <w:sz w:val="17"/>
          <w:szCs w:val="17"/>
        </w:rPr>
        <w:t xml:space="preserve">that it has at least one linked Rating Factor. Perform this</w:t>
      </w:r>
    </w:p>
    <w:p>
      <w:pPr>
        <w:shd w:fill="162447" w:val="clear"/>
        <w:spacing w:after="20"/>
      </w:pPr>
      <w:r>
        <w:rPr>
          <w:rFonts w:ascii="Courier New" w:cs="Courier New" w:eastAsia="Courier New" w:hAnsi="Courier New"/>
          <w:color w:val="9FE6C8"/>
          <w:sz w:val="17"/>
          <w:szCs w:val="17"/>
        </w:rPr>
        <w:t xml:space="preserve">validation explicitly and state the result — do not skip silently to</w:t>
      </w:r>
    </w:p>
    <w:p>
      <w:pPr>
        <w:shd w:fill="162447" w:val="clear"/>
        <w:spacing w:after="20"/>
      </w:pPr>
      <w:r>
        <w:rPr>
          <w:rFonts w:ascii="Courier New" w:cs="Courier New" w:eastAsia="Courier New" w:hAnsi="Courier New"/>
          <w:color w:val="9FE6C8"/>
          <w:sz w:val="17"/>
          <w:szCs w:val="17"/>
        </w:rPr>
        <w:t xml:space="preserve">the summary without validating first.</w:t>
      </w:r>
    </w:p>
    <w:p>
      <w:pPr>
        <w:spacing w:after="60" w:before="140"/>
      </w:pPr>
      <w:r>
        <w:rPr>
          <w:b/>
          <w:bCs/>
          <w:color w:val="333333"/>
          <w:sz w:val="21"/>
          <w:szCs w:val="21"/>
        </w:rPr>
        <w:t xml:space="preserve">Summarization, Gaps &amp; Risk Instruction</w:t>
      </w:r>
    </w:p>
    <w:p>
      <w:pPr>
        <w:shd w:fill="162447" w:val="clear"/>
        <w:spacing w:after="20"/>
      </w:pPr>
      <w:r>
        <w:rPr>
          <w:rFonts w:ascii="Courier New" w:cs="Courier New" w:eastAsia="Courier New" w:hAnsi="Courier New"/>
          <w:color w:val="9FE6C8"/>
          <w:sz w:val="17"/>
          <w:szCs w:val="17"/>
        </w:rPr>
        <w:t xml:space="preserve">Summarize the Insurance Application clearly and concisely, grounded</w:t>
      </w:r>
    </w:p>
    <w:p>
      <w:pPr>
        <w:shd w:fill="162447" w:val="clear"/>
        <w:spacing w:after="20"/>
      </w:pPr>
      <w:r>
        <w:rPr>
          <w:rFonts w:ascii="Courier New" w:cs="Courier New" w:eastAsia="Courier New" w:hAnsi="Courier New"/>
          <w:color w:val="9FE6C8"/>
          <w:sz w:val="17"/>
          <w:szCs w:val="17"/>
        </w:rPr>
        <w:t xml:space="preserve">in the retrieved data. Identify missing information, specifically</w:t>
      </w:r>
    </w:p>
    <w:p>
      <w:pPr>
        <w:shd w:fill="162447" w:val="clear"/>
        <w:spacing w:after="20"/>
      </w:pPr>
      <w:r>
        <w:rPr>
          <w:rFonts w:ascii="Courier New" w:cs="Courier New" w:eastAsia="Courier New" w:hAnsi="Courier New"/>
          <w:color w:val="9FE6C8"/>
          <w:sz w:val="17"/>
          <w:szCs w:val="17"/>
        </w:rPr>
        <w:t xml:space="preserve">whether expected Rating Factors are present (e.g., no CreditSignal</w:t>
      </w:r>
    </w:p>
    <w:p>
      <w:pPr>
        <w:shd w:fill="162447" w:val="clear"/>
        <w:spacing w:after="20"/>
      </w:pPr>
      <w:r>
        <w:rPr>
          <w:rFonts w:ascii="Courier New" w:cs="Courier New" w:eastAsia="Courier New" w:hAnsi="Courier New"/>
          <w:color w:val="9FE6C8"/>
          <w:sz w:val="17"/>
          <w:szCs w:val="17"/>
        </w:rPr>
        <w:t xml:space="preserve">or PriorClaimsHistory factor recorded). Identify risk factors,</w:t>
      </w:r>
    </w:p>
    <w:p>
      <w:pPr>
        <w:shd w:fill="162447" w:val="clear"/>
        <w:spacing w:after="20"/>
      </w:pPr>
      <w:r>
        <w:rPr>
          <w:rFonts w:ascii="Courier New" w:cs="Courier New" w:eastAsia="Courier New" w:hAnsi="Courier New"/>
          <w:color w:val="9FE6C8"/>
          <w:sz w:val="17"/>
          <w:szCs w:val="17"/>
        </w:rPr>
        <w:t xml:space="preserve">referencing riskScore, riskCategory, and the individual Rating</w:t>
      </w:r>
    </w:p>
    <w:p>
      <w:pPr>
        <w:shd w:fill="162447" w:val="clear"/>
        <w:spacing w:after="20"/>
      </w:pPr>
      <w:r>
        <w:rPr>
          <w:rFonts w:ascii="Courier New" w:cs="Courier New" w:eastAsia="Courier New" w:hAnsi="Courier New"/>
          <w:color w:val="9FE6C8"/>
          <w:sz w:val="17"/>
          <w:szCs w:val="17"/>
        </w:rPr>
        <w:t xml:space="preserve">Factor values.</w:t>
      </w:r>
    </w:p>
    <w:p>
      <w:pPr>
        <w:spacing w:after="60" w:before="140"/>
      </w:pPr>
      <w:r>
        <w:rPr>
          <w:b/>
          <w:bCs/>
          <w:color w:val="333333"/>
          <w:sz w:val="21"/>
          <w:szCs w:val="21"/>
        </w:rPr>
        <w:t xml:space="preserve">Recommendation &amp; Grounding Instruction</w:t>
      </w:r>
    </w:p>
    <w:p>
      <w:pPr>
        <w:shd w:fill="162447" w:val="clear"/>
        <w:spacing w:after="20"/>
      </w:pPr>
      <w:r>
        <w:rPr>
          <w:rFonts w:ascii="Courier New" w:cs="Courier New" w:eastAsia="Courier New" w:hAnsi="Courier New"/>
          <w:color w:val="9FE6C8"/>
          <w:sz w:val="17"/>
          <w:szCs w:val="17"/>
        </w:rPr>
        <w:t xml:space="preserve">Recommend a decision path — e.g., approve, decline, or refer to a</w:t>
      </w:r>
    </w:p>
    <w:p>
      <w:pPr>
        <w:shd w:fill="162447" w:val="clear"/>
        <w:spacing w:after="20"/>
      </w:pPr>
      <w:r>
        <w:rPr>
          <w:rFonts w:ascii="Courier New" w:cs="Courier New" w:eastAsia="Courier New" w:hAnsi="Courier New"/>
          <w:color w:val="9FE6C8"/>
          <w:sz w:val="17"/>
          <w:szCs w:val="17"/>
        </w:rPr>
        <w:t xml:space="preserve">senior Underwriter. For every claim the response makes, cite which</w:t>
      </w:r>
    </w:p>
    <w:p>
      <w:pPr>
        <w:shd w:fill="162447" w:val="clear"/>
        <w:spacing w:after="20"/>
      </w:pPr>
      <w:r>
        <w:rPr>
          <w:rFonts w:ascii="Courier New" w:cs="Courier New" w:eastAsia="Courier New" w:hAnsi="Courier New"/>
          <w:color w:val="9FE6C8"/>
          <w:sz w:val="17"/>
          <w:szCs w:val="17"/>
        </w:rPr>
        <w:t xml:space="preserve">specific object and property it came from — this is what “grounded</w:t>
      </w:r>
    </w:p>
    <w:p>
      <w:pPr>
        <w:shd w:fill="162447" w:val="clear"/>
        <w:spacing w:after="20"/>
      </w:pPr>
      <w:r>
        <w:rPr>
          <w:rFonts w:ascii="Courier New" w:cs="Courier New" w:eastAsia="Courier New" w:hAnsi="Courier New"/>
          <w:color w:val="9FE6C8"/>
          <w:sz w:val="17"/>
          <w:szCs w:val="17"/>
        </w:rPr>
        <w:t xml:space="preserve">references” means. A statement with no traceable source should not</w:t>
      </w:r>
    </w:p>
    <w:p>
      <w:pPr>
        <w:shd w:fill="162447" w:val="clear"/>
        <w:spacing w:after="20"/>
      </w:pPr>
      <w:r>
        <w:rPr>
          <w:rFonts w:ascii="Courier New" w:cs="Courier New" w:eastAsia="Courier New" w:hAnsi="Courier New"/>
          <w:color w:val="9FE6C8"/>
          <w:sz w:val="17"/>
          <w:szCs w:val="17"/>
        </w:rPr>
        <w:t xml:space="preserve">appear in the output at 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System prompt contains all six instruction blocks above, in your own words if you've adjusted them, covering: overview, context, history, validation, summarization/gaps/risk, and recommendation/grounding.</w:t>
            </w:r>
          </w:p>
        </w:tc>
      </w:tr>
    </w:tbl>
    <w:p>
      <w:pPr>
        <w:spacing w:after="160"/>
      </w:pPr>
    </w:p>
    <w:p>
      <w:pPr>
        <w:pStyle w:val="Heading1"/>
        <w:pBdr>
          <w:bottom w:val="single" w:color="1F3864" w:sz="6" w:space="4"/>
        </w:pBdr>
        <w:spacing w:after="200" w:before="420"/>
      </w:pPr>
      <w:r>
        <w:rPr>
          <w:b/>
          <w:bCs/>
          <w:color w:val="1F3864"/>
          <w:sz w:val="30"/>
          <w:szCs w:val="30"/>
        </w:rPr>
        <w:t xml:space="preserve">Part 5 — Configure Your Query Tool</w:t>
      </w:r>
    </w:p>
    <w:p>
      <w:pPr>
        <w:spacing w:after="130"/>
      </w:pPr>
      <w:r>
        <w:rPr>
          <w:sz w:val="21"/>
          <w:szCs w:val="21"/>
        </w:rPr>
        <w:t xml:space="preserve">This is how your Copilot actually reads the Ontology. In AIP Logic, this is called a Query tool, and one Query tool can cover more than one Object Type — you don't need a separate tool per object.</w:t>
      </w:r>
    </w:p>
    <w:p>
      <w:pPr>
        <w:pStyle w:val="Heading2"/>
        <w:spacing w:after="100" w:before="240"/>
      </w:pPr>
      <w:r>
        <w:rPr>
          <w:b/>
          <w:bCs/>
          <w:color w:val="2E8B8B"/>
          <w:sz w:val="23"/>
          <w:szCs w:val="23"/>
        </w:rPr>
        <w:t xml:space="preserve">Step 1: Add the tool</w:t>
      </w:r>
    </w:p>
    <w:p>
      <w:pPr>
        <w:pStyle w:val="ListParagraph"/>
        <w:numPr>
          <w:ilvl w:val="0"/>
          <w:numId w:val="3"/>
        </w:numPr>
        <w:spacing w:after="90"/>
      </w:pPr>
      <w:r>
        <w:rPr>
          <w:sz w:val="21"/>
          <w:szCs w:val="21"/>
        </w:rPr>
        <w:t xml:space="preserve">In the Tools section below your prompt, select + Add tool.</w:t>
      </w:r>
    </w:p>
    <w:p>
      <w:pPr>
        <w:pStyle w:val="ListParagraph"/>
        <w:numPr>
          <w:ilvl w:val="0"/>
          <w:numId w:val="3"/>
        </w:numPr>
        <w:spacing w:after="90"/>
      </w:pPr>
      <w:r>
        <w:rPr>
          <w:sz w:val="21"/>
          <w:szCs w:val="21"/>
        </w:rPr>
        <w:t xml:space="preserve">Name it Query, or leave the default name.</w:t>
      </w:r>
    </w:p>
    <w:p>
      <w:pPr>
        <w:pStyle w:val="Heading2"/>
        <w:spacing w:after="100" w:before="240"/>
      </w:pPr>
      <w:r>
        <w:rPr>
          <w:b/>
          <w:bCs/>
          <w:color w:val="2E8B8B"/>
          <w:sz w:val="23"/>
          <w:szCs w:val="23"/>
        </w:rPr>
        <w:t xml:space="preserve">Step 2: Select your Object Types</w:t>
      </w:r>
    </w:p>
    <w:p>
      <w:pPr>
        <w:pStyle w:val="ListParagraph"/>
        <w:numPr>
          <w:ilvl w:val="0"/>
          <w:numId w:val="3"/>
        </w:numPr>
        <w:spacing w:after="90"/>
      </w:pPr>
      <w:r>
        <w:rPr>
          <w:sz w:val="21"/>
          <w:szCs w:val="21"/>
        </w:rPr>
        <w:t xml:space="preserve">Add Insurance Application as the first object type this tool can query.</w:t>
      </w:r>
    </w:p>
    <w:p>
      <w:pPr>
        <w:pStyle w:val="ListParagraph"/>
        <w:numPr>
          <w:ilvl w:val="0"/>
          <w:numId w:val="3"/>
        </w:numPr>
        <w:spacing w:after="90"/>
      </w:pPr>
      <w:r>
        <w:rPr>
          <w:sz w:val="21"/>
          <w:szCs w:val="21"/>
        </w:rPr>
        <w:t xml:space="preserve">Add Applicant as the second object type.</w:t>
      </w:r>
    </w:p>
    <w:p>
      <w:pPr>
        <w:pStyle w:val="ListParagraph"/>
        <w:numPr>
          <w:ilvl w:val="0"/>
          <w:numId w:val="3"/>
        </w:numPr>
        <w:spacing w:after="90"/>
      </w:pPr>
      <w:r>
        <w:rPr>
          <w:sz w:val="21"/>
          <w:szCs w:val="21"/>
        </w:rPr>
        <w:t xml:space="preserve">Add Risk Assessment as the third object type.</w:t>
      </w:r>
    </w:p>
    <w:p>
      <w:pPr>
        <w:pStyle w:val="Heading2"/>
        <w:spacing w:after="100" w:before="240"/>
      </w:pPr>
      <w:r>
        <w:rPr>
          <w:b/>
          <w:bCs/>
          <w:color w:val="2E8B8B"/>
          <w:sz w:val="23"/>
          <w:szCs w:val="23"/>
        </w:rPr>
        <w:t xml:space="preserve">Step 3: Choose the query mode</w:t>
      </w:r>
    </w:p>
    <w:p>
      <w:pPr>
        <w:pStyle w:val="ListParagraph"/>
        <w:numPr>
          <w:ilvl w:val="0"/>
          <w:numId w:val="3"/>
        </w:numPr>
        <w:spacing w:after="90"/>
      </w:pPr>
      <w:r>
        <w:rPr>
          <w:sz w:val="21"/>
          <w:szCs w:val="21"/>
        </w:rPr>
        <w:t xml:space="preserve">Set the mode dropdown to Ontology SQL. This lets the LLM write SQL-like queries across Insurance Application, Applicant, and Risk Assessment — including the Rating Factor traversal your Part 4 history instruction needs. You don't need a second, separate tool for history — one Query tool with SQL access does both jobs.</w:t>
      </w:r>
    </w:p>
    <w:p>
      <w:pPr>
        <w:pStyle w:val="ListParagraph"/>
        <w:numPr>
          <w:ilvl w:val="0"/>
          <w:numId w:val="3"/>
        </w:numPr>
        <w:spacing w:after="90"/>
      </w:pPr>
      <w:r>
        <w:rPr>
          <w:sz w:val="21"/>
          <w:szCs w:val="21"/>
        </w:rPr>
        <w:t xml:space="preserve">Optionally, select Configure OSQL row limits if you want to cap how many rows a single query can return — leave the default for now.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LLMs never touch your data directly. The LLM can only ask to use a tool; AIP Logic executes the tool call on the LLM's behalf, and only within the calling user's own permissions. Remember this exact mechanic — it's what makes Part 10's refusal test actually work, not just a prompt instruction hoping the model behaves.</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Query tool lists all three object types (Insurance Application, Applicant, and Risk Assessment), set to Ontology SQL mode.</w:t>
            </w:r>
          </w:p>
        </w:tc>
      </w:tr>
    </w:tbl>
    <w:p>
      <w:pPr>
        <w:spacing w:after="160"/>
      </w:pPr>
    </w:p>
    <w:p>
      <w:pPr>
        <w:pStyle w:val="Heading1"/>
        <w:pBdr>
          <w:bottom w:val="single" w:color="1F3864" w:sz="6" w:space="4"/>
        </w:pBdr>
        <w:spacing w:after="200" w:before="420"/>
      </w:pPr>
      <w:r>
        <w:rPr>
          <w:b/>
          <w:bCs/>
          <w:color w:val="1F3864"/>
          <w:sz w:val="30"/>
          <w:szCs w:val="30"/>
        </w:rPr>
        <w:t xml:space="preserve">Part 6 — Write Your Task Prompt</w:t>
      </w:r>
    </w:p>
    <w:p>
      <w:pPr>
        <w:pStyle w:val="ListParagraph"/>
        <w:numPr>
          <w:ilvl w:val="0"/>
          <w:numId w:val="3"/>
        </w:numPr>
        <w:spacing w:after="90"/>
      </w:pPr>
      <w:r>
        <w:rPr>
          <w:sz w:val="21"/>
          <w:szCs w:val="21"/>
        </w:rPr>
        <w:t xml:space="preserve">Scroll to the Task prompt field, below your Tools section.</w:t>
      </w:r>
    </w:p>
    <w:p>
      <w:pPr>
        <w:pStyle w:val="ListParagraph"/>
        <w:numPr>
          <w:ilvl w:val="0"/>
          <w:numId w:val="3"/>
        </w:numPr>
        <w:spacing w:after="90"/>
      </w:pPr>
      <w:r>
        <w:rPr>
          <w:sz w:val="21"/>
          <w:szCs w:val="21"/>
        </w:rPr>
        <w:t xml:space="preserve">Type a forward slash “/” — a variable picker will appear.</w:t>
      </w:r>
    </w:p>
    <w:p>
      <w:pPr>
        <w:pStyle w:val="ListParagraph"/>
        <w:numPr>
          <w:ilvl w:val="0"/>
          <w:numId w:val="3"/>
        </w:numPr>
        <w:spacing w:after="90"/>
      </w:pPr>
      <w:r>
        <w:rPr>
          <w:sz w:val="21"/>
          <w:szCs w:val="21"/>
        </w:rPr>
        <w:t xml:space="preserve">Select applicationId from the list.</w:t>
      </w:r>
    </w:p>
    <w:p>
      <w:pPr>
        <w:spacing w:after="130"/>
      </w:pPr>
      <w:r>
        <w:rPr>
          <w:sz w:val="21"/>
          <w:szCs w:val="21"/>
        </w:rPr>
        <w:t xml:space="preserve">Your Task prompt should now show a small applicationId chip — this is the only thing that needs to be in this field. It's what makes each call to your Copilot specific to one insurance application, while your System prompt stays fixed.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Task prompt field contains only the applicationId variable chip.</w:t>
            </w:r>
          </w:p>
        </w:tc>
      </w:tr>
    </w:tbl>
    <w:p>
      <w:pPr>
        <w:spacing w:after="160"/>
      </w:pPr>
    </w:p>
    <w:p>
      <w:pPr>
        <w:pStyle w:val="Heading1"/>
        <w:pBdr>
          <w:bottom w:val="single" w:color="1F3864" w:sz="6" w:space="4"/>
        </w:pBdr>
        <w:spacing w:after="200" w:before="420"/>
      </w:pPr>
      <w:r>
        <w:rPr>
          <w:b/>
          <w:bCs/>
          <w:color w:val="1F3864"/>
          <w:sz w:val="30"/>
          <w:szCs w:val="30"/>
        </w:rPr>
        <w:t xml:space="preserve">Part 7 — Configure Structured Output</w:t>
      </w:r>
    </w:p>
    <w:p>
      <w:pPr>
        <w:spacing w:after="130"/>
      </w:pPr>
      <w:r>
        <w:rPr>
          <w:sz w:val="21"/>
          <w:szCs w:val="21"/>
        </w:rPr>
        <w:t xml:space="preserve">AIP Logic's structured output has three modes, and the choice matters.</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5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Mode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How It Works</w:t>
            </w:r>
          </w:p>
        </w:tc>
        <w:tc>
          <w:tcPr>
            <w:tcW w:type="dxa" w:w="3350"/>
            <w:shd w:fill="1F3864" w:val="clear"/>
            <w:tcMar>
              <w:top w:type="dxa" w:w="80"/>
              <w:left w:type="dxa" w:w="100"/>
              <w:bottom w:type="dxa" w:w="80"/>
              <w:right w:type="dxa" w:w="100"/>
            </w:tcMar>
            <w:vAlign w:val="center"/>
          </w:tcPr>
          <w:p>
            <w:r>
              <w:rPr>
                <w:b/>
                <w:bCs/>
                <w:color w:val="FFFFFF"/>
                <w:sz w:val="20"/>
                <w:szCs w:val="20"/>
              </w:rPr>
              <w:t xml:space="preserve">When to Use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Prompt only</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Instructions added to the system prompt asking for the output type; corrections issued for non-conforming output</w:t>
            </w:r>
          </w:p>
        </w:tc>
        <w:tc>
          <w:tcPr>
            <w:tcW w:type="dxa" w:w="3350"/>
            <w:shd w:fill="F2F2F2" w:val="clear"/>
            <w:tcMar>
              <w:top w:type="dxa" w:w="80"/>
              <w:left w:type="dxa" w:w="100"/>
              <w:bottom w:type="dxa" w:w="80"/>
              <w:right w:type="dxa" w:w="100"/>
            </w:tcMar>
            <w:vAlign w:val="center"/>
          </w:tcPr>
          <w:p>
            <w:r>
              <w:rPr>
                <w:b w:val="false"/>
                <w:bCs w:val="false"/>
                <w:color w:val="000000"/>
                <w:sz w:val="20"/>
                <w:szCs w:val="20"/>
              </w:rPr>
              <w:t xml:space="preserve">Rarely — least reliable</w:t>
            </w:r>
          </w:p>
        </w:tc>
      </w:tr>
      <w:tr>
        <w:tc>
          <w:tcPr>
            <w:tcW w:type="dxa" w:w="2200"/>
            <w:shd w:fill="FFFFFF" w:val="clear"/>
            <w:tcMar>
              <w:top w:type="dxa" w:w="80"/>
              <w:left w:type="dxa" w:w="100"/>
              <w:bottom w:type="dxa" w:w="80"/>
              <w:right w:type="dxa" w:w="100"/>
            </w:tcMar>
            <w:vAlign w:val="center"/>
          </w:tcPr>
          <w:p>
            <w:r>
              <w:rPr>
                <w:b w:val="false"/>
                <w:bCs w:val="false"/>
                <w:color w:val="000000"/>
                <w:sz w:val="20"/>
                <w:szCs w:val="20"/>
              </w:rPr>
              <w:t xml:space="preserve">Non-strict</w:t>
            </w:r>
          </w:p>
        </w:tc>
        <w:tc>
          <w:tcPr>
            <w:tcW w:type="dxa" w:w="3200"/>
            <w:shd w:fill="FFFFFF" w:val="clear"/>
            <w:tcMar>
              <w:top w:type="dxa" w:w="80"/>
              <w:left w:type="dxa" w:w="100"/>
              <w:bottom w:type="dxa" w:w="80"/>
              <w:right w:type="dxa" w:w="100"/>
            </w:tcMar>
            <w:vAlign w:val="center"/>
          </w:tcPr>
          <w:p>
            <w:r>
              <w:rPr>
                <w:b w:val="false"/>
                <w:bCs w:val="false"/>
                <w:color w:val="000000"/>
                <w:sz w:val="20"/>
                <w:szCs w:val="20"/>
              </w:rPr>
              <w:t xml:space="preserve">A JSON Schema is sent to the model; corrections issued for non-conforming output</w:t>
            </w:r>
          </w:p>
        </w:tc>
        <w:tc>
          <w:tcPr>
            <w:tcW w:type="dxa" w:w="3350"/>
            <w:shd w:fill="FFFFFF" w:val="clear"/>
            <w:tcMar>
              <w:top w:type="dxa" w:w="80"/>
              <w:left w:type="dxa" w:w="100"/>
              <w:bottom w:type="dxa" w:w="80"/>
              <w:right w:type="dxa" w:w="100"/>
            </w:tcMar>
            <w:vAlign w:val="center"/>
          </w:tcPr>
          <w:p>
            <w:r>
              <w:rPr>
                <w:b w:val="false"/>
                <w:bCs w:val="false"/>
                <w:color w:val="000000"/>
                <w:sz w:val="20"/>
                <w:szCs w:val="20"/>
              </w:rPr>
              <w:t xml:space="preserve">When Strict isn't supported by your chosen model</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Strict (Recommended)</w:t>
            </w:r>
          </w:p>
        </w:tc>
        <w:tc>
          <w:tcPr>
            <w:tcW w:type="dxa" w:w="3200"/>
            <w:shd w:fill="F2F2F2" w:val="clear"/>
            <w:tcMar>
              <w:top w:type="dxa" w:w="80"/>
              <w:left w:type="dxa" w:w="100"/>
              <w:bottom w:type="dxa" w:w="80"/>
              <w:right w:type="dxa" w:w="100"/>
            </w:tcMar>
            <w:vAlign w:val="center"/>
          </w:tcPr>
          <w:p>
            <w:r>
              <w:rPr>
                <w:b w:val="false"/>
                <w:bCs w:val="false"/>
                <w:color w:val="000000"/>
                <w:sz w:val="20"/>
                <w:szCs w:val="20"/>
              </w:rPr>
              <w:t xml:space="preserve">A JSON Schema is sent to the model; controlled generation guarantees the specified output type</w:t>
            </w:r>
          </w:p>
        </w:tc>
        <w:tc>
          <w:tcPr>
            <w:tcW w:type="dxa" w:w="3350"/>
            <w:shd w:fill="F2F2F2" w:val="clear"/>
            <w:tcMar>
              <w:top w:type="dxa" w:w="80"/>
              <w:left w:type="dxa" w:w="100"/>
              <w:bottom w:type="dxa" w:w="80"/>
              <w:right w:type="dxa" w:w="100"/>
            </w:tcMar>
            <w:vAlign w:val="center"/>
          </w:tcPr>
          <w:p>
            <w:r>
              <w:rPr>
                <w:b w:val="false"/>
                <w:bCs w:val="false"/>
                <w:color w:val="000000"/>
                <w:sz w:val="20"/>
                <w:szCs w:val="20"/>
              </w:rPr>
              <w:t xml:space="preserve">Use this for your Copilot</w:t>
            </w:r>
          </w:p>
        </w:tc>
      </w:tr>
    </w:tbl>
    <w:p>
      <w:pPr>
        <w:pStyle w:val="Heading2"/>
        <w:spacing w:after="100" w:before="240"/>
      </w:pPr>
      <w:r>
        <w:rPr>
          <w:b/>
          <w:bCs/>
          <w:color w:val="2E8B8B"/>
          <w:sz w:val="23"/>
          <w:szCs w:val="23"/>
        </w:rPr>
        <w:t xml:space="preserve">Step 1: Define your output fields</w:t>
      </w:r>
    </w:p>
    <w:p>
      <w:pPr>
        <w:pStyle w:val="ListParagraph"/>
        <w:numPr>
          <w:ilvl w:val="0"/>
          <w:numId w:val="3"/>
        </w:numPr>
        <w:spacing w:after="90"/>
      </w:pPr>
      <w:r>
        <w:rPr>
          <w:sz w:val="21"/>
          <w:szCs w:val="21"/>
        </w:rPr>
        <w:t xml:space="preserve">In the Output section of your Use LLM block, define a Struct with these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21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485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applicationSummary</w:t>
            </w:r>
          </w:p>
        </w:tc>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850"/>
            <w:shd w:fill="F2F2F2" w:val="clear"/>
            <w:tcMar>
              <w:top w:type="dxa" w:w="80"/>
              <w:left w:type="dxa" w:w="100"/>
              <w:bottom w:type="dxa" w:w="80"/>
              <w:right w:type="dxa" w:w="100"/>
            </w:tcMar>
            <w:vAlign w:val="center"/>
          </w:tcPr>
          <w:p>
            <w:r>
              <w:rPr>
                <w:b w:val="false"/>
                <w:bCs w:val="false"/>
                <w:color w:val="000000"/>
                <w:sz w:val="20"/>
                <w:szCs w:val="20"/>
              </w:rPr>
              <w:t xml:space="preserve">A concise summary of the application and applicant</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missingInformation</w:t>
            </w:r>
          </w:p>
        </w:tc>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Array of String</w:t>
            </w:r>
          </w:p>
        </w:tc>
        <w:tc>
          <w:tcPr>
            <w:tcW w:type="dxa" w:w="4850"/>
            <w:shd w:fill="FFFFFF" w:val="clear"/>
            <w:tcMar>
              <w:top w:type="dxa" w:w="80"/>
              <w:left w:type="dxa" w:w="100"/>
              <w:bottom w:type="dxa" w:w="80"/>
              <w:right w:type="dxa" w:w="100"/>
            </w:tcMar>
            <w:vAlign w:val="center"/>
          </w:tcPr>
          <w:p>
            <w:r>
              <w:rPr>
                <w:b w:val="false"/>
                <w:bCs w:val="false"/>
                <w:color w:val="000000"/>
                <w:sz w:val="20"/>
                <w:szCs w:val="20"/>
              </w:rPr>
              <w:t xml:space="preserve">Missing rating factors or incomplete risk data</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riskFactors</w:t>
            </w:r>
          </w:p>
        </w:tc>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Array of String</w:t>
            </w:r>
          </w:p>
        </w:tc>
        <w:tc>
          <w:tcPr>
            <w:tcW w:type="dxa" w:w="4850"/>
            <w:shd w:fill="F2F2F2" w:val="clear"/>
            <w:tcMar>
              <w:top w:type="dxa" w:w="80"/>
              <w:left w:type="dxa" w:w="100"/>
              <w:bottom w:type="dxa" w:w="80"/>
              <w:right w:type="dxa" w:w="100"/>
            </w:tcMar>
            <w:vAlign w:val="center"/>
          </w:tcPr>
          <w:p>
            <w:r>
              <w:rPr>
                <w:b w:val="false"/>
                <w:bCs w:val="false"/>
                <w:color w:val="000000"/>
                <w:sz w:val="20"/>
                <w:szCs w:val="20"/>
              </w:rPr>
              <w:t xml:space="preserve">Risk signals identified, referencing riskScore and specific Rating Factors</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recommendedDecisionPath</w:t>
            </w:r>
          </w:p>
        </w:tc>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850"/>
            <w:shd w:fill="FFFFFF" w:val="clear"/>
            <w:tcMar>
              <w:top w:type="dxa" w:w="80"/>
              <w:left w:type="dxa" w:w="100"/>
              <w:bottom w:type="dxa" w:w="80"/>
              <w:right w:type="dxa" w:w="100"/>
            </w:tcMar>
            <w:vAlign w:val="center"/>
          </w:tcPr>
          <w:p>
            <w:r>
              <w:rPr>
                <w:b w:val="false"/>
                <w:bCs w:val="false"/>
                <w:color w:val="000000"/>
                <w:sz w:val="20"/>
                <w:szCs w:val="20"/>
              </w:rPr>
              <w:t xml:space="preserve">The suggested decision path — never a final, binding decision</w:t>
            </w:r>
          </w:p>
        </w:tc>
      </w:tr>
      <w:tr>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groundedReferences</w:t>
            </w:r>
          </w:p>
        </w:tc>
        <w:tc>
          <w:tcPr>
            <w:tcW w:type="dxa" w:w="2100"/>
            <w:shd w:fill="F2F2F2" w:val="clear"/>
            <w:tcMar>
              <w:top w:type="dxa" w:w="80"/>
              <w:left w:type="dxa" w:w="100"/>
              <w:bottom w:type="dxa" w:w="80"/>
              <w:right w:type="dxa" w:w="100"/>
            </w:tcMar>
            <w:vAlign w:val="center"/>
          </w:tcPr>
          <w:p>
            <w:r>
              <w:rPr>
                <w:b w:val="false"/>
                <w:bCs w:val="false"/>
                <w:color w:val="000000"/>
                <w:sz w:val="20"/>
                <w:szCs w:val="20"/>
              </w:rPr>
              <w:t xml:space="preserve">Array of String</w:t>
            </w:r>
          </w:p>
        </w:tc>
        <w:tc>
          <w:tcPr>
            <w:tcW w:type="dxa" w:w="4850"/>
            <w:shd w:fill="F2F2F2" w:val="clear"/>
            <w:tcMar>
              <w:top w:type="dxa" w:w="80"/>
              <w:left w:type="dxa" w:w="100"/>
              <w:bottom w:type="dxa" w:w="80"/>
              <w:right w:type="dxa" w:w="100"/>
            </w:tcMar>
            <w:vAlign w:val="center"/>
          </w:tcPr>
          <w:p>
            <w:r>
              <w:rPr>
                <w:b w:val="false"/>
                <w:bCs w:val="false"/>
                <w:color w:val="000000"/>
                <w:sz w:val="20"/>
                <w:szCs w:val="20"/>
              </w:rPr>
              <w:t xml:space="preserve">The specific objects/properties the summary was built from</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confidenceLevel</w:t>
            </w:r>
          </w:p>
        </w:tc>
        <w:tc>
          <w:tcPr>
            <w:tcW w:type="dxa" w:w="2100"/>
            <w:shd w:fill="FFFFFF" w:val="clear"/>
            <w:tcMar>
              <w:top w:type="dxa" w:w="80"/>
              <w:left w:type="dxa" w:w="100"/>
              <w:bottom w:type="dxa" w:w="80"/>
              <w:right w:type="dxa" w:w="100"/>
            </w:tcMar>
            <w:vAlign w:val="center"/>
          </w:tcPr>
          <w:p>
            <w:r>
              <w:rPr>
                <w:b w:val="false"/>
                <w:bCs w:val="false"/>
                <w:color w:val="000000"/>
                <w:sz w:val="20"/>
                <w:szCs w:val="20"/>
              </w:rPr>
              <w:t xml:space="preserve">String</w:t>
            </w:r>
          </w:p>
        </w:tc>
        <w:tc>
          <w:tcPr>
            <w:tcW w:type="dxa" w:w="4850"/>
            <w:shd w:fill="FFFFFF" w:val="clear"/>
            <w:tcMar>
              <w:top w:type="dxa" w:w="80"/>
              <w:left w:type="dxa" w:w="100"/>
              <w:bottom w:type="dxa" w:w="80"/>
              <w:right w:type="dxa" w:w="100"/>
            </w:tcMar>
            <w:vAlign w:val="center"/>
          </w:tcPr>
          <w:p>
            <w:r>
              <w:rPr>
                <w:b w:val="false"/>
                <w:bCs w:val="false"/>
                <w:color w:val="000000"/>
                <w:sz w:val="20"/>
                <w:szCs w:val="20"/>
              </w:rPr>
              <w:t xml:space="preserve">High / Medium / Low — used to trigger escalation in Part 11</w:t>
            </w:r>
          </w:p>
        </w:tc>
      </w:tr>
    </w:tbl>
    <w:p>
      <w:pPr>
        <w:pStyle w:val="Heading2"/>
        <w:spacing w:after="100" w:before="240"/>
      </w:pPr>
      <w:r>
        <w:rPr>
          <w:b/>
          <w:bCs/>
          <w:color w:val="2E8B8B"/>
          <w:sz w:val="23"/>
          <w:szCs w:val="23"/>
        </w:rPr>
        <w:t xml:space="preserve">Step 2: Set the structured output mode</w:t>
      </w:r>
    </w:p>
    <w:p>
      <w:pPr>
        <w:pStyle w:val="ListParagraph"/>
        <w:numPr>
          <w:ilvl w:val="0"/>
          <w:numId w:val="3"/>
        </w:numPr>
        <w:spacing w:after="90"/>
      </w:pPr>
      <w:r>
        <w:rPr>
          <w:sz w:val="21"/>
          <w:szCs w:val="21"/>
        </w:rPr>
        <w:t xml:space="preserve">Under Structured output mode, select Strict.</w:t>
      </w:r>
    </w:p>
    <w:p>
      <w:pPr>
        <w:pStyle w:val="Heading2"/>
        <w:spacing w:after="100" w:before="240"/>
      </w:pPr>
      <w:r>
        <w:rPr>
          <w:b/>
          <w:bCs/>
          <w:color w:val="2E8B8B"/>
          <w:sz w:val="23"/>
          <w:szCs w:val="23"/>
        </w:rPr>
        <w:t xml:space="preserve">Step 3: Set the function-level output</w:t>
      </w:r>
    </w:p>
    <w:p>
      <w:pPr>
        <w:spacing w:after="130"/>
      </w:pPr>
      <w:r>
        <w:rPr>
          <w:sz w:val="21"/>
          <w:szCs w:val="21"/>
        </w:rPr>
        <w:t xml:space="preserve">This is a separate setting from your Struct above — it decides what your whole function returns, not just what this one block produces.</w:t>
      </w:r>
    </w:p>
    <w:p>
      <w:pPr>
        <w:pStyle w:val="ListParagraph"/>
        <w:numPr>
          <w:ilvl w:val="0"/>
          <w:numId w:val="3"/>
        </w:numPr>
        <w:spacing w:after="90"/>
      </w:pPr>
      <w:r>
        <w:rPr>
          <w:sz w:val="21"/>
          <w:szCs w:val="21"/>
        </w:rPr>
        <w:t xml:space="preserve">Scroll to the Output panel at the bottom of the screen (below the “Add a block” toolbar).</w:t>
      </w:r>
    </w:p>
    <w:p>
      <w:pPr>
        <w:pStyle w:val="ListParagraph"/>
        <w:numPr>
          <w:ilvl w:val="0"/>
          <w:numId w:val="3"/>
        </w:numPr>
        <w:spacing w:after="90"/>
      </w:pPr>
      <w:r>
        <w:rPr>
          <w:sz w:val="21"/>
          <w:szCs w:val="21"/>
        </w:rPr>
        <w:t xml:space="preserve">Under Output block, confirm Use LLM is selected — this tells the function to return this block's result.</w:t>
      </w:r>
    </w:p>
    <w:p>
      <w:pPr>
        <w:pStyle w:val="ListParagraph"/>
        <w:numPr>
          <w:ilvl w:val="0"/>
          <w:numId w:val="3"/>
        </w:numPr>
        <w:spacing w:after="90"/>
      </w:pPr>
      <w:r>
        <w:rPr>
          <w:sz w:val="21"/>
          <w:szCs w:val="21"/>
        </w:rPr>
        <w:t xml:space="preserve">Under Select output type, choose Value, not Ontology edits. This Copilot only reads and summarizes; it never proposes a change to the Ontology, so Ontology edits doesn't apply here — that pattern is for Week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Struct has all six fields, Structured output mode is set to Strict, and the function-level output type is set to Value.</w:t>
            </w:r>
          </w:p>
        </w:tc>
      </w:tr>
    </w:tbl>
    <w:p>
      <w:pPr>
        <w:spacing w:after="160"/>
      </w:pPr>
    </w:p>
    <w:p>
      <w:pPr>
        <w:pStyle w:val="Heading1"/>
        <w:pBdr>
          <w:bottom w:val="single" w:color="1F3864" w:sz="6" w:space="4"/>
        </w:pBdr>
        <w:spacing w:after="200" w:before="420"/>
      </w:pPr>
      <w:r>
        <w:rPr>
          <w:b/>
          <w:bCs/>
          <w:color w:val="1F3864"/>
          <w:sz w:val="30"/>
          <w:szCs w:val="30"/>
        </w:rPr>
        <w:t xml:space="preserve">Part 8 — Preview Run and Debug</w:t>
      </w:r>
    </w:p>
    <w:p>
      <w:pPr>
        <w:pStyle w:val="ListParagraph"/>
        <w:numPr>
          <w:ilvl w:val="0"/>
          <w:numId w:val="3"/>
        </w:numPr>
        <w:spacing w:after="90"/>
      </w:pPr>
      <w:r>
        <w:rPr>
          <w:sz w:val="21"/>
          <w:szCs w:val="21"/>
        </w:rPr>
        <w:t xml:space="preserve">Press Ctrl+Shift+D, or select Preview run.</w:t>
      </w:r>
    </w:p>
    <w:p>
      <w:pPr>
        <w:pStyle w:val="ListParagraph"/>
        <w:numPr>
          <w:ilvl w:val="0"/>
          <w:numId w:val="3"/>
        </w:numPr>
        <w:spacing w:after="90"/>
      </w:pPr>
      <w:r>
        <w:rPr>
          <w:sz w:val="21"/>
          <w:szCs w:val="21"/>
        </w:rPr>
        <w:t xml:space="preserve">Under Function inputs, enter a real applicationId — pick any risk assessment where riskScore is above 75, so you have a High-Risk Application-eligible record ready for Part 10.</w:t>
      </w:r>
    </w:p>
    <w:p>
      <w:pPr>
        <w:pStyle w:val="ListParagraph"/>
        <w:numPr>
          <w:ilvl w:val="0"/>
          <w:numId w:val="3"/>
        </w:numPr>
        <w:spacing w:after="90"/>
      </w:pPr>
      <w:r>
        <w:rPr>
          <w:sz w:val="21"/>
          <w:szCs w:val="21"/>
        </w:rPr>
        <w:t xml:space="preserve">Select Preview run (or the blue run button) and wait for it to complete.</w:t>
      </w:r>
    </w:p>
    <w:p>
      <w:pPr>
        <w:pStyle w:val="ListParagraph"/>
        <w:numPr>
          <w:ilvl w:val="0"/>
          <w:numId w:val="3"/>
        </w:numPr>
        <w:spacing w:after="90"/>
      </w:pPr>
      <w:r>
        <w:rPr>
          <w:sz w:val="21"/>
          <w:szCs w:val="21"/>
        </w:rPr>
        <w:t xml:space="preserve">Review the Function output panel. A working response looks like the example below — note how every field is populated, and how groundedReferences lists exact property values, not vague statements:</w:t>
      </w:r>
    </w:p>
    <w:p>
      <w:pPr>
        <w:shd w:fill="162447" w:val="clear"/>
        <w:spacing w:after="20"/>
      </w:pPr>
      <w:r>
        <w:rPr>
          <w:rFonts w:ascii="Courier New" w:cs="Courier New" w:eastAsia="Courier New" w:hAnsi="Courier New"/>
          <w:color w:val="9FE6C8"/>
          <w:sz w:val="17"/>
          <w:szCs w:val="17"/>
        </w:rPr>
        <w:t xml:space="preserve">{</w:t>
      </w:r>
    </w:p>
    <w:p>
      <w:pPr>
        <w:shd w:fill="162447" w:val="clear"/>
        <w:spacing w:after="20"/>
      </w:pPr>
      <w:r>
        <w:rPr>
          <w:rFonts w:ascii="Courier New" w:cs="Courier New" w:eastAsia="Courier New" w:hAnsi="Courier New"/>
          <w:color w:val="9FE6C8"/>
          <w:sz w:val="17"/>
          <w:szCs w:val="17"/>
        </w:rPr>
        <w:t xml:space="preserve">  "applicationSummary": "IA047 is a Submitted Auto application from</w:t>
      </w:r>
    </w:p>
    <w:p>
      <w:pPr>
        <w:shd w:fill="162447" w:val="clear"/>
        <w:spacing w:after="20"/>
      </w:pPr>
      <w:r>
        <w:rPr>
          <w:rFonts w:ascii="Courier New" w:cs="Courier New" w:eastAsia="Courier New" w:hAnsi="Courier New"/>
          <w:color w:val="9FE6C8"/>
          <w:sz w:val="17"/>
          <w:szCs w:val="17"/>
        </w:rPr>
        <w:t xml:space="preserve">     APP112, with a Risk Assessment score of 82 (High-Risk)</w:t>
      </w:r>
    </w:p>
    <w:p>
      <w:pPr>
        <w:shd w:fill="162447" w:val="clear"/>
        <w:spacing w:after="20"/>
      </w:pPr>
      <w:r>
        <w:rPr>
          <w:rFonts w:ascii="Courier New" w:cs="Courier New" w:eastAsia="Courier New" w:hAnsi="Courier New"/>
          <w:color w:val="9FE6C8"/>
          <w:sz w:val="17"/>
          <w:szCs w:val="17"/>
        </w:rPr>
        <w:t xml:space="preserve">     [InsuranceApplication.IA047: status, requestedCoverage;</w:t>
      </w:r>
    </w:p>
    <w:p>
      <w:pPr>
        <w:shd w:fill="162447" w:val="clear"/>
        <w:spacing w:after="20"/>
      </w:pPr>
      <w:r>
        <w:rPr>
          <w:rFonts w:ascii="Courier New" w:cs="Courier New" w:eastAsia="Courier New" w:hAnsi="Courier New"/>
          <w:color w:val="9FE6C8"/>
          <w:sz w:val="17"/>
          <w:szCs w:val="17"/>
        </w:rPr>
        <w:t xml:space="preserve">     RiskAssessment.RA047: riskScore, riskCategory]. Application</w:t>
      </w:r>
    </w:p>
    <w:p>
      <w:pPr>
        <w:shd w:fill="162447" w:val="clear"/>
        <w:spacing w:after="20"/>
      </w:pPr>
      <w:r>
        <w:rPr>
          <w:rFonts w:ascii="Courier New" w:cs="Courier New" w:eastAsia="Courier New" w:hAnsi="Courier New"/>
          <w:color w:val="9FE6C8"/>
          <w:sz w:val="17"/>
          <w:szCs w:val="17"/>
        </w:rPr>
        <w:t xml:space="preserve">     completeness validation PASSED: a Risk Assessment exists with 3</w:t>
      </w:r>
    </w:p>
    <w:p>
      <w:pPr>
        <w:shd w:fill="162447" w:val="clear"/>
        <w:spacing w:after="20"/>
      </w:pPr>
      <w:r>
        <w:rPr>
          <w:rFonts w:ascii="Courier New" w:cs="Courier New" w:eastAsia="Courier New" w:hAnsi="Courier New"/>
          <w:color w:val="9FE6C8"/>
          <w:sz w:val="17"/>
          <w:szCs w:val="17"/>
        </w:rPr>
        <w:t xml:space="preserve">     linked Rating Factors [...].",</w:t>
      </w:r>
    </w:p>
    <w:p>
      <w:pPr>
        <w:shd w:fill="162447" w:val="clear"/>
        <w:spacing w:after="20"/>
      </w:pPr>
      <w:r>
        <w:rPr>
          <w:rFonts w:ascii="Courier New" w:cs="Courier New" w:eastAsia="Courier New" w:hAnsi="Courier New"/>
          <w:color w:val="9FE6C8"/>
          <w:sz w:val="17"/>
          <w:szCs w:val="17"/>
        </w:rPr>
        <w:t xml:space="preserve">  "missingInformation": [</w:t>
      </w:r>
    </w:p>
    <w:p>
      <w:pPr>
        <w:shd w:fill="162447" w:val="clear"/>
        <w:spacing w:after="20"/>
      </w:pPr>
      <w:r>
        <w:rPr>
          <w:rFonts w:ascii="Courier New" w:cs="Courier New" w:eastAsia="Courier New" w:hAnsi="Courier New"/>
          <w:color w:val="9FE6C8"/>
          <w:sz w:val="17"/>
          <w:szCs w:val="17"/>
        </w:rPr>
        <w:t xml:space="preserve">    "No PriorClaimsHistory rating factor is recorded for this</w:t>
      </w:r>
    </w:p>
    <w:p>
      <w:pPr>
        <w:shd w:fill="162447" w:val="clear"/>
        <w:spacing w:after="20"/>
      </w:pPr>
      <w:r>
        <w:rPr>
          <w:rFonts w:ascii="Courier New" w:cs="Courier New" w:eastAsia="Courier New" w:hAnsi="Courier New"/>
          <w:color w:val="9FE6C8"/>
          <w:sz w:val="17"/>
          <w:szCs w:val="17"/>
        </w:rPr>
        <w:t xml:space="preserve">     assessment ...",</w:t>
      </w:r>
    </w:p>
    <w:p>
      <w:pPr>
        <w:shd w:fill="162447" w:val="clear"/>
        <w:spacing w:after="20"/>
      </w:pPr>
      <w:r>
        <w:rPr>
          <w:rFonts w:ascii="Courier New" w:cs="Courier New" w:eastAsia="Courier New" w:hAnsi="Courier New"/>
          <w:color w:val="9FE6C8"/>
          <w:sz w:val="17"/>
          <w:szCs w:val="17"/>
        </w:rPr>
        <w:t xml:space="preserve">    "..."</w:t>
      </w:r>
    </w:p>
    <w:p>
      <w:pPr>
        <w:shd w:fill="162447" w:val="clear"/>
        <w:spacing w:after="20"/>
      </w:pPr>
      <w:r>
        <w:rPr>
          <w:rFonts w:ascii="Courier New" w:cs="Courier New" w:eastAsia="Courier New" w:hAnsi="Courier New"/>
          <w:color w:val="9FE6C8"/>
          <w:sz w:val="17"/>
          <w:szCs w:val="17"/>
        </w:rPr>
        <w:t xml:space="preserve">  ],</w:t>
      </w:r>
    </w:p>
    <w:p>
      <w:pPr>
        <w:shd w:fill="162447" w:val="clear"/>
        <w:spacing w:after="20"/>
      </w:pPr>
      <w:r>
        <w:rPr>
          <w:rFonts w:ascii="Courier New" w:cs="Courier New" w:eastAsia="Courier New" w:hAnsi="Courier New"/>
          <w:color w:val="9FE6C8"/>
          <w:sz w:val="17"/>
          <w:szCs w:val="17"/>
        </w:rPr>
        <w:t xml:space="preserve">  "riskFactors": [ "..." ],</w:t>
      </w:r>
    </w:p>
    <w:p>
      <w:pPr>
        <w:shd w:fill="162447" w:val="clear"/>
        <w:spacing w:after="20"/>
      </w:pPr>
      <w:r>
        <w:rPr>
          <w:rFonts w:ascii="Courier New" w:cs="Courier New" w:eastAsia="Courier New" w:hAnsi="Courier New"/>
          <w:color w:val="9FE6C8"/>
          <w:sz w:val="17"/>
          <w:szCs w:val="17"/>
        </w:rPr>
        <w:t xml:space="preserve">  "recommendedDecisionPath": "Refer to a senior Underwriter given the</w:t>
      </w:r>
    </w:p>
    <w:p>
      <w:pPr>
        <w:shd w:fill="162447" w:val="clear"/>
        <w:spacing w:after="20"/>
      </w:pPr>
      <w:r>
        <w:rPr>
          <w:rFonts w:ascii="Courier New" w:cs="Courier New" w:eastAsia="Courier New" w:hAnsi="Courier New"/>
          <w:color w:val="9FE6C8"/>
          <w:sz w:val="17"/>
          <w:szCs w:val="17"/>
        </w:rPr>
        <w:t xml:space="preserve">     High-Risk category and incomplete rating factors ...",</w:t>
      </w:r>
    </w:p>
    <w:p>
      <w:pPr>
        <w:shd w:fill="162447" w:val="clear"/>
        <w:spacing w:after="20"/>
      </w:pPr>
      <w:r>
        <w:rPr>
          <w:rFonts w:ascii="Courier New" w:cs="Courier New" w:eastAsia="Courier New" w:hAnsi="Courier New"/>
          <w:color w:val="9FE6C8"/>
          <w:sz w:val="17"/>
          <w:szCs w:val="17"/>
        </w:rPr>
        <w:t xml:space="preserve">  "groundedReferences": [ "RiskAssessment.RA047: riskScore=82; ...",</w:t>
      </w:r>
    </w:p>
    <w:p>
      <w:pPr>
        <w:shd w:fill="162447" w:val="clear"/>
        <w:spacing w:after="20"/>
      </w:pPr>
      <w:r>
        <w:rPr>
          <w:rFonts w:ascii="Courier New" w:cs="Courier New" w:eastAsia="Courier New" w:hAnsi="Courier New"/>
          <w:color w:val="9FE6C8"/>
          <w:sz w:val="17"/>
          <w:szCs w:val="17"/>
        </w:rPr>
        <w:t xml:space="preserve">     "..." ],</w:t>
      </w:r>
    </w:p>
    <w:p>
      <w:pPr>
        <w:shd w:fill="162447" w:val="clear"/>
        <w:spacing w:after="20"/>
      </w:pPr>
      <w:r>
        <w:rPr>
          <w:rFonts w:ascii="Courier New" w:cs="Courier New" w:eastAsia="Courier New" w:hAnsi="Courier New"/>
          <w:color w:val="9FE6C8"/>
          <w:sz w:val="17"/>
          <w:szCs w:val="17"/>
        </w:rPr>
        <w:t xml:space="preserve">  "confidenceLevel": "Moderate: application and risk assessment data</w:t>
      </w:r>
    </w:p>
    <w:p>
      <w:pPr>
        <w:shd w:fill="162447" w:val="clear"/>
        <w:spacing w:after="20"/>
      </w:pPr>
      <w:r>
        <w:rPr>
          <w:rFonts w:ascii="Courier New" w:cs="Courier New" w:eastAsia="Courier New" w:hAnsi="Courier New"/>
          <w:color w:val="9FE6C8"/>
          <w:sz w:val="17"/>
          <w:szCs w:val="17"/>
        </w:rPr>
        <w:t xml:space="preserve">     were retrieved, but rating factor coverage was incomplete."</w:t>
      </w:r>
    </w:p>
    <w:p>
      <w:pPr>
        <w:shd w:fill="162447" w:val="clear"/>
        <w:spacing w:after="20"/>
      </w:pPr>
      <w:r>
        <w:rPr>
          <w:rFonts w:ascii="Courier New" w:cs="Courier New" w:eastAsia="Courier New" w:hAnsi="Courier New"/>
          <w:color w:val="9FE6C8"/>
          <w:sz w:val="17"/>
          <w:szCs w:val="17"/>
        </w:rPr>
        <w:t xml:space="preserve">}</w:t>
      </w:r>
    </w:p>
    <w:p>
      <w:pPr>
        <w:spacing w:after="130"/>
      </w:pPr>
      <w:r>
        <w:rPr>
          <w:i/>
          <w:iCs/>
          <w:color w:val="555555"/>
          <w:sz w:val="21"/>
          <w:szCs w:val="21"/>
        </w:rPr>
        <w:t xml:space="preserve">If your run looks like this — every field populated, specific object/property citations, an explicit statement about what couldn't be verified — you're in good shape. If confidenceLevel always reads as automatically High regardless of what's missing, revisit your Part 4 instructions before continuing.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Your Preview run completes successfully, with all six output fields populated and citing specific retrieved data.</w:t>
            </w:r>
          </w:p>
        </w:tc>
      </w:tr>
    </w:tbl>
    <w:p>
      <w:pPr>
        <w:spacing w:after="160"/>
      </w:pPr>
    </w:p>
    <w:p>
      <w:pPr>
        <w:pStyle w:val="Heading1"/>
        <w:pBdr>
          <w:bottom w:val="single" w:color="1F3864" w:sz="6" w:space="4"/>
        </w:pBdr>
        <w:spacing w:after="200" w:before="420"/>
      </w:pPr>
      <w:r>
        <w:rPr>
          <w:b/>
          <w:bCs/>
          <w:color w:val="1F3864"/>
          <w:sz w:val="30"/>
          <w:szCs w:val="30"/>
        </w:rPr>
        <w:t xml:space="preserve">Part 9 — Fix the “Missing Ontology Binding” Publish Error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B0413E" w:sz="24"/>
            </w:tcBorders>
            <w:shd w:fill="F2F2F2" w:val="clear"/>
            <w:tcMar>
              <w:top w:type="dxa" w:w="140"/>
              <w:left w:type="dxa" w:w="180"/>
              <w:bottom w:type="dxa" w:w="140"/>
              <w:right w:type="dxa" w:w="180"/>
            </w:tcMar>
          </w:tcPr>
          <w:p>
            <w:pPr>
              <w:spacing w:after="60"/>
            </w:pPr>
            <w:r>
              <w:rPr>
                <w:b/>
                <w:bCs/>
                <w:color w:val="B0413E"/>
                <w:sz w:val="21"/>
                <w:szCs w:val="21"/>
              </w:rPr>
              <w:t xml:space="preserve">This Is a Known, Fixable Error — Not a Sign Something Is Broken</w:t>
            </w:r>
          </w:p>
          <w:p>
            <w:r>
              <w:rPr>
                <w:sz w:val="20"/>
                <w:szCs w:val="20"/>
              </w:rPr>
              <w:t xml:space="preserve">If you select Publish and see “Missing ontology binding for function” under Publish settings errors, this means exactly one thing: your function reads the Ontology (through your Query tool), but hasn't yet been told which Ontology it's part of. Every AIP Logic function that queries Ontology objects must be explicitly bound to an Ontology before it can publish — this is a required step, not an optional one, and it's easy to miss the first time.</w:t>
            </w:r>
          </w:p>
        </w:tc>
      </w:tr>
    </w:tbl>
    <w:p>
      <w:pPr>
        <w:spacing w:after="160"/>
      </w:pPr>
    </w:p>
    <w:p>
      <w:pPr>
        <w:pStyle w:val="Heading2"/>
        <w:spacing w:after="100" w:before="240"/>
      </w:pPr>
      <w:r>
        <w:rPr>
          <w:b/>
          <w:bCs/>
          <w:color w:val="2E8B8B"/>
          <w:sz w:val="23"/>
          <w:szCs w:val="23"/>
        </w:rPr>
        <w:t xml:space="preserve">Step 1: Save your function</w:t>
      </w:r>
    </w:p>
    <w:p>
      <w:pPr>
        <w:pStyle w:val="ListParagraph"/>
        <w:numPr>
          <w:ilvl w:val="0"/>
          <w:numId w:val="3"/>
        </w:numPr>
        <w:spacing w:after="90"/>
      </w:pPr>
      <w:r>
        <w:rPr>
          <w:sz w:val="21"/>
          <w:szCs w:val="21"/>
        </w:rPr>
        <w:t xml:space="preserve">Select Save (the disk icon near the top right).</w:t>
      </w:r>
    </w:p>
    <w:p>
      <w:pPr>
        <w:pStyle w:val="Heading2"/>
        <w:spacing w:after="100" w:before="240"/>
      </w:pPr>
      <w:r>
        <w:rPr>
          <w:b/>
          <w:bCs/>
          <w:color w:val="2E8B8B"/>
          <w:sz w:val="23"/>
          <w:szCs w:val="23"/>
        </w:rPr>
        <w:t xml:space="preserve">Step 2: Open the Publish dialog</w:t>
      </w:r>
    </w:p>
    <w:p>
      <w:pPr>
        <w:pStyle w:val="ListParagraph"/>
        <w:numPr>
          <w:ilvl w:val="0"/>
          <w:numId w:val="3"/>
        </w:numPr>
        <w:spacing w:after="90"/>
      </w:pPr>
      <w:r>
        <w:rPr>
          <w:sz w:val="21"/>
          <w:szCs w:val="21"/>
        </w:rPr>
        <w:t xml:space="preserve">Select Publish.</w:t>
      </w:r>
    </w:p>
    <w:p>
      <w:pPr>
        <w:pStyle w:val="Heading2"/>
        <w:spacing w:after="100" w:before="240"/>
      </w:pPr>
      <w:r>
        <w:rPr>
          <w:b/>
          <w:bCs/>
          <w:color w:val="2E8B8B"/>
          <w:sz w:val="23"/>
          <w:szCs w:val="23"/>
        </w:rPr>
        <w:t xml:space="preserve">Step 3: Bind your Ontology</w:t>
      </w:r>
    </w:p>
    <w:p>
      <w:pPr>
        <w:pStyle w:val="ListParagraph"/>
        <w:numPr>
          <w:ilvl w:val="0"/>
          <w:numId w:val="3"/>
        </w:numPr>
        <w:spacing w:after="90"/>
      </w:pPr>
      <w:r>
        <w:rPr>
          <w:sz w:val="21"/>
          <w:szCs w:val="21"/>
        </w:rPr>
        <w:t xml:space="preserve">Look for a field labeled Bound to the following ontologies — this is a dropdown, and it will be empty if this is what's causing your error.</w:t>
      </w:r>
    </w:p>
    <w:p>
      <w:pPr>
        <w:pStyle w:val="ListParagraph"/>
        <w:numPr>
          <w:ilvl w:val="0"/>
          <w:numId w:val="3"/>
        </w:numPr>
        <w:spacing w:after="90"/>
      </w:pPr>
      <w:r>
        <w:rPr>
          <w:sz w:val="21"/>
          <w:szCs w:val="21"/>
        </w:rPr>
        <w:t xml:space="preserve">Select your Ontology from the dropdown — the same Ontology your Week 1 Object Types live in.</w:t>
      </w:r>
    </w:p>
    <w:p>
      <w:pPr>
        <w:pStyle w:val="Heading2"/>
        <w:spacing w:after="100" w:before="240"/>
      </w:pPr>
      <w:r>
        <w:rPr>
          <w:b/>
          <w:bCs/>
          <w:color w:val="2E8B8B"/>
          <w:sz w:val="23"/>
          <w:szCs w:val="23"/>
        </w:rPr>
        <w:t xml:space="preserve">Step 4: Set your function's public name</w:t>
      </w:r>
    </w:p>
    <w:p>
      <w:pPr>
        <w:pStyle w:val="ListParagraph"/>
        <w:numPr>
          <w:ilvl w:val="0"/>
          <w:numId w:val="3"/>
        </w:numPr>
        <w:spacing w:after="90"/>
      </w:pPr>
      <w:r>
        <w:rPr>
          <w:sz w:val="21"/>
          <w:szCs w:val="21"/>
        </w:rPr>
        <w:t xml:space="preserve">Set the Name field — for example, UnderwritingCopilot.</w:t>
      </w:r>
    </w:p>
    <w:p>
      <w:pPr>
        <w:pStyle w:val="ListParagraph"/>
        <w:numPr>
          <w:ilvl w:val="0"/>
          <w:numId w:val="3"/>
        </w:numPr>
        <w:spacing w:after="90"/>
      </w:pPr>
      <w:r>
        <w:rPr>
          <w:sz w:val="21"/>
          <w:szCs w:val="21"/>
        </w:rPr>
        <w:t xml:space="preserve">Set the API name — this is the identifier other tools will use to call your function programmatically, for example underwritingCopilot. No spaces.</w:t>
      </w:r>
    </w:p>
    <w:p>
      <w:pPr>
        <w:pStyle w:val="Heading2"/>
        <w:spacing w:after="100" w:before="240"/>
      </w:pPr>
      <w:r>
        <w:rPr>
          <w:b/>
          <w:bCs/>
          <w:color w:val="2E8B8B"/>
          <w:sz w:val="23"/>
          <w:szCs w:val="23"/>
        </w:rPr>
        <w:t xml:space="preserve">Step 5: Publish</w:t>
      </w:r>
    </w:p>
    <w:p>
      <w:pPr>
        <w:pStyle w:val="ListParagraph"/>
        <w:numPr>
          <w:ilvl w:val="0"/>
          <w:numId w:val="3"/>
        </w:numPr>
        <w:spacing w:after="90"/>
      </w:pPr>
      <w:r>
        <w:rPr>
          <w:sz w:val="21"/>
          <w:szCs w:val="21"/>
        </w:rPr>
        <w:t xml:space="preserve">Select Publish. The error should now be gone, and your function should publish successfully.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1F3864" w:sz="24"/>
            </w:tcBorders>
            <w:shd w:fill="F2F2F2" w:val="clear"/>
            <w:tcMar>
              <w:top w:type="dxa" w:w="140"/>
              <w:left w:type="dxa" w:w="180"/>
              <w:bottom w:type="dxa" w:w="140"/>
              <w:right w:type="dxa" w:w="180"/>
            </w:tcMar>
          </w:tcPr>
          <w:p>
            <w:pPr>
              <w:spacing w:after="60"/>
            </w:pPr>
            <w:r>
              <w:rPr>
                <w:b/>
                <w:bCs/>
                <w:color w:val="1F3864"/>
                <w:sz w:val="21"/>
                <w:szCs w:val="21"/>
              </w:rPr>
              <w:t xml:space="preserve">Takeaway</w:t>
            </w:r>
          </w:p>
          <w:p>
            <w:r>
              <w:rPr>
                <w:sz w:val="20"/>
                <w:szCs w:val="20"/>
              </w:rPr>
              <w:t xml:space="preserve">Binding tells the platform which Ontology's governance model applies to this function — your Week 1 Roles, Markings, and object/property security policies. It's not paperwork; it's the platform confirming it knows which security rules to enforce for every tool call this function makes, which is exactly the mechanism Part 10 tests next.</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Publish settings shows no errors, and your function successfully publishes.</w:t>
            </w:r>
          </w:p>
        </w:tc>
      </w:tr>
    </w:tbl>
    <w:p>
      <w:pPr>
        <w:spacing w:after="160"/>
      </w:pPr>
    </w:p>
    <w:p>
      <w:pPr>
        <w:pStyle w:val="Heading1"/>
        <w:pBdr>
          <w:bottom w:val="single" w:color="1F3864" w:sz="6" w:space="4"/>
        </w:pBdr>
        <w:spacing w:after="200" w:before="420"/>
      </w:pPr>
      <w:r>
        <w:rPr>
          <w:b/>
          <w:bCs/>
          <w:color w:val="1F3864"/>
          <w:sz w:val="30"/>
          <w:szCs w:val="30"/>
        </w:rPr>
        <w:t xml:space="preserve">Part 10 — Test Refusal on Unauthorized Queries</w:t>
      </w:r>
    </w:p>
    <w:p>
      <w:pPr>
        <w:pStyle w:val="ListParagraph"/>
        <w:numPr>
          <w:ilvl w:val="0"/>
          <w:numId w:val="3"/>
        </w:numPr>
        <w:spacing w:after="90"/>
      </w:pPr>
      <w:r>
        <w:rPr>
          <w:sz w:val="21"/>
          <w:szCs w:val="21"/>
        </w:rPr>
        <w:t xml:space="preserve">Confirm your own eligibility for the High-Risk Application Marking is currently OFF (per Week 1, Part 8, before you added yourself as eligible) — or temporarily remove yourself as eligible if you already added it.</w:t>
      </w:r>
    </w:p>
    <w:p>
      <w:pPr>
        <w:pStyle w:val="ListParagraph"/>
        <w:numPr>
          <w:ilvl w:val="0"/>
          <w:numId w:val="3"/>
        </w:numPr>
        <w:spacing w:after="90"/>
      </w:pPr>
      <w:r>
        <w:rPr>
          <w:sz w:val="21"/>
          <w:szCs w:val="21"/>
        </w:rPr>
        <w:t xml:space="preserve">Run your Copilot again against your Part 8 test record. Confirm the response explicitly states that access is restricted, rather than fabricating an answer.</w:t>
      </w:r>
    </w:p>
    <w:p>
      <w:pPr>
        <w:pStyle w:val="ListParagraph"/>
        <w:numPr>
          <w:ilvl w:val="0"/>
          <w:numId w:val="3"/>
        </w:numPr>
        <w:spacing w:after="90"/>
      </w:pPr>
      <w:r>
        <w:rPr>
          <w:sz w:val="21"/>
          <w:szCs w:val="21"/>
        </w:rPr>
        <w:t xml:space="preserve">If it doesn't yet say this clearly, add to your System prompt: “If required data cannot be retrieved due to a permissions restriction, state clearly that access is restricted — do not guess or fabricate a response.” Re-run and confirm the wording improves.</w:t>
      </w:r>
    </w:p>
    <w:p>
      <w:pPr>
        <w:pStyle w:val="ListParagraph"/>
        <w:numPr>
          <w:ilvl w:val="0"/>
          <w:numId w:val="3"/>
        </w:numPr>
        <w:spacing w:after="90"/>
      </w:pPr>
      <w:r>
        <w:rPr>
          <w:sz w:val="21"/>
          <w:szCs w:val="21"/>
        </w:rPr>
        <w:t xml:space="preserve">Re-add yourself as eligible for the High-Risk Application Marking, and confirm the same record now returns a complete response.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direct evidence — not just a prompt instruction — that your Copilot behaves differently before and after Marking eligibility.</w:t>
            </w:r>
          </w:p>
        </w:tc>
      </w:tr>
    </w:tbl>
    <w:p>
      <w:pPr>
        <w:spacing w:after="160"/>
      </w:pPr>
    </w:p>
    <w:p>
      <w:pPr>
        <w:pStyle w:val="Heading1"/>
        <w:pBdr>
          <w:bottom w:val="single" w:color="1F3864" w:sz="6" w:space="4"/>
        </w:pBdr>
        <w:spacing w:after="200" w:before="420"/>
      </w:pPr>
      <w:r>
        <w:rPr>
          <w:b/>
          <w:bCs/>
          <w:color w:val="1F3864"/>
          <w:sz w:val="30"/>
          <w:szCs w:val="30"/>
        </w:rPr>
        <w:t xml:space="preserve">Part 11 — Test Escalation on Low-Confidence Responses</w:t>
      </w:r>
    </w:p>
    <w:p>
      <w:pPr>
        <w:pStyle w:val="ListParagraph"/>
        <w:numPr>
          <w:ilvl w:val="0"/>
          <w:numId w:val="3"/>
        </w:numPr>
        <w:spacing w:after="90"/>
      </w:pPr>
      <w:r>
        <w:rPr>
          <w:sz w:val="21"/>
          <w:szCs w:val="21"/>
        </w:rPr>
        <w:t xml:space="preserve">In your System prompt, add: when the retrieved data is incomplete or ambiguous enough that a confident recommendation isn't possible, set confidenceLevel to Low and say so explicitly, rather than guessing.</w:t>
      </w:r>
    </w:p>
    <w:p>
      <w:pPr>
        <w:pStyle w:val="ListParagraph"/>
        <w:numPr>
          <w:ilvl w:val="0"/>
          <w:numId w:val="3"/>
        </w:numPr>
        <w:spacing w:after="90"/>
      </w:pPr>
      <w:r>
        <w:rPr>
          <w:sz w:val="21"/>
          <w:szCs w:val="21"/>
        </w:rPr>
        <w:t xml:space="preserve">Find or construct an ambiguous test case — an application with significant missing rating factors, or conflicting signals in its Risk Assessment.</w:t>
      </w:r>
    </w:p>
    <w:p>
      <w:pPr>
        <w:pStyle w:val="ListParagraph"/>
        <w:numPr>
          <w:ilvl w:val="0"/>
          <w:numId w:val="3"/>
        </w:numPr>
        <w:spacing w:after="90"/>
      </w:pPr>
      <w:r>
        <w:rPr>
          <w:sz w:val="21"/>
          <w:szCs w:val="21"/>
        </w:rPr>
        <w:t xml:space="preserve">Run your Copilot against this case and confirm confidenceLevel returns Low.</w:t>
      </w:r>
    </w:p>
    <w:p>
      <w:pPr>
        <w:pStyle w:val="ListParagraph"/>
        <w:numPr>
          <w:ilvl w:val="0"/>
          <w:numId w:val="3"/>
        </w:numPr>
        <w:spacing w:after="90"/>
      </w:pPr>
      <w:r>
        <w:rPr>
          <w:sz w:val="21"/>
          <w:szCs w:val="21"/>
        </w:rPr>
        <w:t xml:space="preserve">Run it again against your original, complete test record and confirm confidenceLevel returns High or Medium.</w:t>
      </w:r>
    </w:p>
    <w:p>
      <w:pPr>
        <w:spacing w:after="130"/>
      </w:pPr>
      <w:r>
        <w:rPr>
          <w:i/>
          <w:iCs/>
          <w:color w:val="555555"/>
          <w:sz w:val="21"/>
          <w:szCs w:val="21"/>
        </w:rPr>
        <w:t xml:space="preserve">For a more robust implementation than a prompt instruction alone, you can add a Control flow block after your Use LLM block, branching on confidenceLevel — available from the same “Add a block” toolbar as Use LLM and Semantic search. This is optional for today; a clear prompt instruction is enough to pass this Part.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You have seen your Copilot escalate on a genuinely ambiguous case, and respond confidently on a well-formed one.</w:t>
            </w:r>
          </w:p>
        </w:tc>
      </w:tr>
    </w:tbl>
    <w:p>
      <w:pPr>
        <w:spacing w:after="160"/>
      </w:pPr>
    </w:p>
    <w:p>
      <w:pPr>
        <w:pStyle w:val="Heading1"/>
        <w:pBdr>
          <w:bottom w:val="single" w:color="1F3864" w:sz="6" w:space="4"/>
        </w:pBdr>
        <w:spacing w:after="200" w:before="420"/>
      </w:pPr>
      <w:r>
        <w:rPr>
          <w:b/>
          <w:bCs/>
          <w:color w:val="1F3864"/>
          <w:sz w:val="30"/>
          <w:szCs w:val="30"/>
        </w:rPr>
        <w:t xml:space="preserve">Part 12 — Create an Evaluation Suite &amp; Republish</w:t>
      </w:r>
    </w:p>
    <w:p>
      <w:pPr>
        <w:pStyle w:val="ListParagraph"/>
        <w:numPr>
          <w:ilvl w:val="0"/>
          <w:numId w:val="3"/>
        </w:numPr>
        <w:spacing w:after="90"/>
      </w:pPr>
      <w:r>
        <w:rPr>
          <w:sz w:val="21"/>
          <w:szCs w:val="21"/>
        </w:rPr>
        <w:t xml:space="preserve">After a successful Preview run, look for Add as test case near your run results — select it using your Part 8 test record. This creates your evaluation suite and its first test case together.</w:t>
      </w:r>
    </w:p>
    <w:p>
      <w:pPr>
        <w:pStyle w:val="ListParagraph"/>
        <w:numPr>
          <w:ilvl w:val="0"/>
          <w:numId w:val="3"/>
        </w:numPr>
        <w:spacing w:after="90"/>
      </w:pPr>
      <w:r>
        <w:rPr>
          <w:sz w:val="21"/>
          <w:szCs w:val="21"/>
        </w:rPr>
        <w:t xml:space="preserve">Add at least two more test cases: your Part 10 unauthorized-access scenario, and your Part 11 low-confidence scenario.</w:t>
      </w:r>
    </w:p>
    <w:p>
      <w:pPr>
        <w:pStyle w:val="ListParagraph"/>
        <w:numPr>
          <w:ilvl w:val="0"/>
          <w:numId w:val="3"/>
        </w:numPr>
        <w:spacing w:after="90"/>
      </w:pPr>
      <w:r>
        <w:rPr>
          <w:sz w:val="21"/>
          <w:szCs w:val="21"/>
        </w:rPr>
        <w:t xml:space="preserve">Publish an updated version of your function, following Part 9's steps again if needed.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left w:val="single" w:color="2E8B8B" w:sz="24"/>
            </w:tcBorders>
            <w:shd w:fill="F2F2F2" w:val="clear"/>
            <w:tcMar>
              <w:top w:type="dxa" w:w="140"/>
              <w:left w:type="dxa" w:w="180"/>
              <w:bottom w:type="dxa" w:w="140"/>
              <w:right w:type="dxa" w:w="180"/>
            </w:tcMar>
          </w:tcPr>
          <w:p>
            <w:pPr>
              <w:spacing w:after="60"/>
            </w:pPr>
            <w:r>
              <w:rPr>
                <w:b/>
                <w:bCs/>
                <w:color w:val="2E8B8B"/>
                <w:sz w:val="21"/>
                <w:szCs w:val="21"/>
              </w:rPr>
              <w:t xml:space="preserve">Checkpoint — Confirm Before Continuing</w:t>
            </w:r>
          </w:p>
          <w:p>
            <w:r>
              <w:rPr>
                <w:sz w:val="20"/>
                <w:szCs w:val="20"/>
              </w:rPr>
              <w:t xml:space="preserve">An evaluation suite exists with at least three test cases, and your latest version is published.</w:t>
            </w:r>
          </w:p>
        </w:tc>
      </w:tr>
    </w:tbl>
    <w:p>
      <w:pPr>
        <w:spacing w:after="160"/>
      </w:pPr>
    </w:p>
    <w:p>
      <w:pPr>
        <w:pStyle w:val="Heading1"/>
        <w:pBdr>
          <w:bottom w:val="single" w:color="1F3864" w:sz="6" w:space="4"/>
        </w:pBdr>
        <w:spacing w:after="200" w:before="420"/>
      </w:pPr>
      <w:r>
        <w:rPr>
          <w:b/>
          <w:bCs/>
          <w:color w:val="1F3864"/>
          <w:sz w:val="30"/>
          <w:szCs w:val="30"/>
        </w:rPr>
        <w:t xml:space="preserve">Full Validation Checklist</w:t>
      </w:r>
    </w:p>
    <w:p>
      <w:pPr>
        <w:pStyle w:val="ListParagraph"/>
        <w:numPr>
          <w:ilvl w:val="0"/>
          <w:numId w:val="2"/>
        </w:numPr>
        <w:spacing w:after="60"/>
      </w:pPr>
      <w:r>
        <w:rPr>
          <w:sz w:val="21"/>
          <w:szCs w:val="21"/>
        </w:rPr>
        <w:t xml:space="preserve">☐  AIP Logic function created, with a single applicationId string input</w:t>
      </w:r>
    </w:p>
    <w:p>
      <w:pPr>
        <w:pStyle w:val="ListParagraph"/>
        <w:numPr>
          <w:ilvl w:val="0"/>
          <w:numId w:val="2"/>
        </w:numPr>
        <w:spacing w:after="60"/>
      </w:pPr>
      <w:r>
        <w:rPr>
          <w:sz w:val="21"/>
          <w:szCs w:val="21"/>
        </w:rPr>
        <w:t xml:space="preserve">☐  System prompt covers overview, context, history, validation, summarization/gaps/risk, and recommendation/grounding</w:t>
      </w:r>
    </w:p>
    <w:p>
      <w:pPr>
        <w:pStyle w:val="ListParagraph"/>
        <w:numPr>
          <w:ilvl w:val="0"/>
          <w:numId w:val="2"/>
        </w:numPr>
        <w:spacing w:after="60"/>
      </w:pPr>
      <w:r>
        <w:rPr>
          <w:sz w:val="21"/>
          <w:szCs w:val="21"/>
        </w:rPr>
        <w:t xml:space="preserve">☐  Query tool configured with Insurance Application, Applicant, and Risk Assessment, in Ontology SQL mode</w:t>
      </w:r>
    </w:p>
    <w:p>
      <w:pPr>
        <w:pStyle w:val="ListParagraph"/>
        <w:numPr>
          <w:ilvl w:val="0"/>
          <w:numId w:val="2"/>
        </w:numPr>
        <w:spacing w:after="60"/>
      </w:pPr>
      <w:r>
        <w:rPr>
          <w:sz w:val="21"/>
          <w:szCs w:val="21"/>
        </w:rPr>
        <w:t xml:space="preserve">☐  Task prompt contains only the applicationId variable</w:t>
      </w:r>
    </w:p>
    <w:p>
      <w:pPr>
        <w:pStyle w:val="ListParagraph"/>
        <w:numPr>
          <w:ilvl w:val="0"/>
          <w:numId w:val="2"/>
        </w:numPr>
        <w:spacing w:after="60"/>
      </w:pPr>
      <w:r>
        <w:rPr>
          <w:sz w:val="21"/>
          <w:szCs w:val="21"/>
        </w:rPr>
        <w:t xml:space="preserve">☐  Output Struct has all six fields; Structured output mode set to Strict; function output type set to Value</w:t>
      </w:r>
    </w:p>
    <w:p>
      <w:pPr>
        <w:pStyle w:val="ListParagraph"/>
        <w:numPr>
          <w:ilvl w:val="0"/>
          <w:numId w:val="2"/>
        </w:numPr>
        <w:spacing w:after="60"/>
      </w:pPr>
      <w:r>
        <w:rPr>
          <w:sz w:val="21"/>
          <w:szCs w:val="21"/>
        </w:rPr>
        <w:t xml:space="preserve">☐  Preview run produces a fully populated, grounded response</w:t>
      </w:r>
    </w:p>
    <w:p>
      <w:pPr>
        <w:pStyle w:val="ListParagraph"/>
        <w:numPr>
          <w:ilvl w:val="0"/>
          <w:numId w:val="2"/>
        </w:numPr>
        <w:spacing w:after="60"/>
      </w:pPr>
      <w:r>
        <w:rPr>
          <w:sz w:val="21"/>
          <w:szCs w:val="21"/>
        </w:rPr>
        <w:t xml:space="preserve">☐  Publish succeeds with no “Missing ontology binding” error</w:t>
      </w:r>
    </w:p>
    <w:p>
      <w:pPr>
        <w:pStyle w:val="ListParagraph"/>
        <w:numPr>
          <w:ilvl w:val="0"/>
          <w:numId w:val="2"/>
        </w:numPr>
        <w:spacing w:after="60"/>
      </w:pPr>
      <w:r>
        <w:rPr>
          <w:sz w:val="21"/>
          <w:szCs w:val="21"/>
        </w:rPr>
        <w:t xml:space="preserve">☐  Refusal tested and confirmed: before/after Marking eligibility</w:t>
      </w:r>
    </w:p>
    <w:p>
      <w:pPr>
        <w:pStyle w:val="ListParagraph"/>
        <w:numPr>
          <w:ilvl w:val="0"/>
          <w:numId w:val="2"/>
        </w:numPr>
        <w:spacing w:after="60"/>
      </w:pPr>
      <w:r>
        <w:rPr>
          <w:sz w:val="21"/>
          <w:szCs w:val="21"/>
        </w:rPr>
        <w:t xml:space="preserve">☐  Escalation tested and confirmed: Low on an ambiguous case, High/Medium on a complete one</w:t>
      </w:r>
    </w:p>
    <w:p>
      <w:pPr>
        <w:pStyle w:val="ListParagraph"/>
        <w:numPr>
          <w:ilvl w:val="0"/>
          <w:numId w:val="2"/>
        </w:numPr>
        <w:spacing w:after="60"/>
      </w:pPr>
      <w:r>
        <w:rPr>
          <w:sz w:val="21"/>
          <w:szCs w:val="21"/>
        </w:rPr>
        <w:t xml:space="preserve">☐  Evaluation suite created with 3+ test cases, and the function is published</w:t>
      </w:r>
    </w:p>
    <w:p>
      <w:pPr>
        <w:pStyle w:val="Heading1"/>
        <w:pBdr>
          <w:bottom w:val="single" w:color="1F3864" w:sz="6" w:space="4"/>
        </w:pBdr>
        <w:spacing w:after="200" w:before="420"/>
      </w:pPr>
      <w:r>
        <w:rPr>
          <w:b/>
          <w:bCs/>
          <w:color w:val="1F3864"/>
          <w:sz w:val="30"/>
          <w:szCs w:val="30"/>
        </w:rPr>
        <w:t xml:space="preserve">Reflection Questions</w:t>
      </w:r>
    </w:p>
    <w:p>
      <w:pPr>
        <w:pStyle w:val="ListParagraph"/>
        <w:numPr>
          <w:ilvl w:val="0"/>
          <w:numId w:val="3"/>
        </w:numPr>
        <w:spacing w:after="90"/>
      </w:pPr>
      <w:r>
        <w:rPr>
          <w:sz w:val="21"/>
          <w:szCs w:val="21"/>
        </w:rPr>
        <w:t xml:space="preserve">What was the actual cause of the “Missing ontology binding” error — in your own words, not just the fix steps?</w:t>
      </w:r>
    </w:p>
    <w:p>
      <w:pPr>
        <w:pStyle w:val="ListParagraph"/>
        <w:numPr>
          <w:ilvl w:val="0"/>
          <w:numId w:val="3"/>
        </w:numPr>
        <w:spacing w:after="90"/>
      </w:pPr>
      <w:r>
        <w:rPr>
          <w:sz w:val="21"/>
          <w:szCs w:val="21"/>
        </w:rPr>
        <w:t xml:space="preserve">Where did “tool calls execute within the invoking user's permissions” change how you thought about Part 10, compared to just writing a prompt instruction and hoping the model follows it?</w:t>
      </w:r>
    </w:p>
    <w:p>
      <w:pPr>
        <w:pStyle w:val="ListParagraph"/>
        <w:numPr>
          <w:ilvl w:val="0"/>
          <w:numId w:val="3"/>
        </w:numPr>
        <w:spacing w:after="90"/>
      </w:pPr>
      <w:r>
        <w:rPr>
          <w:sz w:val="21"/>
          <w:szCs w:val="21"/>
        </w:rPr>
        <w:t xml:space="preserve">What's the difference between the System prompt and the Task prompt, and what would go wrong if you swapped their contents?</w:t>
      </w:r>
    </w:p>
    <w:p>
      <w:pPr>
        <w:pStyle w:val="Heading1"/>
        <w:pBdr>
          <w:bottom w:val="single" w:color="1F3864" w:sz="6" w:space="4"/>
        </w:pBdr>
        <w:spacing w:after="200" w:before="420"/>
      </w:pPr>
      <w:r>
        <w:rPr>
          <w:b/>
          <w:bCs/>
          <w:color w:val="1F3864"/>
          <w:sz w:val="30"/>
          <w:szCs w:val="30"/>
        </w:rPr>
        <w:t xml:space="preserve">Troubleshooting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3864" w:val="clear"/>
            <w:tcMar>
              <w:top w:type="dxa" w:w="80"/>
              <w:left w:type="dxa" w:w="100"/>
              <w:bottom w:type="dxa" w:w="80"/>
              <w:right w:type="dxa" w:w="100"/>
            </w:tcMar>
            <w:vAlign w:val="center"/>
          </w:tcPr>
          <w:p>
            <w:r>
              <w:rPr>
                <w:b/>
                <w:bCs/>
                <w:color w:val="FFFFFF"/>
                <w:sz w:val="20"/>
                <w:szCs w:val="20"/>
              </w:rPr>
              <w:t xml:space="preserve">Symptom</w:t>
            </w:r>
          </w:p>
        </w:tc>
        <w:tc>
          <w:tcPr>
            <w:tcW w:type="dxa" w:w="6050"/>
            <w:shd w:fill="1F3864" w:val="clear"/>
            <w:tcMar>
              <w:top w:type="dxa" w:w="80"/>
              <w:left w:type="dxa" w:w="100"/>
              <w:bottom w:type="dxa" w:w="80"/>
              <w:right w:type="dxa" w:w="100"/>
            </w:tcMar>
            <w:vAlign w:val="center"/>
          </w:tcPr>
          <w:p>
            <w:r>
              <w:rPr>
                <w:b/>
                <w:bCs/>
                <w:color w:val="FFFFFF"/>
                <w:sz w:val="20"/>
                <w:szCs w:val="20"/>
              </w:rPr>
              <w:t xml:space="preserve">Likely Cause &amp; Fix</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“Missing ontology binding for function” at Publish</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See Part 9 — select your Ontology under “Bound to the following ontologies” in the Publish dialog before publishing</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Can't find AIP Logic in the navigation bar</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Use Cmd+J (macOS) or Ctrl+J (Windows), or +New → AIP Logic from your Project's file browser</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Query tool returns nothing for a valid applicationId</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the applicationId actually exists in your Ontology, and that all three object types are added to the Query tool</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Output fields stay empty even though the summary looks right</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Confirm your Struct fields in Part 7 are connected to the Use LLM block's response, and that Structured output mode is set (Strict is most reliable)</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Copilot still returns data even without Marking eligibility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You may have re-added yourself as eligible without noticing, or the property/object security policy from Week 1, Part 7 isn't actually saved</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confidenceLevel is always the same value</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Your System prompt likely doesn't give the model a concrete condition for lowering it — add an explicit rule, like “if more than half of expected data is missing, set confidenceLevel to Low”</w:t>
            </w:r>
          </w:p>
        </w:tc>
      </w:tr>
      <w:tr>
        <w:tc>
          <w:tcPr>
            <w:tcW w:type="dxa" w:w="3300"/>
            <w:shd w:fill="F2F2F2" w:val="clear"/>
            <w:tcMar>
              <w:top w:type="dxa" w:w="80"/>
              <w:left w:type="dxa" w:w="100"/>
              <w:bottom w:type="dxa" w:w="80"/>
              <w:right w:type="dxa" w:w="100"/>
            </w:tcMar>
            <w:vAlign w:val="center"/>
          </w:tcPr>
          <w:p>
            <w:r>
              <w:rPr>
                <w:b w:val="false"/>
                <w:bCs w:val="false"/>
                <w:color w:val="000000"/>
                <w:sz w:val="20"/>
                <w:szCs w:val="20"/>
              </w:rPr>
              <w:t xml:space="preserve">Publish button is greyed out entirely</w:t>
            </w:r>
          </w:p>
        </w:tc>
        <w:tc>
          <w:tcPr>
            <w:tcW w:type="dxa" w:w="6050"/>
            <w:shd w:fill="F2F2F2" w:val="clear"/>
            <w:tcMar>
              <w:top w:type="dxa" w:w="80"/>
              <w:left w:type="dxa" w:w="100"/>
              <w:bottom w:type="dxa" w:w="80"/>
              <w:right w:type="dxa" w:w="100"/>
            </w:tcMar>
            <w:vAlign w:val="center"/>
          </w:tcPr>
          <w:p>
            <w:r>
              <w:rPr>
                <w:b w:val="false"/>
                <w:bCs w:val="false"/>
                <w:color w:val="000000"/>
                <w:sz w:val="20"/>
                <w:szCs w:val="20"/>
              </w:rPr>
              <w:t xml:space="preserve">Confirm your function has at least one successful Preview run first — a function that has never run successfully typically can't be published</w:t>
            </w:r>
          </w:p>
        </w:tc>
      </w:tr>
      <w:tr>
        <w:tc>
          <w:tcPr>
            <w:tcW w:type="dxa" w:w="3300"/>
            <w:shd w:fill="FFFFFF" w:val="clear"/>
            <w:tcMar>
              <w:top w:type="dxa" w:w="80"/>
              <w:left w:type="dxa" w:w="100"/>
              <w:bottom w:type="dxa" w:w="80"/>
              <w:right w:type="dxa" w:w="100"/>
            </w:tcMar>
            <w:vAlign w:val="center"/>
          </w:tcPr>
          <w:p>
            <w:r>
              <w:rPr>
                <w:b w:val="false"/>
                <w:bCs w:val="false"/>
                <w:color w:val="000000"/>
                <w:sz w:val="20"/>
                <w:szCs w:val="20"/>
              </w:rPr>
              <w:t xml:space="preserve">“Add as test case” isn't visible</w:t>
            </w:r>
          </w:p>
        </w:tc>
        <w:tc>
          <w:tcPr>
            <w:tcW w:type="dxa" w:w="6050"/>
            <w:shd w:fill="FFFFFF" w:val="clear"/>
            <w:tcMar>
              <w:top w:type="dxa" w:w="80"/>
              <w:left w:type="dxa" w:w="100"/>
              <w:bottom w:type="dxa" w:w="80"/>
              <w:right w:type="dxa" w:w="100"/>
            </w:tcMar>
            <w:vAlign w:val="center"/>
          </w:tcPr>
          <w:p>
            <w:r>
              <w:rPr>
                <w:b w:val="false"/>
                <w:bCs w:val="false"/>
                <w:color w:val="000000"/>
                <w:sz w:val="20"/>
                <w:szCs w:val="20"/>
              </w:rPr>
              <w:t xml:space="preserve">This appears near your run results after a successful Preview run — run your function first if you haven't yet</w:t>
            </w:r>
          </w:p>
        </w:tc>
      </w:tr>
    </w:tbl>
    <w:p>
      <w:pPr>
        <w:pStyle w:val="Heading1"/>
        <w:pBdr>
          <w:bottom w:val="single" w:color="1F3864" w:sz="6" w:space="4"/>
        </w:pBdr>
        <w:spacing w:after="200" w:before="420"/>
      </w:pPr>
      <w:r>
        <w:rPr>
          <w:b/>
          <w:bCs/>
          <w:color w:val="1F3864"/>
          <w:sz w:val="30"/>
          <w:szCs w:val="30"/>
        </w:rPr>
        <w:t xml:space="preserve">If You Run Out of Time</w:t>
      </w:r>
    </w:p>
    <w:p>
      <w:pPr>
        <w:spacing w:after="130"/>
      </w:pPr>
      <w:r>
        <w:rPr>
          <w:sz w:val="21"/>
          <w:szCs w:val="21"/>
        </w:rPr>
        <w:t xml:space="preserve">Complete Parts 1–8 (a working, structured-output Copilot, tested in Preview) as the minimum before Day 4. Parts 9–12 (publishing, refusal, escalation, and the evaluation suite) can be finished as the first thing you do on Day 4 if needed — note in your validation checklist exactly which Parts remain.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Hands-On Exercise — Underwriting Copilot (Self-Paced)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2026-08-15T18:13:16.541Z</dcterms:created>
  <dcterms:modified xsi:type="dcterms:W3CDTF">2026-08-15T18:13:16.542Z</dcterms:modified>
</cp:coreProperties>
</file>

<file path=docProps/custom.xml><?xml version="1.0" encoding="utf-8"?>
<Properties xmlns="http://schemas.openxmlformats.org/officeDocument/2006/custom-properties" xmlns:vt="http://schemas.openxmlformats.org/officeDocument/2006/docPropsVTypes"/>
</file>