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600"/>
        <w:jc w:val="center"/>
      </w:pPr>
      <w:r>
        <w:rPr>
          <w:b/>
          <w:bCs/>
          <w:color w:val="1F3864"/>
          <w:sz w:val="38"/>
          <w:szCs w:val="38"/>
        </w:rPr>
        <w:t xml:space="preserve">HANDS-ON EXERCISE</w:t>
      </w:r>
    </w:p>
    <w:p>
      <w:pPr>
        <w:spacing w:after="300"/>
        <w:jc w:val="center"/>
      </w:pPr>
      <w:r>
        <w:rPr>
          <w:b/>
          <w:bCs/>
          <w:color w:val="2E8B8B"/>
          <w:sz w:val="25"/>
          <w:szCs w:val="25"/>
        </w:rPr>
        <w:t xml:space="preserve">AI-Assisted Claim Approval &amp; Writeback Workflow</w:t>
      </w:r>
    </w:p>
    <w:p>
      <w:pPr>
        <w:spacing w:after="300"/>
        <w:jc w:val="center"/>
      </w:pPr>
      <w:r>
        <w:rPr>
          <w:b/>
          <w:bCs/>
          <w:color w:val="B08D57"/>
          <w:sz w:val="22"/>
          <w:szCs w:val="22"/>
        </w:rPr>
        <w:t xml:space="preserve">India — Batch 1 — Claims Operations &amp; Settlement</w:t>
      </w:r>
    </w:p>
    <w:p>
      <w:pPr>
        <w:spacing w:after="500"/>
        <w:jc w:val="center"/>
      </w:pPr>
      <w:r>
        <w:rPr>
          <w:i/>
          <w:iCs/>
          <w:color w:val="555555"/>
          <w:sz w:val="20"/>
          <w:szCs w:val="20"/>
        </w:rPr>
        <w:t xml:space="preserve">Week 3 · Day 3 · Self-Paced Lab, Step by Step · Prepared by Rajesh Pasham</w:t>
      </w:r>
    </w:p>
    <w:p>
      <w:pPr>
        <w:pStyle w:val="Heading1"/>
        <w:pBdr>
          <w:bottom w:val="single" w:color="1F3864" w:sz="6" w:space="4"/>
        </w:pBdr>
        <w:spacing w:after="200" w:before="420"/>
      </w:pPr>
      <w:r>
        <w:rPr>
          <w:b/>
          <w:bCs/>
          <w:color w:val="1F3864"/>
          <w:sz w:val="30"/>
          <w:szCs w:val="30"/>
        </w:rPr>
        <w:t xml:space="preserve">Before You Begin</w:t>
      </w:r>
    </w:p>
    <w:p>
      <w:pPr>
        <w:spacing w:after="130"/>
      </w:pPr>
      <w:r>
        <w:rPr>
          <w:sz w:val="21"/>
          <w:szCs w:val="21"/>
        </w:rPr>
        <w:t xml:space="preserve">This lab builds directly on two things you already have: your Week 1 Claims Operations Ontology (with its Object Types, relationships, and High-Value Claim Marking) and your Week 2 ClaimsCopilot (a published, read-only AIP Logic function). Today adds the one thing neither had: a real, governed change to the Ontology.</w:t>
      </w:r>
    </w:p>
    <w:p>
      <w:pPr>
        <w:spacing w:after="130"/>
      </w:pPr>
      <w:r>
        <w:rPr>
          <w:sz w:val="21"/>
          <w:szCs w:val="21"/>
        </w:rPr>
        <w:t xml:space="preserve">Every click in this document is spelled out, including exact menu labels and button names, confirmed against current Palantir documentation — not guessed. Where the platform genuinely offers more than one way to do something, this document tells you which one to use and why.</w:t>
      </w:r>
    </w:p>
    <w:p>
      <w:pPr>
        <w:pStyle w:val="Heading1"/>
        <w:pBdr>
          <w:bottom w:val="single" w:color="1F3864" w:sz="6" w:space="4"/>
        </w:pBdr>
        <w:spacing w:after="200" w:before="420"/>
      </w:pPr>
      <w:r>
        <w:rPr>
          <w:b/>
          <w:bCs/>
          <w:color w:val="1F3864"/>
          <w:sz w:val="30"/>
          <w:szCs w:val="30"/>
        </w:rPr>
        <w:t xml:space="preserve">Read This First: How Writeback Actually Works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B0413E" w:sz="24"/>
            </w:tcBorders>
            <w:shd w:fill="F2F2F2" w:val="clear"/>
            <w:tcMar>
              <w:top w:type="dxa" w:w="140"/>
              <w:left w:type="dxa" w:w="180"/>
              <w:bottom w:type="dxa" w:w="140"/>
              <w:right w:type="dxa" w:w="180"/>
            </w:tcMar>
          </w:tcPr>
          <w:p>
            <w:pPr>
              <w:spacing w:after="60"/>
            </w:pPr>
            <w:r>
              <w:rPr>
                <w:b/>
                <w:bCs/>
                <w:color w:val="B0413E"/>
                <w:sz w:val="21"/>
                <w:szCs w:val="21"/>
              </w:rPr>
              <w:t xml:space="preserve">This Section Exists Because of a Real Platform Behavior That Trips Up Almost Everyone</w:t>
            </w:r>
          </w:p>
          <w:p>
            <w:r>
              <w:rPr>
                <w:sz w:val="20"/>
                <w:szCs w:val="20"/>
              </w:rPr>
              <w:t xml:space="preserve">In AIP Logic, if you add a step that applies an Action and then click Preview, the Debugger will show you the edit it would make — but that edit is never actually saved to the Ontology. Previewing a Logic function only simulates Ontology edits; it does not commit them. This is true no matter how correctly you've built everything else. If your earlier attempt involved building the Action call inside your Logic function and then checking Ontology Manager afterward and seeing no change, this is why — not a mistake you made.</w:t>
            </w:r>
          </w:p>
        </w:tc>
      </w:tr>
    </w:tbl>
    <w:p>
      <w:pPr>
        <w:spacing w:after="160"/>
      </w:pPr>
    </w:p>
    <w:p>
      <w:pPr>
        <w:spacing w:after="130"/>
      </w:pPr>
      <w:r>
        <w:rPr>
          <w:sz w:val="21"/>
          <w:szCs w:val="21"/>
        </w:rPr>
        <w:t xml:space="preserve">Because of this, today's workflow has two genuinely separate parts, and this document builds them in that order: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rPr>
          <w:tblHeader/>
        </w:trPr>
        <w:tc>
          <w:tcPr>
            <w:tcW w:type="dxa" w:w="2900"/>
            <w:shd w:fill="1F3864" w:val="clear"/>
            <w:tcMar>
              <w:top w:type="dxa" w:w="80"/>
              <w:left w:type="dxa" w:w="100"/>
              <w:bottom w:type="dxa" w:w="80"/>
              <w:right w:type="dxa" w:w="100"/>
            </w:tcMar>
            <w:vAlign w:val="center"/>
          </w:tcPr>
          <w:p>
            <w:r>
              <w:rPr>
                <w:b/>
                <w:bCs/>
                <w:color w:val="FFFFFF"/>
                <w:sz w:val="20"/>
                <w:szCs w:val="20"/>
              </w:rPr>
              <w:t xml:space="preserve">Part</w:t>
            </w:r>
          </w:p>
        </w:tc>
        <w:tc>
          <w:tcPr>
            <w:tcW w:type="dxa" w:w="6450"/>
            <w:shd w:fill="1F3864" w:val="clear"/>
            <w:tcMar>
              <w:top w:type="dxa" w:w="80"/>
              <w:left w:type="dxa" w:w="100"/>
              <w:bottom w:type="dxa" w:w="80"/>
              <w:right w:type="dxa" w:w="100"/>
            </w:tcMar>
            <w:vAlign w:val="center"/>
          </w:tcPr>
          <w:p>
            <w:r>
              <w:rPr>
                <w:b/>
                <w:bCs/>
                <w:color w:val="FFFFFF"/>
                <w:sz w:val="20"/>
                <w:szCs w:val="20"/>
              </w:rPr>
              <w:t xml:space="preserve">What It Does</w:t>
            </w:r>
          </w:p>
        </w:tc>
      </w:tr>
      <w:tr>
        <w:tc>
          <w:tcPr>
            <w:tcW w:type="dxa" w:w="2900"/>
            <w:shd w:fill="F2F2F2" w:val="clear"/>
            <w:tcMar>
              <w:top w:type="dxa" w:w="80"/>
              <w:left w:type="dxa" w:w="100"/>
              <w:bottom w:type="dxa" w:w="80"/>
              <w:right w:type="dxa" w:w="100"/>
            </w:tcMar>
            <w:vAlign w:val="center"/>
          </w:tcPr>
          <w:p>
            <w:r>
              <w:rPr>
                <w:b w:val="false"/>
                <w:bCs w:val="false"/>
                <w:color w:val="000000"/>
                <w:sz w:val="20"/>
                <w:szCs w:val="20"/>
              </w:rPr>
              <w:t xml:space="preserve">The Reasoning Workflow (Parts 2–6)</w:t>
            </w:r>
          </w:p>
        </w:tc>
        <w:tc>
          <w:tcPr>
            <w:tcW w:type="dxa" w:w="6450"/>
            <w:shd w:fill="F2F2F2" w:val="clear"/>
            <w:tcMar>
              <w:top w:type="dxa" w:w="80"/>
              <w:left w:type="dxa" w:w="100"/>
              <w:bottom w:type="dxa" w:w="80"/>
              <w:right w:type="dxa" w:w="100"/>
            </w:tcMar>
            <w:vAlign w:val="center"/>
          </w:tcPr>
          <w:p>
            <w:r>
              <w:rPr>
                <w:b w:val="false"/>
                <w:bCs w:val="false"/>
                <w:color w:val="000000"/>
                <w:sz w:val="20"/>
                <w:szCs w:val="20"/>
              </w:rPr>
              <w:t xml:space="preserve">An AIP Logic function that retrieves data, validates it, calculates figures, assesses risk, and recommends a decision. This is exactly the same kind of thing you built in Week 2 — it reads, reasons, and returns a structured recommendation. It does not touch the Ontology.</w:t>
            </w:r>
          </w:p>
        </w:tc>
      </w:tr>
      <w:tr>
        <w:tc>
          <w:tcPr>
            <w:tcW w:type="dxa" w:w="2900"/>
            <w:shd w:fill="FFFFFF" w:val="clear"/>
            <w:tcMar>
              <w:top w:type="dxa" w:w="80"/>
              <w:left w:type="dxa" w:w="100"/>
              <w:bottom w:type="dxa" w:w="80"/>
              <w:right w:type="dxa" w:w="100"/>
            </w:tcMar>
            <w:vAlign w:val="center"/>
          </w:tcPr>
          <w:p>
            <w:r>
              <w:rPr>
                <w:b w:val="false"/>
                <w:bCs w:val="false"/>
                <w:color w:val="000000"/>
                <w:sz w:val="20"/>
                <w:szCs w:val="20"/>
              </w:rPr>
              <w:t xml:space="preserve">Applying the Real Decision (Parts 7–8)</w:t>
            </w:r>
          </w:p>
        </w:tc>
        <w:tc>
          <w:tcPr>
            <w:tcW w:type="dxa" w:w="6450"/>
            <w:shd w:fill="FFFFFF" w:val="clear"/>
            <w:tcMar>
              <w:top w:type="dxa" w:w="80"/>
              <w:left w:type="dxa" w:w="100"/>
              <w:bottom w:type="dxa" w:w="80"/>
              <w:right w:type="dxa" w:w="100"/>
            </w:tcMar>
            <w:vAlign w:val="center"/>
          </w:tcPr>
          <w:p>
            <w:r>
              <w:rPr>
                <w:b w:val="false"/>
                <w:bCs w:val="false"/>
                <w:color w:val="000000"/>
                <w:sz w:val="20"/>
                <w:szCs w:val="20"/>
              </w:rPr>
              <w:t xml:space="preserve">Using Object Explorer — a standard Foundry application — to actually submit the Action, using the values your Reasoning Workflow recommended. This is the step that really writes to the Ontology, and the only step you can verify in Ontology Manager afterward.</w:t>
            </w:r>
          </w:p>
        </w:tc>
      </w:tr>
    </w:tbl>
    <w:p>
      <w:pPr>
        <w:spacing w:after="160"/>
      </w:pPr>
    </w:p>
    <w:p>
      <w:pPr>
        <w:spacing w:after="130"/>
      </w:pPr>
      <w:r>
        <w:rPr>
          <w:i/>
          <w:iCs/>
          <w:color w:val="555555"/>
          <w:sz w:val="21"/>
          <w:szCs w:val="21"/>
        </w:rPr>
        <w:t xml:space="preserve">This two-part shape is not a workaround — it's the standard, documented pattern for AI-assisted (as opposed to fully autonomous) writeback, and it matches this week's own lab title: AI-ASSISTED Claim Approval. The AI recommends; a governed Action, submitted with those recommended values, actually executes the change.</w:t>
      </w:r>
    </w:p>
    <w:p>
      <w:pPr>
        <w:spacing w:after="60" w:before="140"/>
      </w:pPr>
      <w:r>
        <w:rPr>
          <w:b/>
          <w:bCs/>
          <w:color w:val="333333"/>
          <w:sz w:val="21"/>
          <w:szCs w:val="21"/>
        </w:rPr>
        <w:t xml:space="preserve">How Long This Takes</w:t>
      </w:r>
    </w:p>
    <w:p>
      <w:pPr>
        <w:spacing w:after="130"/>
      </w:pPr>
      <w:r>
        <w:rPr>
          <w:sz w:val="21"/>
          <w:szCs w:val="21"/>
        </w:rPr>
        <w:t xml:space="preserve">Budget 4–5 hours.</w:t>
      </w:r>
    </w:p>
    <w:p>
      <w:pPr>
        <w:spacing w:after="60" w:before="140"/>
      </w:pPr>
      <w:r>
        <w:rPr>
          <w:b/>
          <w:bCs/>
          <w:color w:val="333333"/>
          <w:sz w:val="21"/>
          <w:szCs w:val="21"/>
        </w:rPr>
        <w:t xml:space="preserve">What You Need Before Starting</w:t>
      </w:r>
    </w:p>
    <w:p>
      <w:pPr>
        <w:pStyle w:val="ListParagraph"/>
        <w:numPr>
          <w:ilvl w:val="0"/>
          <w:numId w:val="2"/>
        </w:numPr>
        <w:spacing w:after="60"/>
      </w:pPr>
      <w:r>
        <w:rPr>
          <w:sz w:val="21"/>
          <w:szCs w:val="21"/>
        </w:rPr>
        <w:t xml:space="preserve">Your individual Palantir Developer Tier account, already signed in</w:t>
      </w:r>
    </w:p>
    <w:p>
      <w:pPr>
        <w:pStyle w:val="ListParagraph"/>
        <w:numPr>
          <w:ilvl w:val="0"/>
          <w:numId w:val="2"/>
        </w:numPr>
        <w:spacing w:after="60"/>
      </w:pPr>
      <w:r>
        <w:rPr>
          <w:sz w:val="21"/>
          <w:szCs w:val="21"/>
        </w:rPr>
        <w:t xml:space="preserve">Your Week 1 Claims Operations Ontology, fully built and secured: Policyholder, Insurance Policy, Claim, Claim Document, Payment, Adjuster, Investigation, plus the High-Value Claim Marking with its object and property security policies</w:t>
      </w:r>
    </w:p>
    <w:p>
      <w:pPr>
        <w:pStyle w:val="ListParagraph"/>
        <w:numPr>
          <w:ilvl w:val="0"/>
          <w:numId w:val="2"/>
        </w:numPr>
        <w:spacing w:after="60"/>
      </w:pPr>
      <w:r>
        <w:rPr>
          <w:sz w:val="21"/>
          <w:szCs w:val="21"/>
        </w:rPr>
        <w:t xml:space="preserve">Your Week 2 ClaimsCopilot function, published and working — you will reuse it as a step inside today's workflow, not rebuild it</w:t>
      </w:r>
    </w:p>
    <w:p>
      <w:pPr>
        <w:spacing w:after="60" w:before="140"/>
      </w:pPr>
      <w:r>
        <w:rPr>
          <w:b/>
          <w:bCs/>
          <w:color w:val="333333"/>
          <w:sz w:val="21"/>
          <w:szCs w:val="21"/>
        </w:rPr>
        <w:t xml:space="preserve">Getting Unstuck Without the Trainer</w:t>
      </w:r>
    </w:p>
    <w:p>
      <w:pPr>
        <w:pStyle w:val="ListParagraph"/>
        <w:numPr>
          <w:ilvl w:val="0"/>
          <w:numId w:val="2"/>
        </w:numPr>
        <w:spacing w:after="60"/>
      </w:pPr>
      <w:r>
        <w:rPr>
          <w:sz w:val="21"/>
          <w:szCs w:val="21"/>
        </w:rPr>
        <w:t xml:space="preserve">Re-read the relevant step first — most issues are a missed sub-step, not a platform problem</w:t>
      </w:r>
    </w:p>
    <w:p>
      <w:pPr>
        <w:pStyle w:val="ListParagraph"/>
        <w:numPr>
          <w:ilvl w:val="0"/>
          <w:numId w:val="2"/>
        </w:numPr>
        <w:spacing w:after="60"/>
      </w:pPr>
      <w:r>
        <w:rPr>
          <w:sz w:val="21"/>
          <w:szCs w:val="21"/>
        </w:rPr>
        <w:t xml:space="preserve">Check the Troubleshooting table at the end of this document for the specific symptom you're seeing</w:t>
      </w:r>
    </w:p>
    <w:p>
      <w:pPr>
        <w:pStyle w:val="ListParagraph"/>
        <w:numPr>
          <w:ilvl w:val="0"/>
          <w:numId w:val="2"/>
        </w:numPr>
        <w:spacing w:after="60"/>
      </w:pPr>
      <w:r>
        <w:rPr>
          <w:sz w:val="21"/>
          <w:szCs w:val="21"/>
        </w:rPr>
        <w:t xml:space="preserve">Search the exact error message in the Palantir Developer Community (community.palantir.com)</w:t>
      </w:r>
    </w:p>
    <w:p>
      <w:pPr>
        <w:pStyle w:val="ListParagraph"/>
        <w:numPr>
          <w:ilvl w:val="0"/>
          <w:numId w:val="2"/>
        </w:numPr>
        <w:spacing w:after="60"/>
      </w:pPr>
      <w:r>
        <w:rPr>
          <w:sz w:val="21"/>
          <w:szCs w:val="21"/>
        </w:rPr>
        <w:t xml:space="preserve">Note the blocker in your validation checklist and bring it to Day 4</w:t>
      </w:r>
    </w:p>
    <w:p>
      <w:pPr>
        <w:pStyle w:val="Heading1"/>
        <w:pBdr>
          <w:bottom w:val="single" w:color="1F3864" w:sz="6" w:space="4"/>
        </w:pBdr>
        <w:spacing w:after="200" w:before="420"/>
      </w:pPr>
      <w:r>
        <w:rPr>
          <w:b/>
          <w:bCs/>
          <w:color w:val="1F3864"/>
          <w:sz w:val="30"/>
          <w:szCs w:val="30"/>
        </w:rPr>
        <w:t xml:space="preserve">Lab Outcome</w:t>
      </w:r>
    </w:p>
    <w:p>
      <w:pPr>
        <w:spacing w:after="130"/>
      </w:pPr>
      <w:r>
        <w:rPr>
          <w:sz w:val="21"/>
          <w:szCs w:val="21"/>
        </w:rPr>
        <w:t xml:space="preserve">By the end of this lab, you will have an AI-assisted workflow that recommends a governed claim decision, and a real Action Type you apply that recommendation through. It will: retrieve the Claim and Insurance Policy; validate policy coverage; calculate an eligible claim range; detect missing evidence; assess fraud and operational risk; recommend approval, rejection, or investigation; and provide the exact values needed to submit a real, auditable Action that updates the Claim and creates a Payment.</w:t>
      </w:r>
    </w:p>
    <w:p>
      <w:pPr>
        <w:pStyle w:val="Heading1"/>
        <w:pBdr>
          <w:bottom w:val="single" w:color="1F3864" w:sz="6" w:space="4"/>
        </w:pBdr>
        <w:spacing w:after="200" w:before="420"/>
      </w:pPr>
      <w:r>
        <w:rPr>
          <w:b/>
          <w:bCs/>
          <w:color w:val="1F3864"/>
          <w:sz w:val="30"/>
          <w:szCs w:val="30"/>
        </w:rPr>
        <w:t xml:space="preserve">Orienting Yourself: Three Screens Today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Screen</w:t>
            </w:r>
          </w:p>
        </w:tc>
        <w:tc>
          <w:tcPr>
            <w:tcW w:type="dxa" w:w="6750"/>
            <w:shd w:fill="1F3864" w:val="clear"/>
            <w:tcMar>
              <w:top w:type="dxa" w:w="80"/>
              <w:left w:type="dxa" w:w="100"/>
              <w:bottom w:type="dxa" w:w="80"/>
              <w:right w:type="dxa" w:w="100"/>
            </w:tcMar>
            <w:vAlign w:val="center"/>
          </w:tcPr>
          <w:p>
            <w:r>
              <w:rPr>
                <w:b/>
                <w:bCs/>
                <w:color w:val="FFFFFF"/>
                <w:sz w:val="20"/>
                <w:szCs w:val="20"/>
              </w:rPr>
              <w:t xml:space="preserve">What It's For</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Ontology Manager</w:t>
            </w:r>
          </w:p>
        </w:tc>
        <w:tc>
          <w:tcPr>
            <w:tcW w:type="dxa" w:w="6750"/>
            <w:shd w:fill="F2F2F2" w:val="clear"/>
            <w:tcMar>
              <w:top w:type="dxa" w:w="80"/>
              <w:left w:type="dxa" w:w="100"/>
              <w:bottom w:type="dxa" w:w="80"/>
              <w:right w:type="dxa" w:w="100"/>
            </w:tcMar>
            <w:vAlign w:val="center"/>
          </w:tcPr>
          <w:p>
            <w:r>
              <w:rPr>
                <w:b w:val="false"/>
                <w:bCs w:val="false"/>
                <w:color w:val="000000"/>
                <w:sz w:val="20"/>
                <w:szCs w:val="20"/>
              </w:rPr>
              <w:t xml:space="preserve">Where your Object Types, Markings, and (starting today) Action Types are defined. You worked here in Week 1. Part 1 happens entirely here.</w:t>
            </w:r>
          </w:p>
        </w:tc>
      </w:tr>
      <w:tr>
        <w:tc>
          <w:tcPr>
            <w:tcW w:type="dxa" w:w="2600"/>
            <w:shd w:fill="FFFFFF" w:val="clear"/>
            <w:tcMar>
              <w:top w:type="dxa" w:w="80"/>
              <w:left w:type="dxa" w:w="100"/>
              <w:bottom w:type="dxa" w:w="80"/>
              <w:right w:type="dxa" w:w="100"/>
            </w:tcMar>
            <w:vAlign w:val="center"/>
          </w:tcPr>
          <w:p>
            <w:r>
              <w:rPr>
                <w:b w:val="false"/>
                <w:bCs w:val="false"/>
                <w:color w:val="000000"/>
                <w:sz w:val="20"/>
                <w:szCs w:val="20"/>
              </w:rPr>
              <w:t xml:space="preserve">AIP Logic</w:t>
            </w:r>
          </w:p>
        </w:tc>
        <w:tc>
          <w:tcPr>
            <w:tcW w:type="dxa" w:w="6750"/>
            <w:shd w:fill="FFFFFF" w:val="clear"/>
            <w:tcMar>
              <w:top w:type="dxa" w:w="80"/>
              <w:left w:type="dxa" w:w="100"/>
              <w:bottom w:type="dxa" w:w="80"/>
              <w:right w:type="dxa" w:w="100"/>
            </w:tcMar>
            <w:vAlign w:val="center"/>
          </w:tcPr>
          <w:p>
            <w:r>
              <w:rPr>
                <w:b w:val="false"/>
                <w:bCs w:val="false"/>
                <w:color w:val="000000"/>
                <w:sz w:val="20"/>
                <w:szCs w:val="20"/>
              </w:rPr>
              <w:t xml:space="preserve">Where you build the reasoning workflow — the sequence of steps that reads data, reasons, and recommends a decision. You worked here in Week 2. Parts 2–6 and Part 9 happen here.</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Object Explorer</w:t>
            </w:r>
          </w:p>
        </w:tc>
        <w:tc>
          <w:tcPr>
            <w:tcW w:type="dxa" w:w="6750"/>
            <w:shd w:fill="F2F2F2" w:val="clear"/>
            <w:tcMar>
              <w:top w:type="dxa" w:w="80"/>
              <w:left w:type="dxa" w:w="100"/>
              <w:bottom w:type="dxa" w:w="80"/>
              <w:right w:type="dxa" w:w="100"/>
            </w:tcMar>
            <w:vAlign w:val="center"/>
          </w:tcPr>
          <w:p>
            <w:r>
              <w:rPr>
                <w:b w:val="false"/>
                <w:bCs w:val="false"/>
                <w:color w:val="000000"/>
                <w:sz w:val="20"/>
                <w:szCs w:val="20"/>
              </w:rPr>
              <w:t xml:space="preserve">New today. Where you find a real Claim object and actually submit your Action against it. Parts 7–8 and Part 10 happen here.</w:t>
            </w:r>
          </w:p>
        </w:tc>
      </w:tr>
    </w:tbl>
    <w:p>
      <w:pPr>
        <w:spacing w:after="160"/>
      </w:pPr>
    </w:p>
    <w:p>
      <w:pPr>
        <w:pStyle w:val="Heading1"/>
        <w:pBdr>
          <w:bottom w:val="single" w:color="1F3864" w:sz="6" w:space="4"/>
        </w:pBdr>
        <w:spacing w:after="200" w:before="420"/>
      </w:pPr>
      <w:r>
        <w:rPr>
          <w:b/>
          <w:bCs/>
          <w:color w:val="1F3864"/>
          <w:sz w:val="30"/>
          <w:szCs w:val="30"/>
        </w:rPr>
        <w:t xml:space="preserve">Lab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rPr>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Part</w:t>
            </w:r>
          </w:p>
        </w:tc>
        <w:tc>
          <w:tcPr>
            <w:tcW w:type="dxa" w:w="8650"/>
            <w:shd w:fill="1F3864" w:val="clear"/>
            <w:tcMar>
              <w:top w:type="dxa" w:w="80"/>
              <w:left w:type="dxa" w:w="100"/>
              <w:bottom w:type="dxa" w:w="80"/>
              <w:right w:type="dxa" w:w="100"/>
            </w:tcMar>
            <w:vAlign w:val="center"/>
          </w:tcPr>
          <w:p>
            <w:r>
              <w:rPr>
                <w:b/>
                <w:bCs/>
                <w:color w:val="FFFFFF"/>
                <w:sz w:val="20"/>
                <w:szCs w:val="20"/>
              </w:rPr>
              <w:t xml:space="preserve">Task</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1</w:t>
            </w:r>
          </w:p>
        </w:tc>
        <w:tc>
          <w:tcPr>
            <w:tcW w:type="dxa" w:w="8650"/>
            <w:shd w:fill="F2F2F2" w:val="clear"/>
            <w:tcMar>
              <w:top w:type="dxa" w:w="80"/>
              <w:left w:type="dxa" w:w="100"/>
              <w:bottom w:type="dxa" w:w="80"/>
              <w:right w:type="dxa" w:w="100"/>
            </w:tcMar>
            <w:vAlign w:val="center"/>
          </w:tcPr>
          <w:p>
            <w:r>
              <w:rPr>
                <w:b w:val="false"/>
                <w:bCs w:val="false"/>
                <w:color w:val="000000"/>
                <w:sz w:val="20"/>
                <w:szCs w:val="20"/>
              </w:rPr>
              <w:t xml:space="preserve">Create your ApproveClaim Action Type in Ontology Manager</w:t>
            </w:r>
          </w:p>
        </w:tc>
      </w:tr>
      <w:tr>
        <w:tc>
          <w:tcPr>
            <w:tcW w:type="dxa" w:w="700"/>
            <w:shd w:fill="FFFFFF" w:val="clear"/>
            <w:tcMar>
              <w:top w:type="dxa" w:w="80"/>
              <w:left w:type="dxa" w:w="100"/>
              <w:bottom w:type="dxa" w:w="80"/>
              <w:right w:type="dxa" w:w="100"/>
            </w:tcMar>
            <w:vAlign w:val="center"/>
          </w:tcPr>
          <w:p>
            <w:r>
              <w:rPr>
                <w:b w:val="false"/>
                <w:bCs w:val="false"/>
                <w:color w:val="000000"/>
                <w:sz w:val="20"/>
                <w:szCs w:val="20"/>
              </w:rPr>
              <w:t xml:space="preserve">2</w:t>
            </w:r>
          </w:p>
        </w:tc>
        <w:tc>
          <w:tcPr>
            <w:tcW w:type="dxa" w:w="8650"/>
            <w:shd w:fill="FFFFFF" w:val="clear"/>
            <w:tcMar>
              <w:top w:type="dxa" w:w="80"/>
              <w:left w:type="dxa" w:w="100"/>
              <w:bottom w:type="dxa" w:w="80"/>
              <w:right w:type="dxa" w:w="100"/>
            </w:tcMar>
            <w:vAlign w:val="center"/>
          </w:tcPr>
          <w:p>
            <w:r>
              <w:rPr>
                <w:b w:val="false"/>
                <w:bCs w:val="false"/>
                <w:color w:val="000000"/>
                <w:sz w:val="20"/>
                <w:szCs w:val="20"/>
              </w:rPr>
              <w:t xml:space="preserve">Create your Reasoning Workflow function in AIP Logic and reuse your Week 2 Copilot</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3</w:t>
            </w:r>
          </w:p>
        </w:tc>
        <w:tc>
          <w:tcPr>
            <w:tcW w:type="dxa" w:w="8650"/>
            <w:shd w:fill="F2F2F2" w:val="clear"/>
            <w:tcMar>
              <w:top w:type="dxa" w:w="80"/>
              <w:left w:type="dxa" w:w="100"/>
              <w:bottom w:type="dxa" w:w="80"/>
              <w:right w:type="dxa" w:w="100"/>
            </w:tcMar>
            <w:vAlign w:val="center"/>
          </w:tcPr>
          <w:p>
            <w:r>
              <w:rPr>
                <w:b w:val="false"/>
                <w:bCs w:val="false"/>
                <w:color w:val="000000"/>
                <w:sz w:val="20"/>
                <w:szCs w:val="20"/>
              </w:rPr>
              <w:t xml:space="preserve">Add validation and calculation blocks (deterministic)</w:t>
            </w:r>
          </w:p>
        </w:tc>
      </w:tr>
      <w:tr>
        <w:tc>
          <w:tcPr>
            <w:tcW w:type="dxa" w:w="700"/>
            <w:shd w:fill="FFFFFF" w:val="clear"/>
            <w:tcMar>
              <w:top w:type="dxa" w:w="80"/>
              <w:left w:type="dxa" w:w="100"/>
              <w:bottom w:type="dxa" w:w="80"/>
              <w:right w:type="dxa" w:w="100"/>
            </w:tcMar>
            <w:vAlign w:val="center"/>
          </w:tcPr>
          <w:p>
            <w:r>
              <w:rPr>
                <w:b w:val="false"/>
                <w:bCs w:val="false"/>
                <w:color w:val="000000"/>
                <w:sz w:val="20"/>
                <w:szCs w:val="20"/>
              </w:rPr>
              <w:t xml:space="preserve">4</w:t>
            </w:r>
          </w:p>
        </w:tc>
        <w:tc>
          <w:tcPr>
            <w:tcW w:type="dxa" w:w="8650"/>
            <w:shd w:fill="FFFFFF" w:val="clear"/>
            <w:tcMar>
              <w:top w:type="dxa" w:w="80"/>
              <w:left w:type="dxa" w:w="100"/>
              <w:bottom w:type="dxa" w:w="80"/>
              <w:right w:type="dxa" w:w="100"/>
            </w:tcMar>
            <w:vAlign w:val="center"/>
          </w:tcPr>
          <w:p>
            <w:r>
              <w:rPr>
                <w:b w:val="false"/>
                <w:bCs w:val="false"/>
                <w:color w:val="000000"/>
                <w:sz w:val="20"/>
                <w:szCs w:val="20"/>
              </w:rPr>
              <w:t xml:space="preserve">Add risk assessment (a second, generative reasoning stage)</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5</w:t>
            </w:r>
          </w:p>
        </w:tc>
        <w:tc>
          <w:tcPr>
            <w:tcW w:type="dxa" w:w="8650"/>
            <w:shd w:fill="F2F2F2" w:val="clear"/>
            <w:tcMar>
              <w:top w:type="dxa" w:w="80"/>
              <w:left w:type="dxa" w:w="100"/>
              <w:bottom w:type="dxa" w:w="80"/>
              <w:right w:type="dxa" w:w="100"/>
            </w:tcMar>
            <w:vAlign w:val="center"/>
          </w:tcPr>
          <w:p>
            <w:r>
              <w:rPr>
                <w:b w:val="false"/>
                <w:bCs w:val="false"/>
                <w:color w:val="000000"/>
                <w:sz w:val="20"/>
                <w:szCs w:val="20"/>
              </w:rPr>
              <w:t xml:space="preserve">Add a recommendation block that assembles your final structured output</w:t>
            </w:r>
          </w:p>
        </w:tc>
      </w:tr>
      <w:tr>
        <w:tc>
          <w:tcPr>
            <w:tcW w:type="dxa" w:w="700"/>
            <w:shd w:fill="FFFFFF" w:val="clear"/>
            <w:tcMar>
              <w:top w:type="dxa" w:w="80"/>
              <w:left w:type="dxa" w:w="100"/>
              <w:bottom w:type="dxa" w:w="80"/>
              <w:right w:type="dxa" w:w="100"/>
            </w:tcMar>
            <w:vAlign w:val="center"/>
          </w:tcPr>
          <w:p>
            <w:r>
              <w:rPr>
                <w:b w:val="false"/>
                <w:bCs w:val="false"/>
                <w:color w:val="000000"/>
                <w:sz w:val="20"/>
                <w:szCs w:val="20"/>
              </w:rPr>
              <w:t xml:space="preserve">6</w:t>
            </w:r>
          </w:p>
        </w:tc>
        <w:tc>
          <w:tcPr>
            <w:tcW w:type="dxa" w:w="8650"/>
            <w:shd w:fill="FFFFFF" w:val="clear"/>
            <w:tcMar>
              <w:top w:type="dxa" w:w="80"/>
              <w:left w:type="dxa" w:w="100"/>
              <w:bottom w:type="dxa" w:w="80"/>
              <w:right w:type="dxa" w:w="100"/>
            </w:tcMar>
            <w:vAlign w:val="center"/>
          </w:tcPr>
          <w:p>
            <w:r>
              <w:rPr>
                <w:b w:val="false"/>
                <w:bCs w:val="false"/>
                <w:color w:val="000000"/>
                <w:sz w:val="20"/>
                <w:szCs w:val="20"/>
              </w:rPr>
              <w:t xml:space="preserve">Configure structured output, publish, and fix the ontology-binding error if it appears</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7</w:t>
            </w:r>
          </w:p>
        </w:tc>
        <w:tc>
          <w:tcPr>
            <w:tcW w:type="dxa" w:w="8650"/>
            <w:shd w:fill="F2F2F2" w:val="clear"/>
            <w:tcMar>
              <w:top w:type="dxa" w:w="80"/>
              <w:left w:type="dxa" w:w="100"/>
              <w:bottom w:type="dxa" w:w="80"/>
              <w:right w:type="dxa" w:w="100"/>
            </w:tcMar>
            <w:vAlign w:val="center"/>
          </w:tcPr>
          <w:p>
            <w:r>
              <w:rPr>
                <w:b w:val="false"/>
                <w:bCs w:val="false"/>
                <w:color w:val="000000"/>
                <w:sz w:val="20"/>
                <w:szCs w:val="20"/>
              </w:rPr>
              <w:t xml:space="preserve">Apply your first real Action in Object Explorer</w:t>
            </w:r>
          </w:p>
        </w:tc>
      </w:tr>
      <w:tr>
        <w:tc>
          <w:tcPr>
            <w:tcW w:type="dxa" w:w="700"/>
            <w:shd w:fill="FFFFFF" w:val="clear"/>
            <w:tcMar>
              <w:top w:type="dxa" w:w="80"/>
              <w:left w:type="dxa" w:w="100"/>
              <w:bottom w:type="dxa" w:w="80"/>
              <w:right w:type="dxa" w:w="100"/>
            </w:tcMar>
            <w:vAlign w:val="center"/>
          </w:tcPr>
          <w:p>
            <w:r>
              <w:rPr>
                <w:b w:val="false"/>
                <w:bCs w:val="false"/>
                <w:color w:val="000000"/>
                <w:sz w:val="20"/>
                <w:szCs w:val="20"/>
              </w:rPr>
              <w:t xml:space="preserve">8</w:t>
            </w:r>
          </w:p>
        </w:tc>
        <w:tc>
          <w:tcPr>
            <w:tcW w:type="dxa" w:w="8650"/>
            <w:shd w:fill="FFFFFF" w:val="clear"/>
            <w:tcMar>
              <w:top w:type="dxa" w:w="80"/>
              <w:left w:type="dxa" w:w="100"/>
              <w:bottom w:type="dxa" w:w="80"/>
              <w:right w:type="dxa" w:w="100"/>
            </w:tcMar>
            <w:vAlign w:val="center"/>
          </w:tcPr>
          <w:p>
            <w:r>
              <w:rPr>
                <w:b w:val="false"/>
                <w:bCs w:val="false"/>
                <w:color w:val="000000"/>
                <w:sz w:val="20"/>
                <w:szCs w:val="20"/>
              </w:rPr>
              <w:t xml:space="preserve">Verify the writeback directly, and confirm the Action's built-in idempotency</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9</w:t>
            </w:r>
          </w:p>
        </w:tc>
        <w:tc>
          <w:tcPr>
            <w:tcW w:type="dxa" w:w="8650"/>
            <w:shd w:fill="F2F2F2" w:val="clear"/>
            <w:tcMar>
              <w:top w:type="dxa" w:w="80"/>
              <w:left w:type="dxa" w:w="100"/>
              <w:bottom w:type="dxa" w:w="80"/>
              <w:right w:type="dxa" w:w="100"/>
            </w:tcMar>
            <w:vAlign w:val="center"/>
          </w:tcPr>
          <w:p>
            <w:r>
              <w:rPr>
                <w:b w:val="false"/>
                <w:bCs w:val="false"/>
                <w:color w:val="000000"/>
                <w:sz w:val="20"/>
                <w:szCs w:val="20"/>
              </w:rPr>
              <w:t xml:space="preserve">Create an evaluation suite for your Reasoning Workflow</w:t>
            </w:r>
          </w:p>
        </w:tc>
      </w:tr>
      <w:tr>
        <w:tc>
          <w:tcPr>
            <w:tcW w:type="dxa" w:w="700"/>
            <w:shd w:fill="FFFFFF" w:val="clear"/>
            <w:tcMar>
              <w:top w:type="dxa" w:w="80"/>
              <w:left w:type="dxa" w:w="100"/>
              <w:bottom w:type="dxa" w:w="80"/>
              <w:right w:type="dxa" w:w="100"/>
            </w:tcMar>
            <w:vAlign w:val="center"/>
          </w:tcPr>
          <w:p>
            <w:r>
              <w:rPr>
                <w:b w:val="false"/>
                <w:bCs w:val="false"/>
                <w:color w:val="000000"/>
                <w:sz w:val="20"/>
                <w:szCs w:val="20"/>
              </w:rPr>
              <w:t xml:space="preserve">10</w:t>
            </w:r>
          </w:p>
        </w:tc>
        <w:tc>
          <w:tcPr>
            <w:tcW w:type="dxa" w:w="8650"/>
            <w:shd w:fill="FFFFFF" w:val="clear"/>
            <w:tcMar>
              <w:top w:type="dxa" w:w="80"/>
              <w:left w:type="dxa" w:w="100"/>
              <w:bottom w:type="dxa" w:w="80"/>
              <w:right w:type="dxa" w:w="100"/>
            </w:tcMar>
            <w:vAlign w:val="center"/>
          </w:tcPr>
          <w:p>
            <w:r>
              <w:rPr>
                <w:b w:val="false"/>
                <w:bCs w:val="false"/>
                <w:color w:val="000000"/>
                <w:sz w:val="20"/>
                <w:szCs w:val="20"/>
              </w:rPr>
              <w:t xml:space="preserve">Test the investigation and Marking-refusal paths</w:t>
            </w:r>
          </w:p>
        </w:tc>
      </w:tr>
    </w:tbl>
    <w:p>
      <w:pPr>
        <w:spacing w:after="160"/>
      </w:pPr>
    </w:p>
    <w:p>
      <w:pPr>
        <w:pStyle w:val="Heading1"/>
        <w:pBdr>
          <w:bottom w:val="single" w:color="1F3864" w:sz="6" w:space="4"/>
        </w:pBdr>
        <w:spacing w:after="200" w:before="420"/>
      </w:pPr>
      <w:r>
        <w:rPr>
          <w:b/>
          <w:bCs/>
          <w:color w:val="1F3864"/>
          <w:sz w:val="30"/>
          <w:szCs w:val="30"/>
        </w:rPr>
        <w:t xml:space="preserve">Part 1 — Create Your ApproveClaim Action Type</w:t>
      </w:r>
    </w:p>
    <w:p>
      <w:pPr>
        <w:spacing w:after="130"/>
      </w:pPr>
      <w:r>
        <w:rPr>
          <w:sz w:val="21"/>
          <w:szCs w:val="21"/>
        </w:rPr>
        <w:t xml:space="preserve">Everything you built in Weeks 1–2 was read-only. This Part is the first time you'll define a change to the Ontology itself.</w:t>
      </w:r>
    </w:p>
    <w:p>
      <w:pPr>
        <w:pStyle w:val="Heading2"/>
        <w:spacing w:after="100" w:before="240"/>
      </w:pPr>
      <w:r>
        <w:rPr>
          <w:b/>
          <w:bCs/>
          <w:color w:val="2E8B8B"/>
          <w:sz w:val="23"/>
          <w:szCs w:val="23"/>
        </w:rPr>
        <w:t xml:space="preserve">Step 1: Open Ontology Manager</w:t>
      </w:r>
    </w:p>
    <w:p>
      <w:pPr>
        <w:pStyle w:val="ListParagraph"/>
        <w:numPr>
          <w:ilvl w:val="0"/>
          <w:numId w:val="3"/>
        </w:numPr>
        <w:spacing w:after="90"/>
      </w:pPr>
      <w:r>
        <w:rPr>
          <w:sz w:val="21"/>
          <w:szCs w:val="21"/>
        </w:rPr>
        <w:t xml:space="preserve">From anywhere in Foundry, press Cmd+J (macOS) or Ctrl+J (Windows), type “Ontology Manager,” and select it — or find it in your workspace navigation bar's list of applications.</w:t>
      </w:r>
    </w:p>
    <w:p>
      <w:pPr>
        <w:pStyle w:val="ListParagraph"/>
        <w:numPr>
          <w:ilvl w:val="0"/>
          <w:numId w:val="3"/>
        </w:numPr>
        <w:spacing w:after="90"/>
      </w:pPr>
      <w:r>
        <w:rPr>
          <w:sz w:val="21"/>
          <w:szCs w:val="21"/>
        </w:rPr>
        <w:t xml:space="preserve">Find and open your Claims Operations Ontology — the same one you built in Week 1.</w:t>
      </w:r>
    </w:p>
    <w:p>
      <w:pPr>
        <w:pStyle w:val="Heading2"/>
        <w:spacing w:after="100" w:before="240"/>
      </w:pPr>
      <w:r>
        <w:rPr>
          <w:b/>
          <w:bCs/>
          <w:color w:val="2E8B8B"/>
          <w:sz w:val="23"/>
          <w:szCs w:val="23"/>
        </w:rPr>
        <w:t xml:space="preserve">Step 2: Start a new Action Type</w:t>
      </w:r>
    </w:p>
    <w:p>
      <w:pPr>
        <w:pStyle w:val="ListParagraph"/>
        <w:numPr>
          <w:ilvl w:val="0"/>
          <w:numId w:val="3"/>
        </w:numPr>
        <w:spacing w:after="90"/>
      </w:pPr>
      <w:r>
        <w:rPr>
          <w:sz w:val="21"/>
          <w:szCs w:val="21"/>
        </w:rPr>
        <w:t xml:space="preserve">In the left sidebar of Ontology Manager, select Action type.</w:t>
      </w:r>
    </w:p>
    <w:p>
      <w:pPr>
        <w:pStyle w:val="ListParagraph"/>
        <w:numPr>
          <w:ilvl w:val="0"/>
          <w:numId w:val="3"/>
        </w:numPr>
        <w:spacing w:after="90"/>
      </w:pPr>
      <w:r>
        <w:rPr>
          <w:sz w:val="21"/>
          <w:szCs w:val="21"/>
        </w:rPr>
        <w:t xml:space="preserve">In the top right of the view, select New Action type.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B08D57" w:sz="24"/>
            </w:tcBorders>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You can also start an Action Type directly from an Object Type's own page, using the same New menu. Either path opens the same creation wizard — this document uses the Action type sidebar path because it's the more direct route.</w:t>
            </w:r>
          </w:p>
        </w:tc>
      </w:tr>
    </w:tbl>
    <w:p>
      <w:pPr>
        <w:spacing w:after="160"/>
      </w:pPr>
    </w:p>
    <w:p>
      <w:pPr>
        <w:pStyle w:val="Heading2"/>
        <w:spacing w:after="100" w:before="240"/>
      </w:pPr>
      <w:r>
        <w:rPr>
          <w:b/>
          <w:bCs/>
          <w:color w:val="2E8B8B"/>
          <w:sz w:val="23"/>
          <w:szCs w:val="23"/>
        </w:rPr>
        <w:t xml:space="preserve">Step 3: Configure the first rule — modifying the Claim</w:t>
      </w:r>
    </w:p>
    <w:p>
      <w:pPr>
        <w:pStyle w:val="ListParagraph"/>
        <w:numPr>
          <w:ilvl w:val="0"/>
          <w:numId w:val="3"/>
        </w:numPr>
        <w:spacing w:after="90"/>
      </w:pPr>
      <w:r>
        <w:rPr>
          <w:sz w:val="21"/>
          <w:szCs w:val="21"/>
        </w:rPr>
        <w:t xml:space="preserve">In the creation wizard, enter ApproveClaim as the Display name.</w:t>
      </w:r>
    </w:p>
    <w:p>
      <w:pPr>
        <w:pStyle w:val="ListParagraph"/>
        <w:numPr>
          <w:ilvl w:val="0"/>
          <w:numId w:val="3"/>
        </w:numPr>
        <w:spacing w:after="90"/>
      </w:pPr>
      <w:r>
        <w:rPr>
          <w:sz w:val="21"/>
          <w:szCs w:val="21"/>
        </w:rPr>
        <w:t xml:space="preserve">Under Change object(s), select Modify.</w:t>
      </w:r>
    </w:p>
    <w:p>
      <w:pPr>
        <w:pStyle w:val="ListParagraph"/>
        <w:numPr>
          <w:ilvl w:val="0"/>
          <w:numId w:val="3"/>
        </w:numPr>
        <w:spacing w:after="90"/>
      </w:pPr>
      <w:r>
        <w:rPr>
          <w:sz w:val="21"/>
          <w:szCs w:val="21"/>
        </w:rPr>
        <w:t xml:space="preserve">From the object type dropdown that appears, select Claim.</w:t>
      </w:r>
    </w:p>
    <w:p>
      <w:pPr>
        <w:pStyle w:val="ListParagraph"/>
        <w:numPr>
          <w:ilvl w:val="0"/>
          <w:numId w:val="3"/>
        </w:numPr>
        <w:spacing w:after="90"/>
      </w:pPr>
      <w:r>
        <w:rPr>
          <w:sz w:val="21"/>
          <w:szCs w:val="21"/>
        </w:rPr>
        <w:t xml:space="preserve">Select Add property, and choose status. This is the property this Action will be allowed to change.</w:t>
      </w:r>
    </w:p>
    <w:p>
      <w:pPr>
        <w:pStyle w:val="ListParagraph"/>
        <w:numPr>
          <w:ilvl w:val="0"/>
          <w:numId w:val="3"/>
        </w:numPr>
        <w:spacing w:after="90"/>
      </w:pPr>
      <w:r>
        <w:rPr>
          <w:sz w:val="21"/>
          <w:szCs w:val="21"/>
        </w:rPr>
        <w:t xml:space="preserve">Select Create in the bottom right of the wizard to finalize this first rule. You'll land on the full detail view of your new Action Type, with tabs across the top: Overview, Rules, Forms, and others.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B08D57" w:sz="24"/>
            </w:tcBorders>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Selecting a property here doesn't just mark it editable — it automatically creates a matching parameter for this Action, visible on the Forms tab. You don't define parameters separately from the properties you choose; they're generated together.</w:t>
            </w:r>
          </w:p>
        </w:tc>
      </w:tr>
    </w:tbl>
    <w:p>
      <w:pPr>
        <w:spacing w:after="160"/>
      </w:pPr>
    </w:p>
    <w:p>
      <w:pPr>
        <w:pStyle w:val="Heading2"/>
        <w:spacing w:after="100" w:before="240"/>
      </w:pPr>
      <w:r>
        <w:rPr>
          <w:b/>
          <w:bCs/>
          <w:color w:val="2E8B8B"/>
          <w:sz w:val="23"/>
          <w:szCs w:val="23"/>
        </w:rPr>
        <w:t xml:space="preserve">Step 4: Add a second rule — creating the Payment</w:t>
      </w:r>
    </w:p>
    <w:p>
      <w:pPr>
        <w:pStyle w:val="ListParagraph"/>
        <w:numPr>
          <w:ilvl w:val="0"/>
          <w:numId w:val="3"/>
        </w:numPr>
        <w:spacing w:after="90"/>
      </w:pPr>
      <w:r>
        <w:rPr>
          <w:sz w:val="21"/>
          <w:szCs w:val="21"/>
        </w:rPr>
        <w:t xml:space="preserve">Select the Rules tab.</w:t>
      </w:r>
    </w:p>
    <w:p>
      <w:pPr>
        <w:pStyle w:val="ListParagraph"/>
        <w:numPr>
          <w:ilvl w:val="0"/>
          <w:numId w:val="3"/>
        </w:numPr>
        <w:spacing w:after="90"/>
      </w:pPr>
      <w:r>
        <w:rPr>
          <w:sz w:val="21"/>
          <w:szCs w:val="21"/>
        </w:rPr>
        <w:t xml:space="preserve">Add a second rule. Set its type to Create object, and select Payment as the object type.</w:t>
      </w:r>
    </w:p>
    <w:p>
      <w:pPr>
        <w:pStyle w:val="ListParagraph"/>
        <w:numPr>
          <w:ilvl w:val="0"/>
          <w:numId w:val="3"/>
        </w:numPr>
        <w:spacing w:after="90"/>
      </w:pPr>
      <w:r>
        <w:rPr>
          <w:sz w:val="21"/>
          <w:szCs w:val="21"/>
        </w:rPr>
        <w:t xml:space="preserve">Add properties to this rule: amount, paymentDate, and paymentStatus. Also configure the link so the new Payment's claimId connects back to the Claim being modified in the first rule — look for a link or reference option tying the two rules to the same underlying Claim.</w:t>
      </w:r>
    </w:p>
    <w:p>
      <w:pPr>
        <w:pStyle w:val="ListParagraph"/>
        <w:numPr>
          <w:ilvl w:val="0"/>
          <w:numId w:val="3"/>
        </w:numPr>
        <w:spacing w:after="90"/>
      </w:pPr>
      <w:r>
        <w:rPr>
          <w:sz w:val="21"/>
          <w:szCs w:val="21"/>
        </w:rPr>
        <w:t xml:space="preserve">Set this second rule to apply conditionally — only when the decision being recorded is Approved. If you don't see an explicit conditional option on the rule itself, note this as an open item; Part 7 will show you how to simply choose not to fill in Payment details when submitting a non-approval decision.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B0413E" w:sz="24"/>
            </w:tcBorders>
            <w:shd w:fill="F2F2F2" w:val="clear"/>
            <w:tcMar>
              <w:top w:type="dxa" w:w="140"/>
              <w:left w:type="dxa" w:w="180"/>
              <w:bottom w:type="dxa" w:w="140"/>
              <w:right w:type="dxa" w:w="180"/>
            </w:tcMar>
          </w:tcPr>
          <w:p>
            <w:pPr>
              <w:spacing w:after="60"/>
            </w:pPr>
            <w:r>
              <w:rPr>
                <w:b/>
                <w:bCs/>
                <w:color w:val="B0413E"/>
                <w:sz w:val="21"/>
                <w:szCs w:val="21"/>
              </w:rPr>
              <w:t xml:space="preserve">Common Mistake</w:t>
            </w:r>
          </w:p>
          <w:p>
            <w:r>
              <w:rPr>
                <w:sz w:val="20"/>
                <w:szCs w:val="20"/>
              </w:rPr>
              <w:t xml:space="preserve">It's easy to add the Payment-creation rule but forget to link it back to the Claim — without that link, you'd get a Payment object floating with no connection to the claim it belongs to. Before moving on, confirm the link is configured.</w:t>
            </w:r>
          </w:p>
        </w:tc>
      </w:tr>
    </w:tbl>
    <w:p>
      <w:pPr>
        <w:spacing w:after="160"/>
      </w:pPr>
    </w:p>
    <w:p>
      <w:pPr>
        <w:pStyle w:val="Heading2"/>
        <w:spacing w:after="100" w:before="240"/>
      </w:pPr>
      <w:r>
        <w:rPr>
          <w:b/>
          <w:bCs/>
          <w:color w:val="2E8B8B"/>
          <w:sz w:val="23"/>
          <w:szCs w:val="23"/>
        </w:rPr>
        <w:t xml:space="preserve">Step 5: Review the Forms tab</w:t>
      </w:r>
    </w:p>
    <w:p>
      <w:pPr>
        <w:pStyle w:val="ListParagraph"/>
        <w:numPr>
          <w:ilvl w:val="0"/>
          <w:numId w:val="3"/>
        </w:numPr>
        <w:spacing w:after="90"/>
      </w:pPr>
      <w:r>
        <w:rPr>
          <w:sz w:val="21"/>
          <w:szCs w:val="21"/>
        </w:rPr>
        <w:t xml:space="preserve">Select the Forms tab. Confirm you see parameters corresponding to every property you added: the Claim being modified, its new status, and the new Payment's amount, paymentDate, and paymentStatus.</w:t>
      </w:r>
    </w:p>
    <w:p>
      <w:pPr>
        <w:pStyle w:val="Heading2"/>
        <w:spacing w:after="100" w:before="240"/>
      </w:pPr>
      <w:r>
        <w:rPr>
          <w:b/>
          <w:bCs/>
          <w:color w:val="2E8B8B"/>
          <w:sz w:val="23"/>
          <w:szCs w:val="23"/>
        </w:rPr>
        <w:t xml:space="preserve">Step 6: Configure submission criteria</w:t>
      </w:r>
    </w:p>
    <w:p>
      <w:pPr>
        <w:spacing w:after="130"/>
      </w:pPr>
      <w:r>
        <w:rPr>
          <w:sz w:val="21"/>
          <w:szCs w:val="21"/>
        </w:rPr>
        <w:t xml:space="preserve">Submission criteria control who can submit this Action, and under what conditions — and this is also where you'll build your duplicate-decision protection.</w:t>
      </w:r>
    </w:p>
    <w:p>
      <w:pPr>
        <w:pStyle w:val="ListParagraph"/>
        <w:numPr>
          <w:ilvl w:val="0"/>
          <w:numId w:val="3"/>
        </w:numPr>
        <w:spacing w:after="90"/>
      </w:pPr>
      <w:r>
        <w:rPr>
          <w:sz w:val="21"/>
          <w:szCs w:val="21"/>
        </w:rPr>
        <w:t xml:space="preserve">Find the Submission criteria section (this may be its own tab, or a section within Rules, depending on your platform version).</w:t>
      </w:r>
    </w:p>
    <w:p>
      <w:pPr>
        <w:pStyle w:val="ListParagraph"/>
        <w:numPr>
          <w:ilvl w:val="0"/>
          <w:numId w:val="3"/>
        </w:numPr>
        <w:spacing w:after="90"/>
      </w:pPr>
      <w:r>
        <w:rPr>
          <w:sz w:val="21"/>
          <w:szCs w:val="21"/>
        </w:rPr>
        <w:t xml:space="preserve">Add a criterion requiring that the Claim's status property currently equals UnderReview.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1F3864" w:sz="24"/>
            </w:tcBorders>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This single condition does more work than it looks like. Once this Action successfully runs once, the Claim's status changes away from UnderReview — so a second, accidental submission for the same Claim will automatically fail this same criterion. You get duplicate-decision protection for free, from the same condition that ensures the Action only applies to claims actually awaiting a decision. Part 8 has you prove this directly.</w:t>
            </w:r>
          </w:p>
        </w:tc>
      </w:tr>
    </w:tbl>
    <w:p>
      <w:pPr>
        <w:spacing w:after="160"/>
      </w:pPr>
    </w:p>
    <w:p>
      <w:pPr>
        <w:pStyle w:val="Heading2"/>
        <w:spacing w:after="100" w:before="240"/>
      </w:pPr>
      <w:r>
        <w:rPr>
          <w:b/>
          <w:bCs/>
          <w:color w:val="2E8B8B"/>
          <w:sz w:val="23"/>
          <w:szCs w:val="23"/>
        </w:rPr>
        <w:t xml:space="preserve">Step 7: Save</w:t>
      </w:r>
    </w:p>
    <w:p>
      <w:pPr>
        <w:pStyle w:val="ListParagraph"/>
        <w:numPr>
          <w:ilvl w:val="0"/>
          <w:numId w:val="3"/>
        </w:numPr>
        <w:spacing w:after="90"/>
      </w:pPr>
      <w:r>
        <w:rPr>
          <w:sz w:val="21"/>
          <w:szCs w:val="21"/>
        </w:rPr>
        <w:t xml:space="preserve">Select Save to store your ApproveClaim Action Type.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Your ApproveClaim Action Type exists in Ontology Manager, with two rules (modify Claim, create Payment), matching parameters on the Forms tab, and a submission criterion requiring status equals UnderReview.</w:t>
            </w:r>
          </w:p>
        </w:tc>
      </w:tr>
    </w:tbl>
    <w:p>
      <w:pPr>
        <w:spacing w:after="160"/>
      </w:pPr>
    </w:p>
    <w:p>
      <w:pPr>
        <w:pStyle w:val="Heading1"/>
        <w:pBdr>
          <w:bottom w:val="single" w:color="1F3864" w:sz="6" w:space="4"/>
        </w:pBdr>
        <w:spacing w:after="200" w:before="420"/>
      </w:pPr>
      <w:r>
        <w:rPr>
          <w:b/>
          <w:bCs/>
          <w:color w:val="1F3864"/>
          <w:sz w:val="30"/>
          <w:szCs w:val="30"/>
        </w:rPr>
        <w:t xml:space="preserve">Part 2 — Create Your Reasoning Workflow</w:t>
      </w:r>
    </w:p>
    <w:p>
      <w:pPr>
        <w:pStyle w:val="Heading2"/>
        <w:spacing w:after="100" w:before="240"/>
      </w:pPr>
      <w:r>
        <w:rPr>
          <w:b/>
          <w:bCs/>
          <w:color w:val="2E8B8B"/>
          <w:sz w:val="23"/>
          <w:szCs w:val="23"/>
        </w:rPr>
        <w:t xml:space="preserve">Step 1: Open AIP Logic</w:t>
      </w:r>
    </w:p>
    <w:p>
      <w:pPr>
        <w:pStyle w:val="ListParagraph"/>
        <w:numPr>
          <w:ilvl w:val="0"/>
          <w:numId w:val="3"/>
        </w:numPr>
        <w:spacing w:after="90"/>
      </w:pPr>
      <w:r>
        <w:rPr>
          <w:sz w:val="21"/>
          <w:szCs w:val="21"/>
        </w:rPr>
        <w:t xml:space="preserve">Press Cmd+J (macOS) or Ctrl+J (Windows), type “AIP Logic,” and select it — or, from your Project's file browser, select + New, then AIP Logic.</w:t>
      </w:r>
    </w:p>
    <w:p>
      <w:pPr>
        <w:pStyle w:val="Heading2"/>
        <w:spacing w:after="100" w:before="240"/>
      </w:pPr>
      <w:r>
        <w:rPr>
          <w:b/>
          <w:bCs/>
          <w:color w:val="2E8B8B"/>
          <w:sz w:val="23"/>
          <w:szCs w:val="23"/>
        </w:rPr>
        <w:t xml:space="preserve">Step 2: Name and save your function</w:t>
      </w:r>
    </w:p>
    <w:p>
      <w:pPr>
        <w:pStyle w:val="ListParagraph"/>
        <w:numPr>
          <w:ilvl w:val="0"/>
          <w:numId w:val="3"/>
        </w:numPr>
        <w:spacing w:after="90"/>
      </w:pPr>
      <w:r>
        <w:rPr>
          <w:sz w:val="21"/>
          <w:szCs w:val="21"/>
        </w:rPr>
        <w:t xml:space="preserve">Name your function ClaimApprovalReasoning.</w:t>
      </w:r>
    </w:p>
    <w:p>
      <w:pPr>
        <w:pStyle w:val="ListParagraph"/>
        <w:numPr>
          <w:ilvl w:val="0"/>
          <w:numId w:val="3"/>
        </w:numPr>
        <w:spacing w:after="90"/>
      </w:pPr>
      <w:r>
        <w:rPr>
          <w:sz w:val="21"/>
          <w:szCs w:val="21"/>
        </w:rPr>
        <w:t xml:space="preserve">Save it inside the same Project folder as your Week 1 Ontology and your Week 2 ClaimsCopilot.</w:t>
      </w:r>
    </w:p>
    <w:p>
      <w:pPr>
        <w:pStyle w:val="Heading2"/>
        <w:spacing w:after="100" w:before="240"/>
      </w:pPr>
      <w:r>
        <w:rPr>
          <w:b/>
          <w:bCs/>
          <w:color w:val="2E8B8B"/>
          <w:sz w:val="23"/>
          <w:szCs w:val="23"/>
        </w:rPr>
        <w:t xml:space="preserve">Step 3: Define your input</w:t>
      </w:r>
    </w:p>
    <w:p>
      <w:pPr>
        <w:pStyle w:val="ListParagraph"/>
        <w:numPr>
          <w:ilvl w:val="0"/>
          <w:numId w:val="3"/>
        </w:numPr>
        <w:spacing w:after="90"/>
      </w:pPr>
      <w:r>
        <w:rPr>
          <w:sz w:val="21"/>
          <w:szCs w:val="21"/>
        </w:rPr>
        <w:t xml:space="preserve">In the Inputs board, set Variable name to claimId, Type to String, and leave it Required.</w:t>
      </w:r>
    </w:p>
    <w:p>
      <w:pPr>
        <w:pStyle w:val="Heading2"/>
        <w:spacing w:after="100" w:before="240"/>
      </w:pPr>
      <w:r>
        <w:rPr>
          <w:b/>
          <w:bCs/>
          <w:color w:val="2E8B8B"/>
          <w:sz w:val="23"/>
          <w:szCs w:val="23"/>
        </w:rPr>
        <w:t xml:space="preserve">Step 4: Reuse Your Week 2 Copilot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B08D57" w:sz="24"/>
            </w:tcBorders>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The Execute function block lets one published Logic function call another. Your ClaimsCopilot already retrieves the Claim, Insurance Policy, and Policyholder and produces a structured summary — reuse it rather than rebuilding that retrieval.</w:t>
            </w:r>
          </w:p>
        </w:tc>
      </w:tr>
    </w:tbl>
    <w:p>
      <w:pPr>
        <w:spacing w:after="160"/>
      </w:pPr>
    </w:p>
    <w:p>
      <w:pPr>
        <w:pStyle w:val="ListParagraph"/>
        <w:numPr>
          <w:ilvl w:val="0"/>
          <w:numId w:val="3"/>
        </w:numPr>
        <w:spacing w:after="90"/>
      </w:pPr>
      <w:r>
        <w:rPr>
          <w:sz w:val="21"/>
          <w:szCs w:val="21"/>
        </w:rPr>
        <w:t xml:space="preserve">From the blocks toolbar, add an Execute function block.</w:t>
      </w:r>
    </w:p>
    <w:p>
      <w:pPr>
        <w:pStyle w:val="ListParagraph"/>
        <w:numPr>
          <w:ilvl w:val="0"/>
          <w:numId w:val="3"/>
        </w:numPr>
        <w:spacing w:after="90"/>
      </w:pPr>
      <w:r>
        <w:rPr>
          <w:sz w:val="21"/>
          <w:szCs w:val="21"/>
        </w:rPr>
        <w:t xml:space="preserve">Select your published ClaimsCopilot function.</w:t>
      </w:r>
    </w:p>
    <w:p>
      <w:pPr>
        <w:pStyle w:val="ListParagraph"/>
        <w:numPr>
          <w:ilvl w:val="0"/>
          <w:numId w:val="3"/>
        </w:numPr>
        <w:spacing w:after="90"/>
      </w:pPr>
      <w:r>
        <w:rPr>
          <w:sz w:val="21"/>
          <w:szCs w:val="21"/>
        </w:rPr>
        <w:t xml:space="preserve">Pass this workflow's claimId input through to it.</w:t>
      </w:r>
    </w:p>
    <w:p>
      <w:pPr>
        <w:pStyle w:val="ListParagraph"/>
        <w:numPr>
          <w:ilvl w:val="0"/>
          <w:numId w:val="3"/>
        </w:numPr>
        <w:spacing w:after="90"/>
      </w:pPr>
      <w:r>
        <w:rPr>
          <w:sz w:val="21"/>
          <w:szCs w:val="21"/>
        </w:rPr>
        <w:t xml:space="preserve">Confirm its output (claimSummary, missingInformation, riskFactors, groundedReferences, confidenceLevel) is now available as a variable in later blocks.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Your new function exists, takes a single claimId input, and successfully calls your Week 2 ClaimsCopilot as its first real step.</w:t>
            </w:r>
          </w:p>
        </w:tc>
      </w:tr>
    </w:tbl>
    <w:p>
      <w:pPr>
        <w:spacing w:after="160"/>
      </w:pPr>
    </w:p>
    <w:p>
      <w:pPr>
        <w:pStyle w:val="Heading1"/>
        <w:pBdr>
          <w:bottom w:val="single" w:color="1F3864" w:sz="6" w:space="4"/>
        </w:pBdr>
        <w:spacing w:after="200" w:before="420"/>
      </w:pPr>
      <w:r>
        <w:rPr>
          <w:b/>
          <w:bCs/>
          <w:color w:val="1F3864"/>
          <w:sz w:val="30"/>
          <w:szCs w:val="30"/>
        </w:rPr>
        <w:t xml:space="preserve">Part 3 — Add Validation &amp; Calculation Blocks</w:t>
      </w:r>
    </w:p>
    <w:p>
      <w:pPr>
        <w:spacing w:after="130"/>
      </w:pPr>
      <w:r>
        <w:rPr>
          <w:sz w:val="21"/>
          <w:szCs w:val="21"/>
        </w:rPr>
        <w:t xml:space="preserve">These are deterministic stages, from Day 1: the same input always produces the same result. Use an Ontology block or an Expression (the (x) icon in the blocks toolbar) for each of these — not a Use LLM block.</w:t>
      </w:r>
    </w:p>
    <w:p>
      <w:pPr>
        <w:pStyle w:val="Heading2"/>
        <w:spacing w:after="100" w:before="240"/>
      </w:pPr>
      <w:r>
        <w:rPr>
          <w:b/>
          <w:bCs/>
          <w:color w:val="2E8B8B"/>
          <w:sz w:val="23"/>
          <w:szCs w:val="23"/>
        </w:rPr>
        <w:t xml:space="preserve">Step 1: Add a policy-coverage validation block</w:t>
      </w:r>
    </w:p>
    <w:p>
      <w:pPr>
        <w:pStyle w:val="ListParagraph"/>
        <w:numPr>
          <w:ilvl w:val="0"/>
          <w:numId w:val="3"/>
        </w:numPr>
        <w:spacing w:after="90"/>
      </w:pPr>
      <w:r>
        <w:rPr>
          <w:sz w:val="21"/>
          <w:szCs w:val="21"/>
        </w:rPr>
        <w:t xml:space="preserve">Add an Ontology block that retrieves the linked Insurance Policy's startDate, endDate, and policyLimit.</w:t>
      </w:r>
    </w:p>
    <w:p>
      <w:pPr>
        <w:pStyle w:val="ListParagraph"/>
        <w:numPr>
          <w:ilvl w:val="0"/>
          <w:numId w:val="3"/>
        </w:numPr>
        <w:spacing w:after="90"/>
      </w:pPr>
      <w:r>
        <w:rPr>
          <w:sz w:val="21"/>
          <w:szCs w:val="21"/>
        </w:rPr>
        <w:t xml:space="preserve">Add an Expression block that compares these against the Claim's submissionDate and claimAmount, producing a Boolean output named coverageValid.</w:t>
      </w:r>
    </w:p>
    <w:p>
      <w:pPr>
        <w:pStyle w:val="Heading2"/>
        <w:spacing w:after="100" w:before="240"/>
      </w:pPr>
      <w:r>
        <w:rPr>
          <w:b/>
          <w:bCs/>
          <w:color w:val="2E8B8B"/>
          <w:sz w:val="23"/>
          <w:szCs w:val="23"/>
        </w:rPr>
        <w:t xml:space="preserve">Step 2: Add an eligible-claim-range calculation block</w:t>
      </w:r>
    </w:p>
    <w:p>
      <w:pPr>
        <w:pStyle w:val="ListParagraph"/>
        <w:numPr>
          <w:ilvl w:val="0"/>
          <w:numId w:val="3"/>
        </w:numPr>
        <w:spacing w:after="90"/>
      </w:pPr>
      <w:r>
        <w:rPr>
          <w:sz w:val="21"/>
          <w:szCs w:val="21"/>
        </w:rPr>
        <w:t xml:space="preserve">Add an Expression block that calculates a minimum and maximum eligible payment amount, bounded by the Policy's policyLimit. Name these minEligibleAmount and maxEligibleAmount.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B08D57" w:sz="24"/>
            </w:tcBorders>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Both of these have exactly one correct answer for a given input. Using a Use LLM block here would be slower, less consistent, and unnecessary.</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Running your function (Preview) against a test Claim produces an explicit coverageValid result and a calculated eligible range, both traceable to specific retrieved values.</w:t>
            </w:r>
          </w:p>
        </w:tc>
      </w:tr>
    </w:tbl>
    <w:p>
      <w:pPr>
        <w:spacing w:after="160"/>
      </w:pPr>
    </w:p>
    <w:p>
      <w:pPr>
        <w:pStyle w:val="Heading1"/>
        <w:pBdr>
          <w:bottom w:val="single" w:color="1F3864" w:sz="6" w:space="4"/>
        </w:pBdr>
        <w:spacing w:after="200" w:before="420"/>
      </w:pPr>
      <w:r>
        <w:rPr>
          <w:b/>
          <w:bCs/>
          <w:color w:val="1F3864"/>
          <w:sz w:val="30"/>
          <w:szCs w:val="30"/>
        </w:rPr>
        <w:t xml:space="preserve">Part 4 — Add Risk Assessment</w:t>
      </w:r>
    </w:p>
    <w:p>
      <w:pPr>
        <w:spacing w:after="130"/>
      </w:pPr>
      <w:r>
        <w:rPr>
          <w:sz w:val="21"/>
          <w:szCs w:val="21"/>
        </w:rPr>
        <w:t xml:space="preserve">This is the one genuine judgment call in the workflow — a Use LLM block, deliberately, because it needs to weigh evidence, not just compute a number.</w:t>
      </w:r>
    </w:p>
    <w:p>
      <w:pPr>
        <w:pStyle w:val="ListParagraph"/>
        <w:numPr>
          <w:ilvl w:val="0"/>
          <w:numId w:val="3"/>
        </w:numPr>
        <w:spacing w:after="90"/>
      </w:pPr>
      <w:r>
        <w:rPr>
          <w:sz w:val="21"/>
          <w:szCs w:val="21"/>
        </w:rPr>
        <w:t xml:space="preserve">Add a Use LLM block downstream of Parts 2–3.</w:t>
      </w:r>
    </w:p>
    <w:p>
      <w:pPr>
        <w:pStyle w:val="ListParagraph"/>
        <w:numPr>
          <w:ilvl w:val="0"/>
          <w:numId w:val="3"/>
        </w:numPr>
        <w:spacing w:after="90"/>
      </w:pPr>
      <w:r>
        <w:rPr>
          <w:sz w:val="21"/>
          <w:szCs w:val="21"/>
        </w:rPr>
        <w:t xml:space="preserve">In its System prompt field, instruct it to assess risk using fraudScore, isHighValueClaim, and any linked Investigation's riskLevel, along with your Week 2 Copilot's claimSummary and missingInformation findings.</w:t>
      </w:r>
    </w:p>
    <w:p>
      <w:pPr>
        <w:pStyle w:val="ListParagraph"/>
        <w:numPr>
          <w:ilvl w:val="0"/>
          <w:numId w:val="3"/>
        </w:numPr>
        <w:spacing w:after="90"/>
      </w:pPr>
      <w:r>
        <w:rPr>
          <w:sz w:val="21"/>
          <w:szCs w:val="21"/>
        </w:rPr>
        <w:t xml:space="preserve">In its Task prompt field, reference the claimId input variable by typing “/” and selecting it — the same System-prompt-vs-Task-prompt split from Week 2.</w:t>
      </w:r>
    </w:p>
    <w:p>
      <w:pPr>
        <w:pStyle w:val="ListParagraph"/>
        <w:numPr>
          <w:ilvl w:val="0"/>
          <w:numId w:val="3"/>
        </w:numPr>
        <w:spacing w:after="90"/>
      </w:pPr>
      <w:r>
        <w:rPr>
          <w:sz w:val="21"/>
          <w:szCs w:val="21"/>
        </w:rPr>
        <w:t xml:space="preserve">Configure its output to include a field named riskTier (String: Low, Medium, or High).</w:t>
      </w:r>
    </w:p>
    <w:p>
      <w:pPr>
        <w:pStyle w:val="ListParagraph"/>
        <w:numPr>
          <w:ilvl w:val="0"/>
          <w:numId w:val="3"/>
        </w:numPr>
        <w:spacing w:after="90"/>
      </w:pPr>
      <w:r>
        <w:rPr>
          <w:sz w:val="21"/>
          <w:szCs w:val="21"/>
        </w:rPr>
        <w:t xml:space="preserve">Set Structured output mode to Strict, the same setting from Week 2, Part 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Running your function returns a riskTier that changes appropriately between a straightforward test Claim and a flagged one.</w:t>
            </w:r>
          </w:p>
        </w:tc>
      </w:tr>
    </w:tbl>
    <w:p>
      <w:pPr>
        <w:spacing w:after="160"/>
      </w:pPr>
    </w:p>
    <w:p>
      <w:pPr>
        <w:pStyle w:val="Heading1"/>
        <w:pBdr>
          <w:bottom w:val="single" w:color="1F3864" w:sz="6" w:space="4"/>
        </w:pBdr>
        <w:spacing w:after="200" w:before="420"/>
      </w:pPr>
      <w:r>
        <w:rPr>
          <w:b/>
          <w:bCs/>
          <w:color w:val="1F3864"/>
          <w:sz w:val="30"/>
          <w:szCs w:val="30"/>
        </w:rPr>
        <w:t xml:space="preserve">Part 5 — Add Your Recommendation Block</w:t>
      </w:r>
    </w:p>
    <w:p>
      <w:pPr>
        <w:spacing w:after="130"/>
      </w:pPr>
      <w:r>
        <w:rPr>
          <w:sz w:val="21"/>
          <w:szCs w:val="21"/>
        </w:rPr>
        <w:t xml:space="preserve">This block assembles everything above into the final recommendation — the values you'll actually type into the Action form in Part 7.</w:t>
      </w:r>
    </w:p>
    <w:p>
      <w:pPr>
        <w:pStyle w:val="ListParagraph"/>
        <w:numPr>
          <w:ilvl w:val="0"/>
          <w:numId w:val="3"/>
        </w:numPr>
        <w:spacing w:after="90"/>
      </w:pPr>
      <w:r>
        <w:rPr>
          <w:sz w:val="21"/>
          <w:szCs w:val="21"/>
        </w:rPr>
        <w:t xml:space="preserve">Add a final block (an Expression block, or a small Use LLM block if you want it to phrase decisionNotes in natural language) that determines a recommendedDecision (Approved, Rejected, or UnderInvestigation) based on coverageValid, riskTier, and the eligible range from Part 3.</w:t>
      </w:r>
    </w:p>
    <w:p>
      <w:pPr>
        <w:pStyle w:val="ListParagraph"/>
        <w:numPr>
          <w:ilvl w:val="0"/>
          <w:numId w:val="3"/>
        </w:numPr>
        <w:spacing w:after="90"/>
      </w:pPr>
      <w:r>
        <w:rPr>
          <w:sz w:val="21"/>
          <w:szCs w:val="21"/>
        </w:rPr>
        <w:t xml:space="preserve">Set the logic: if coverageValid is false, recommend Rejected. If riskTier is High, recommend UnderInvestigation. Otherwise, recommend Approved with a recommendedAmount within your Part 3 range.</w:t>
      </w:r>
    </w:p>
    <w:p>
      <w:pPr>
        <w:pStyle w:val="ListParagraph"/>
        <w:numPr>
          <w:ilvl w:val="0"/>
          <w:numId w:val="3"/>
        </w:numPr>
        <w:spacing w:after="90"/>
      </w:pPr>
      <w:r>
        <w:rPr>
          <w:sz w:val="21"/>
          <w:szCs w:val="21"/>
        </w:rPr>
        <w:t xml:space="preserve">Include a short decisionNotes string summarizing the reasoning, referencing the specific values that drove the recommendation.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Running your function against a test Claim produces a clear recommendedDecision, a recommendedAmount (when applicable), and decisionNotes explaining why — everything you'll need for Part 7.</w:t>
            </w:r>
          </w:p>
        </w:tc>
      </w:tr>
    </w:tbl>
    <w:p>
      <w:pPr>
        <w:spacing w:after="160"/>
      </w:pPr>
    </w:p>
    <w:p>
      <w:pPr>
        <w:pStyle w:val="Heading1"/>
        <w:pBdr>
          <w:bottom w:val="single" w:color="1F3864" w:sz="6" w:space="4"/>
        </w:pBdr>
        <w:spacing w:after="200" w:before="420"/>
      </w:pPr>
      <w:r>
        <w:rPr>
          <w:b/>
          <w:bCs/>
          <w:color w:val="1F3864"/>
          <w:sz w:val="30"/>
          <w:szCs w:val="30"/>
        </w:rPr>
        <w:t xml:space="preserve">Part 6 — Structured Output, Publish &amp; the Ontology-Binding Fix</w:t>
      </w:r>
    </w:p>
    <w:p>
      <w:pPr>
        <w:pStyle w:val="Heading2"/>
        <w:spacing w:after="100" w:before="240"/>
      </w:pPr>
      <w:r>
        <w:rPr>
          <w:b/>
          <w:bCs/>
          <w:color w:val="2E8B8B"/>
          <w:sz w:val="23"/>
          <w:szCs w:val="23"/>
        </w:rPr>
        <w:t xml:space="preserve">Structured Output</w:t>
      </w:r>
    </w:p>
    <w:p>
      <w:pPr>
        <w:pStyle w:val="ListParagraph"/>
        <w:numPr>
          <w:ilvl w:val="0"/>
          <w:numId w:val="3"/>
        </w:numPr>
        <w:spacing w:after="90"/>
      </w:pPr>
      <w:r>
        <w:rPr>
          <w:sz w:val="21"/>
          <w:szCs w:val="21"/>
        </w:rPr>
        <w:t xml:space="preserve">In your function's Output configuration, define a Struct including at minimum: recommendedDecision, recommendedAmount, riskTier, coverageValid, decisionNotes, groundedReferences, and confidenceLevel.</w:t>
      </w:r>
    </w:p>
    <w:p>
      <w:pPr>
        <w:pStyle w:val="ListParagraph"/>
        <w:numPr>
          <w:ilvl w:val="0"/>
          <w:numId w:val="3"/>
        </w:numPr>
        <w:spacing w:after="90"/>
      </w:pPr>
      <w:r>
        <w:rPr>
          <w:sz w:val="21"/>
          <w:szCs w:val="21"/>
        </w:rPr>
        <w:t xml:space="preserve">Set Structured output mode to Strict.</w:t>
      </w:r>
    </w:p>
    <w:p>
      <w:pPr>
        <w:pStyle w:val="ListParagraph"/>
        <w:numPr>
          <w:ilvl w:val="0"/>
          <w:numId w:val="3"/>
        </w:numPr>
        <w:spacing w:after="90"/>
      </w:pPr>
      <w:r>
        <w:rPr>
          <w:sz w:val="21"/>
          <w:szCs w:val="21"/>
        </w:rPr>
        <w:t xml:space="preserve">Confirm the function-level output type is set to Value, not Ontology edits — this function only recommends; it never edits anything itself.</w:t>
      </w:r>
    </w:p>
    <w:p>
      <w:pPr>
        <w:pStyle w:val="Heading2"/>
        <w:spacing w:after="100" w:before="240"/>
      </w:pPr>
      <w:r>
        <w:rPr>
          <w:b/>
          <w:bCs/>
          <w:color w:val="2E8B8B"/>
          <w:sz w:val="23"/>
          <w:szCs w:val="23"/>
        </w:rPr>
        <w:t xml:space="preserve">Publish</w:t>
      </w:r>
    </w:p>
    <w:p>
      <w:pPr>
        <w:pStyle w:val="ListParagraph"/>
        <w:numPr>
          <w:ilvl w:val="0"/>
          <w:numId w:val="3"/>
        </w:numPr>
        <w:spacing w:after="90"/>
      </w:pPr>
      <w:r>
        <w:rPr>
          <w:sz w:val="21"/>
          <w:szCs w:val="21"/>
        </w:rPr>
        <w:t xml:space="preserve">Select Save, then Publish.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B0413E" w:sz="24"/>
            </w:tcBorders>
            <w:shd w:fill="F2F2F2" w:val="clear"/>
            <w:tcMar>
              <w:top w:type="dxa" w:w="140"/>
              <w:left w:type="dxa" w:w="180"/>
              <w:bottom w:type="dxa" w:w="140"/>
              <w:right w:type="dxa" w:w="180"/>
            </w:tcMar>
          </w:tcPr>
          <w:p>
            <w:pPr>
              <w:spacing w:after="60"/>
            </w:pPr>
            <w:r>
              <w:rPr>
                <w:b/>
                <w:bCs/>
                <w:color w:val="B0413E"/>
                <w:sz w:val="21"/>
                <w:szCs w:val="21"/>
              </w:rPr>
              <w:t xml:space="preserve">If You See “Missing Ontology Binding for Function”</w:t>
            </w:r>
          </w:p>
          <w:p>
            <w:r>
              <w:rPr>
                <w:sz w:val="20"/>
                <w:szCs w:val="20"/>
              </w:rPr>
              <w:t xml:space="preserve">This means your function queries the Ontology (through your Execute function or Ontology blocks) but hasn't been told which Ontology it belongs to. Look for a field labeled Bound to the following ontologies in the Publish dialog — select your Ontology from that dropdown, set Name to ClaimApprovalReasoning and API name to claimApprovalReasoning, then Publish again.</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Publish settings shows no errors, and your Reasoning Workflow publishes successfully.</w:t>
            </w:r>
          </w:p>
        </w:tc>
      </w:tr>
    </w:tbl>
    <w:p>
      <w:pPr>
        <w:spacing w:after="160"/>
      </w:pPr>
    </w:p>
    <w:p>
      <w:pPr>
        <w:pStyle w:val="Heading1"/>
        <w:pBdr>
          <w:bottom w:val="single" w:color="1F3864" w:sz="6" w:space="4"/>
        </w:pBdr>
        <w:spacing w:after="200" w:before="420"/>
      </w:pPr>
      <w:r>
        <w:rPr>
          <w:b/>
          <w:bCs/>
          <w:color w:val="1F3864"/>
          <w:sz w:val="30"/>
          <w:szCs w:val="30"/>
        </w:rPr>
        <w:t xml:space="preserve">Part 7 — Apply Your First Real Action</w:t>
      </w:r>
    </w:p>
    <w:p>
      <w:pPr>
        <w:spacing w:after="130"/>
      </w:pPr>
      <w:r>
        <w:rPr>
          <w:sz w:val="21"/>
          <w:szCs w:val="21"/>
        </w:rPr>
        <w:t xml:space="preserve">This is the step that actually writes to the Ontology. Everything before this was recommendation only.</w:t>
      </w:r>
    </w:p>
    <w:p>
      <w:pPr>
        <w:pStyle w:val="Heading2"/>
        <w:spacing w:after="100" w:before="240"/>
      </w:pPr>
      <w:r>
        <w:rPr>
          <w:b/>
          <w:bCs/>
          <w:color w:val="2E8B8B"/>
          <w:sz w:val="23"/>
          <w:szCs w:val="23"/>
        </w:rPr>
        <w:t xml:space="preserve">Step 1: Run your Reasoning Workflow and note its output</w:t>
      </w:r>
    </w:p>
    <w:p>
      <w:pPr>
        <w:pStyle w:val="ListParagraph"/>
        <w:numPr>
          <w:ilvl w:val="0"/>
          <w:numId w:val="3"/>
        </w:numPr>
        <w:spacing w:after="90"/>
      </w:pPr>
      <w:r>
        <w:rPr>
          <w:sz w:val="21"/>
          <w:szCs w:val="21"/>
        </w:rPr>
        <w:t xml:space="preserve">In AIP Logic, Preview your ClaimApprovalReasoning function against a real test claimId — pick a claim where claimAmount is greater than 25,000 is fine to save for Part 10's Marking test; for this first pass, choose a straightforward, lower-value claim instead.</w:t>
      </w:r>
    </w:p>
    <w:p>
      <w:pPr>
        <w:pStyle w:val="ListParagraph"/>
        <w:numPr>
          <w:ilvl w:val="0"/>
          <w:numId w:val="3"/>
        </w:numPr>
        <w:spacing w:after="90"/>
      </w:pPr>
      <w:r>
        <w:rPr>
          <w:sz w:val="21"/>
          <w:szCs w:val="21"/>
        </w:rPr>
        <w:t xml:space="preserve">Note down the exact values it returns: recommendedDecision, recommendedAmount, and decisionNotes. You'll type these into a form in the next step.</w:t>
      </w:r>
    </w:p>
    <w:p>
      <w:pPr>
        <w:pStyle w:val="Heading2"/>
        <w:spacing w:after="100" w:before="240"/>
      </w:pPr>
      <w:r>
        <w:rPr>
          <w:b/>
          <w:bCs/>
          <w:color w:val="2E8B8B"/>
          <w:sz w:val="23"/>
          <w:szCs w:val="23"/>
        </w:rPr>
        <w:t xml:space="preserve">Step 2: Open Object Explorer</w:t>
      </w:r>
    </w:p>
    <w:p>
      <w:pPr>
        <w:pStyle w:val="ListParagraph"/>
        <w:numPr>
          <w:ilvl w:val="0"/>
          <w:numId w:val="3"/>
        </w:numPr>
        <w:spacing w:after="90"/>
      </w:pPr>
      <w:r>
        <w:rPr>
          <w:sz w:val="21"/>
          <w:szCs w:val="21"/>
        </w:rPr>
        <w:t xml:space="preserve">Press Cmd+J (macOS) or Ctrl+J (Windows), type “Object Explorer,” and select it — or find it in your workspace navigation bar.</w:t>
      </w:r>
    </w:p>
    <w:p>
      <w:pPr>
        <w:pStyle w:val="ListParagraph"/>
        <w:numPr>
          <w:ilvl w:val="0"/>
          <w:numId w:val="3"/>
        </w:numPr>
        <w:spacing w:after="90"/>
      </w:pPr>
      <w:r>
        <w:rPr>
          <w:sz w:val="21"/>
          <w:szCs w:val="21"/>
        </w:rPr>
        <w:t xml:space="preserve">Use the search or the object type filter (usually an All dropdown near the search bar, which you can switch to Object types) to find Claim, then search for the specific claimId you just tested.</w:t>
      </w:r>
    </w:p>
    <w:p>
      <w:pPr>
        <w:pStyle w:val="Heading2"/>
        <w:spacing w:after="100" w:before="240"/>
      </w:pPr>
      <w:r>
        <w:rPr>
          <w:b/>
          <w:bCs/>
          <w:color w:val="2E8B8B"/>
          <w:sz w:val="23"/>
          <w:szCs w:val="23"/>
        </w:rPr>
        <w:t xml:space="preserve">Step 3: Submit the Action</w:t>
      </w:r>
    </w:p>
    <w:p>
      <w:pPr>
        <w:pStyle w:val="ListParagraph"/>
        <w:numPr>
          <w:ilvl w:val="0"/>
          <w:numId w:val="3"/>
        </w:numPr>
        <w:spacing w:after="90"/>
      </w:pPr>
      <w:r>
        <w:rPr>
          <w:sz w:val="21"/>
          <w:szCs w:val="21"/>
        </w:rPr>
        <w:t xml:space="preserve">With your Claim object selected, look for an Actions button, typically in the top-right area of the Object Explorer view.</w:t>
      </w:r>
    </w:p>
    <w:p>
      <w:pPr>
        <w:pStyle w:val="ListParagraph"/>
        <w:numPr>
          <w:ilvl w:val="0"/>
          <w:numId w:val="3"/>
        </w:numPr>
        <w:spacing w:after="90"/>
      </w:pPr>
      <w:r>
        <w:rPr>
          <w:sz w:val="21"/>
          <w:szCs w:val="21"/>
        </w:rPr>
        <w:t xml:space="preserve">Select ApproveClaim from the list of actions available for this object. A form opens, pre-filled with the selected Claim.</w:t>
      </w:r>
    </w:p>
    <w:p>
      <w:pPr>
        <w:pStyle w:val="ListParagraph"/>
        <w:numPr>
          <w:ilvl w:val="0"/>
          <w:numId w:val="3"/>
        </w:numPr>
        <w:spacing w:after="90"/>
      </w:pPr>
      <w:r>
        <w:rPr>
          <w:sz w:val="21"/>
          <w:szCs w:val="21"/>
        </w:rPr>
        <w:t xml:space="preserve">Fill in the remaining fields using your Part 7, Step 1 values: set status to your recommendedDecision, and — if it was Approved — fill in the Payment's amount, paymentDate, and paymentStatus using your recommendedAmount and today's date.</w:t>
      </w:r>
    </w:p>
    <w:p>
      <w:pPr>
        <w:pStyle w:val="ListParagraph"/>
        <w:numPr>
          <w:ilvl w:val="0"/>
          <w:numId w:val="3"/>
        </w:numPr>
        <w:spacing w:after="90"/>
      </w:pPr>
      <w:r>
        <w:rPr>
          <w:sz w:val="21"/>
          <w:szCs w:val="21"/>
        </w:rPr>
        <w:t xml:space="preserve">Select Submit.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The Action submits without an error. This is the first change you've made to the Ontology in this entire program that didn't come from loading a dataset.</w:t>
            </w:r>
          </w:p>
        </w:tc>
      </w:tr>
    </w:tbl>
    <w:p>
      <w:pPr>
        <w:spacing w:after="160"/>
      </w:pPr>
    </w:p>
    <w:p>
      <w:pPr>
        <w:pStyle w:val="Heading1"/>
        <w:pBdr>
          <w:bottom w:val="single" w:color="1F3864" w:sz="6" w:space="4"/>
        </w:pBdr>
        <w:spacing w:after="200" w:before="420"/>
      </w:pPr>
      <w:r>
        <w:rPr>
          <w:b/>
          <w:bCs/>
          <w:color w:val="1F3864"/>
          <w:sz w:val="30"/>
          <w:szCs w:val="30"/>
        </w:rPr>
        <w:t xml:space="preserve">Part 8 — Verify the Writeback &amp; Confirm Idempotency</w:t>
      </w:r>
    </w:p>
    <w:p>
      <w:pPr>
        <w:pStyle w:val="Heading2"/>
        <w:spacing w:after="100" w:before="240"/>
      </w:pPr>
      <w:r>
        <w:rPr>
          <w:b/>
          <w:bCs/>
          <w:color w:val="2E8B8B"/>
          <w:sz w:val="23"/>
          <w:szCs w:val="23"/>
        </w:rPr>
        <w:t xml:space="preserve">Step 1: Verify directly</w:t>
      </w:r>
    </w:p>
    <w:p>
      <w:pPr>
        <w:pStyle w:val="ListParagraph"/>
        <w:numPr>
          <w:ilvl w:val="0"/>
          <w:numId w:val="3"/>
        </w:numPr>
        <w:spacing w:after="90"/>
      </w:pPr>
      <w:r>
        <w:rPr>
          <w:sz w:val="21"/>
          <w:szCs w:val="21"/>
        </w:rPr>
        <w:t xml:space="preserve">Still in Object Explorer (or back in Ontology Manager's data preview), open the same Claim object again and confirm its status reflects your submission.</w:t>
      </w:r>
    </w:p>
    <w:p>
      <w:pPr>
        <w:pStyle w:val="ListParagraph"/>
        <w:numPr>
          <w:ilvl w:val="0"/>
          <w:numId w:val="3"/>
        </w:numPr>
        <w:spacing w:after="90"/>
      </w:pPr>
      <w:r>
        <w:rPr>
          <w:sz w:val="21"/>
          <w:szCs w:val="21"/>
        </w:rPr>
        <w:t xml:space="preserve">If your decision was Approved, confirm a new Payment object exists, linked to this Claim, with the amount you submitted.</w:t>
      </w:r>
    </w:p>
    <w:p>
      <w:pPr>
        <w:pStyle w:val="Heading2"/>
        <w:spacing w:after="100" w:before="240"/>
      </w:pPr>
      <w:r>
        <w:rPr>
          <w:b/>
          <w:bCs/>
          <w:color w:val="2E8B8B"/>
          <w:sz w:val="23"/>
          <w:szCs w:val="23"/>
        </w:rPr>
        <w:t xml:space="preserve">Step 2: Prove the submission criterion prevents duplicates</w:t>
      </w:r>
    </w:p>
    <w:p>
      <w:pPr>
        <w:pStyle w:val="ListParagraph"/>
        <w:numPr>
          <w:ilvl w:val="0"/>
          <w:numId w:val="3"/>
        </w:numPr>
        <w:spacing w:after="90"/>
      </w:pPr>
      <w:r>
        <w:rPr>
          <w:sz w:val="21"/>
          <w:szCs w:val="21"/>
        </w:rPr>
        <w:t xml:space="preserve">Attempt to submit ApproveClaim again for the exact same Claim, with any values.</w:t>
      </w:r>
    </w:p>
    <w:p>
      <w:pPr>
        <w:pStyle w:val="ListParagraph"/>
        <w:numPr>
          <w:ilvl w:val="0"/>
          <w:numId w:val="3"/>
        </w:numPr>
        <w:spacing w:after="90"/>
      </w:pPr>
      <w:r>
        <w:rPr>
          <w:sz w:val="21"/>
          <w:szCs w:val="21"/>
        </w:rPr>
        <w:t xml:space="preserve">Confirm the submission is blocked — the Claim's status is no longer UnderReview, so your Part 1 submission criterion now fails this second attempt.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You have direct evidence — not just configuration — that this Claim cannot receive a second ApproveClaim decision, using the same submission criterion that governs normal use, not a special test-only rule.</w:t>
            </w:r>
          </w:p>
        </w:tc>
      </w:tr>
    </w:tbl>
    <w:p>
      <w:pPr>
        <w:spacing w:after="160"/>
      </w:pPr>
    </w:p>
    <w:p>
      <w:pPr>
        <w:pStyle w:val="Heading1"/>
        <w:pBdr>
          <w:bottom w:val="single" w:color="1F3864" w:sz="6" w:space="4"/>
        </w:pBdr>
        <w:spacing w:after="200" w:before="420"/>
      </w:pPr>
      <w:r>
        <w:rPr>
          <w:b/>
          <w:bCs/>
          <w:color w:val="1F3864"/>
          <w:sz w:val="30"/>
          <w:szCs w:val="30"/>
        </w:rPr>
        <w:t xml:space="preserve">Part 9 — Create an Evaluation Suite</w:t>
      </w:r>
    </w:p>
    <w:p>
      <w:pPr>
        <w:pStyle w:val="ListParagraph"/>
        <w:numPr>
          <w:ilvl w:val="0"/>
          <w:numId w:val="3"/>
        </w:numPr>
        <w:spacing w:after="90"/>
      </w:pPr>
      <w:r>
        <w:rPr>
          <w:sz w:val="21"/>
          <w:szCs w:val="21"/>
        </w:rPr>
        <w:t xml:space="preserve">In AIP Logic, after a successful Preview run of your ClaimApprovalReasoning function, look for Add as test case near your run results.</w:t>
      </w:r>
    </w:p>
    <w:p>
      <w:pPr>
        <w:pStyle w:val="ListParagraph"/>
        <w:numPr>
          <w:ilvl w:val="0"/>
          <w:numId w:val="3"/>
        </w:numPr>
        <w:spacing w:after="90"/>
      </w:pPr>
      <w:r>
        <w:rPr>
          <w:sz w:val="21"/>
          <w:szCs w:val="21"/>
        </w:rPr>
        <w:t xml:space="preserve">Add at least three test cases: your Part 7 straightforward claim, a claim where claimAmount is greater than 25,000, and a claim with enough missing information to lower confidenceLevel.</w:t>
      </w:r>
    </w:p>
    <w:p>
      <w:pPr>
        <w:pStyle w:val="ListParagraph"/>
        <w:numPr>
          <w:ilvl w:val="0"/>
          <w:numId w:val="3"/>
        </w:numPr>
        <w:spacing w:after="90"/>
      </w:pPr>
      <w:r>
        <w:rPr>
          <w:sz w:val="21"/>
          <w:szCs w:val="21"/>
        </w:rPr>
        <w:t xml:space="preserve">Publish your final version if you've made any changes since Part 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An evaluation suite exists with at least three test cases, and your latest version is published.</w:t>
            </w:r>
          </w:p>
        </w:tc>
      </w:tr>
    </w:tbl>
    <w:p>
      <w:pPr>
        <w:spacing w:after="160"/>
      </w:pPr>
    </w:p>
    <w:p>
      <w:pPr>
        <w:pStyle w:val="Heading1"/>
        <w:pBdr>
          <w:bottom w:val="single" w:color="1F3864" w:sz="6" w:space="4"/>
        </w:pBdr>
        <w:spacing w:after="200" w:before="420"/>
      </w:pPr>
      <w:r>
        <w:rPr>
          <w:b/>
          <w:bCs/>
          <w:color w:val="1F3864"/>
          <w:sz w:val="30"/>
          <w:szCs w:val="30"/>
        </w:rPr>
        <w:t xml:space="preserve">Part 10 — Test the Investigation &amp; Marking-Refusal Paths</w:t>
      </w:r>
    </w:p>
    <w:p>
      <w:pPr>
        <w:pStyle w:val="ListParagraph"/>
        <w:numPr>
          <w:ilvl w:val="0"/>
          <w:numId w:val="3"/>
        </w:numPr>
        <w:spacing w:after="90"/>
      </w:pPr>
      <w:r>
        <w:rPr>
          <w:sz w:val="21"/>
          <w:szCs w:val="21"/>
        </w:rPr>
        <w:t xml:space="preserve">Run your Reasoning Workflow against a claim where claimAmount is greater than 25,000 (one of the 34 High-Value Claims in your dataset) and confirm it recommends UnderInvestigation, not Approved.</w:t>
      </w:r>
    </w:p>
    <w:p>
      <w:pPr>
        <w:pStyle w:val="ListParagraph"/>
        <w:numPr>
          <w:ilvl w:val="0"/>
          <w:numId w:val="3"/>
        </w:numPr>
        <w:spacing w:after="90"/>
      </w:pPr>
      <w:r>
        <w:rPr>
          <w:sz w:val="21"/>
          <w:szCs w:val="21"/>
        </w:rPr>
        <w:t xml:space="preserve">Confirm your own eligibility for the High-Value Claim Marking is currently OFF (per Week 1, Part 8), or temporarily remove it if already added.</w:t>
      </w:r>
    </w:p>
    <w:p>
      <w:pPr>
        <w:pStyle w:val="ListParagraph"/>
        <w:numPr>
          <w:ilvl w:val="0"/>
          <w:numId w:val="3"/>
        </w:numPr>
        <w:spacing w:after="90"/>
      </w:pPr>
      <w:r>
        <w:rPr>
          <w:sz w:val="21"/>
          <w:szCs w:val="21"/>
        </w:rPr>
        <w:t xml:space="preserve">Run your Reasoning Workflow against the same High-Value Claim with your eligibility OFF. Confirm the response explicitly states that access to fraudScore or other protected data is restricted, rather than silently omitting it or guessing.</w:t>
      </w:r>
    </w:p>
    <w:p>
      <w:pPr>
        <w:pStyle w:val="ListParagraph"/>
        <w:numPr>
          <w:ilvl w:val="0"/>
          <w:numId w:val="3"/>
        </w:numPr>
        <w:spacing w:after="90"/>
      </w:pPr>
      <w:r>
        <w:rPr>
          <w:sz w:val="21"/>
          <w:szCs w:val="21"/>
        </w:rPr>
        <w:t xml:space="preserve">Re-add your eligibility for the High-Value Claim Marking and confirm the same claim now returns a complete recommendation, including the previously restricted fields.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You have tested and recorded evidence for both the investigation-routing behavior and Marking-based refusal — not just the one straightforward case from Part 7.</w:t>
            </w:r>
          </w:p>
        </w:tc>
      </w:tr>
    </w:tbl>
    <w:p>
      <w:pPr>
        <w:spacing w:after="160"/>
      </w:pPr>
    </w:p>
    <w:p>
      <w:pPr>
        <w:pStyle w:val="Heading1"/>
        <w:pBdr>
          <w:bottom w:val="single" w:color="1F3864" w:sz="6" w:space="4"/>
        </w:pBdr>
        <w:spacing w:after="200" w:before="420"/>
      </w:pPr>
      <w:r>
        <w:rPr>
          <w:b/>
          <w:bCs/>
          <w:color w:val="1F3864"/>
          <w:sz w:val="30"/>
          <w:szCs w:val="30"/>
        </w:rPr>
        <w:t xml:space="preserve">Full Validation Checklist</w:t>
      </w:r>
    </w:p>
    <w:p>
      <w:pPr>
        <w:pStyle w:val="ListParagraph"/>
        <w:numPr>
          <w:ilvl w:val="0"/>
          <w:numId w:val="2"/>
        </w:numPr>
        <w:spacing w:after="60"/>
      </w:pPr>
      <w:r>
        <w:rPr>
          <w:sz w:val="21"/>
          <w:szCs w:val="21"/>
        </w:rPr>
        <w:t xml:space="preserve">☐  ApproveClaim Action Type created in Ontology Manager, with two rules (modify Claim, create Payment), matching Forms parameters, and a submission criterion on Claim.status</w:t>
      </w:r>
    </w:p>
    <w:p>
      <w:pPr>
        <w:pStyle w:val="ListParagraph"/>
        <w:numPr>
          <w:ilvl w:val="0"/>
          <w:numId w:val="2"/>
        </w:numPr>
        <w:spacing w:after="60"/>
      </w:pPr>
      <w:r>
        <w:rPr>
          <w:sz w:val="21"/>
          <w:szCs w:val="21"/>
        </w:rPr>
        <w:t xml:space="preserve">☐  ClaimApprovalReasoning function created in AIP Logic, with a single claimId input</w:t>
      </w:r>
    </w:p>
    <w:p>
      <w:pPr>
        <w:pStyle w:val="ListParagraph"/>
        <w:numPr>
          <w:ilvl w:val="0"/>
          <w:numId w:val="2"/>
        </w:numPr>
        <w:spacing w:after="60"/>
      </w:pPr>
      <w:r>
        <w:rPr>
          <w:sz w:val="21"/>
          <w:szCs w:val="21"/>
        </w:rPr>
        <w:t xml:space="preserve">☐  Function reuses your Week 2 ClaimsCopilot via an Execute function block, not a rebuild</w:t>
      </w:r>
    </w:p>
    <w:p>
      <w:pPr>
        <w:pStyle w:val="ListParagraph"/>
        <w:numPr>
          <w:ilvl w:val="0"/>
          <w:numId w:val="2"/>
        </w:numPr>
        <w:spacing w:after="60"/>
      </w:pPr>
      <w:r>
        <w:rPr>
          <w:sz w:val="21"/>
          <w:szCs w:val="21"/>
        </w:rPr>
        <w:t xml:space="preserve">☐  Validation and calculation are deterministic blocks, not Use LLM blocks</w:t>
      </w:r>
    </w:p>
    <w:p>
      <w:pPr>
        <w:pStyle w:val="ListParagraph"/>
        <w:numPr>
          <w:ilvl w:val="0"/>
          <w:numId w:val="2"/>
        </w:numPr>
        <w:spacing w:after="60"/>
      </w:pPr>
      <w:r>
        <w:rPr>
          <w:sz w:val="21"/>
          <w:szCs w:val="21"/>
        </w:rPr>
        <w:t xml:space="preserve">☐  Risk assessment is a Use LLM block, with a clear System/Task prompt split</w:t>
      </w:r>
    </w:p>
    <w:p>
      <w:pPr>
        <w:pStyle w:val="ListParagraph"/>
        <w:numPr>
          <w:ilvl w:val="0"/>
          <w:numId w:val="2"/>
        </w:numPr>
        <w:spacing w:after="60"/>
      </w:pPr>
      <w:r>
        <w:rPr>
          <w:sz w:val="21"/>
          <w:szCs w:val="21"/>
        </w:rPr>
        <w:t xml:space="preserve">☐  Structured output set to Strict; function output type set to Value; publish succeeds with no ontology-binding error</w:t>
      </w:r>
    </w:p>
    <w:p>
      <w:pPr>
        <w:pStyle w:val="ListParagraph"/>
        <w:numPr>
          <w:ilvl w:val="0"/>
          <w:numId w:val="2"/>
        </w:numPr>
        <w:spacing w:after="60"/>
      </w:pPr>
      <w:r>
        <w:rPr>
          <w:sz w:val="21"/>
          <w:szCs w:val="21"/>
        </w:rPr>
        <w:t xml:space="preserve">☐  A real ApproveClaim Action was submitted through Object Explorer, and verified directly — not just previewed</w:t>
      </w:r>
    </w:p>
    <w:p>
      <w:pPr>
        <w:pStyle w:val="ListParagraph"/>
        <w:numPr>
          <w:ilvl w:val="0"/>
          <w:numId w:val="2"/>
        </w:numPr>
        <w:spacing w:after="60"/>
      </w:pPr>
      <w:r>
        <w:rPr>
          <w:sz w:val="21"/>
          <w:szCs w:val="21"/>
        </w:rPr>
        <w:t xml:space="preserve">☐  A second submission for the same Claim was tested and confirmed blocked</w:t>
      </w:r>
    </w:p>
    <w:p>
      <w:pPr>
        <w:pStyle w:val="ListParagraph"/>
        <w:numPr>
          <w:ilvl w:val="0"/>
          <w:numId w:val="2"/>
        </w:numPr>
        <w:spacing w:after="60"/>
      </w:pPr>
      <w:r>
        <w:rPr>
          <w:sz w:val="21"/>
          <w:szCs w:val="21"/>
        </w:rPr>
        <w:t xml:space="preserve">☐  Investigation routing and Marking-based refusal both tested with real evidence</w:t>
      </w:r>
    </w:p>
    <w:p>
      <w:pPr>
        <w:pStyle w:val="ListParagraph"/>
        <w:numPr>
          <w:ilvl w:val="0"/>
          <w:numId w:val="2"/>
        </w:numPr>
        <w:spacing w:after="60"/>
      </w:pPr>
      <w:r>
        <w:rPr>
          <w:sz w:val="21"/>
          <w:szCs w:val="21"/>
        </w:rPr>
        <w:t xml:space="preserve">☐  Evaluation suite has 3+ test cases; final version published</w:t>
      </w:r>
    </w:p>
    <w:p>
      <w:pPr>
        <w:pStyle w:val="Heading1"/>
        <w:pBdr>
          <w:bottom w:val="single" w:color="1F3864" w:sz="6" w:space="4"/>
        </w:pBdr>
        <w:spacing w:after="200" w:before="420"/>
      </w:pPr>
      <w:r>
        <w:rPr>
          <w:b/>
          <w:bCs/>
          <w:color w:val="1F3864"/>
          <w:sz w:val="30"/>
          <w:szCs w:val="30"/>
        </w:rPr>
        <w:t xml:space="preserve">Reflection Questions</w:t>
      </w:r>
    </w:p>
    <w:p>
      <w:pPr>
        <w:pStyle w:val="ListParagraph"/>
        <w:numPr>
          <w:ilvl w:val="0"/>
          <w:numId w:val="3"/>
        </w:numPr>
        <w:spacing w:after="90"/>
      </w:pPr>
      <w:r>
        <w:rPr>
          <w:sz w:val="21"/>
          <w:szCs w:val="21"/>
        </w:rPr>
        <w:t xml:space="preserve">Before today, what did you assume “writeback” meant inside a single Logic function — and how did Part 7's two-step pattern change that?</w:t>
      </w:r>
    </w:p>
    <w:p>
      <w:pPr>
        <w:pStyle w:val="ListParagraph"/>
        <w:numPr>
          <w:ilvl w:val="0"/>
          <w:numId w:val="3"/>
        </w:numPr>
        <w:spacing w:after="90"/>
      </w:pPr>
      <w:r>
        <w:rPr>
          <w:sz w:val="21"/>
          <w:szCs w:val="21"/>
        </w:rPr>
        <w:t xml:space="preserve">Why does a single submission criterion (status equals UnderReview) give you duplicate protection for free, without any extra logic?</w:t>
      </w:r>
    </w:p>
    <w:p>
      <w:pPr>
        <w:pStyle w:val="ListParagraph"/>
        <w:numPr>
          <w:ilvl w:val="0"/>
          <w:numId w:val="3"/>
        </w:numPr>
        <w:spacing w:after="90"/>
      </w:pPr>
      <w:r>
        <w:rPr>
          <w:sz w:val="21"/>
          <w:szCs w:val="21"/>
        </w:rPr>
        <w:t xml:space="preserve">If this workflow needed to run without a person manually submitting the Action each time, what would need to change — based on what you now know about how Ontology edits actually get applied?</w:t>
      </w:r>
    </w:p>
    <w:p>
      <w:pPr>
        <w:pStyle w:val="Heading1"/>
        <w:pBdr>
          <w:bottom w:val="single" w:color="1F3864" w:sz="6" w:space="4"/>
        </w:pBdr>
        <w:spacing w:after="200" w:before="420"/>
      </w:pPr>
      <w:r>
        <w:rPr>
          <w:b/>
          <w:bCs/>
          <w:color w:val="1F3864"/>
          <w:sz w:val="30"/>
          <w:szCs w:val="30"/>
        </w:rPr>
        <w:t xml:space="preserve">If You Run Out of Time</w:t>
      </w:r>
    </w:p>
    <w:p>
      <w:pPr>
        <w:spacing w:after="130"/>
      </w:pPr>
      <w:r>
        <w:rPr>
          <w:sz w:val="21"/>
          <w:szCs w:val="21"/>
        </w:rPr>
        <w:t xml:space="preserve">Complete Parts 1–7 (a working recommendation plus one real, verified Action submission) as the minimum before Day 4. Parts 8–10 can be finished as the first thing you do on Day 4 if needed.</w:t>
      </w:r>
    </w:p>
    <w:p>
      <w:pPr>
        <w:pStyle w:val="Heading1"/>
        <w:pBdr>
          <w:bottom w:val="single" w:color="1F3864" w:sz="6" w:space="4"/>
        </w:pBdr>
        <w:spacing w:after="200" w:before="420"/>
      </w:pPr>
      <w:r>
        <w:rPr>
          <w:b/>
          <w:bCs/>
          <w:color w:val="1F3864"/>
          <w:sz w:val="30"/>
          <w:szCs w:val="30"/>
        </w:rPr>
        <w:t xml:space="preserve">Troubleshooting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6050"/>
      </w:tblGrid>
      <w:tr>
        <w:trPr>
          <w:tblHeader/>
        </w:trPr>
        <w:tc>
          <w:tcPr>
            <w:tcW w:type="dxa" w:w="3300"/>
            <w:shd w:fill="1F3864" w:val="clear"/>
            <w:tcMar>
              <w:top w:type="dxa" w:w="80"/>
              <w:left w:type="dxa" w:w="100"/>
              <w:bottom w:type="dxa" w:w="80"/>
              <w:right w:type="dxa" w:w="100"/>
            </w:tcMar>
            <w:vAlign w:val="center"/>
          </w:tcPr>
          <w:p>
            <w:r>
              <w:rPr>
                <w:b/>
                <w:bCs/>
                <w:color w:val="FFFFFF"/>
                <w:sz w:val="20"/>
                <w:szCs w:val="20"/>
              </w:rPr>
              <w:t xml:space="preserve">Symptom</w:t>
            </w:r>
          </w:p>
        </w:tc>
        <w:tc>
          <w:tcPr>
            <w:tcW w:type="dxa" w:w="6050"/>
            <w:shd w:fill="1F3864" w:val="clear"/>
            <w:tcMar>
              <w:top w:type="dxa" w:w="80"/>
              <w:left w:type="dxa" w:w="100"/>
              <w:bottom w:type="dxa" w:w="80"/>
              <w:right w:type="dxa" w:w="100"/>
            </w:tcMar>
            <w:vAlign w:val="center"/>
          </w:tcPr>
          <w:p>
            <w:r>
              <w:rPr>
                <w:b/>
                <w:bCs/>
                <w:color w:val="FFFFFF"/>
                <w:sz w:val="20"/>
                <w:szCs w:val="20"/>
              </w:rPr>
              <w:t xml:space="preserve">Likely Cause &amp; Fix</w:t>
            </w:r>
          </w:p>
        </w:tc>
      </w:tr>
      <w:tr>
        <w:tc>
          <w:tcPr>
            <w:tcW w:type="dxa" w:w="3300"/>
            <w:shd w:fill="F2F2F2" w:val="clear"/>
            <w:tcMar>
              <w:top w:type="dxa" w:w="80"/>
              <w:left w:type="dxa" w:w="100"/>
              <w:bottom w:type="dxa" w:w="80"/>
              <w:right w:type="dxa" w:w="100"/>
            </w:tcMar>
            <w:vAlign w:val="center"/>
          </w:tcPr>
          <w:p>
            <w:r>
              <w:rPr>
                <w:b w:val="false"/>
                <w:bCs w:val="false"/>
                <w:color w:val="000000"/>
                <w:sz w:val="20"/>
                <w:szCs w:val="20"/>
              </w:rPr>
              <w:t xml:space="preserve">Ontology Manager shows no change after Previewing your Logic function</w:t>
            </w:r>
          </w:p>
        </w:tc>
        <w:tc>
          <w:tcPr>
            <w:tcW w:type="dxa" w:w="6050"/>
            <w:shd w:fill="F2F2F2" w:val="clear"/>
            <w:tcMar>
              <w:top w:type="dxa" w:w="80"/>
              <w:left w:type="dxa" w:w="100"/>
              <w:bottom w:type="dxa" w:w="80"/>
              <w:right w:type="dxa" w:w="100"/>
            </w:tcMar>
            <w:vAlign w:val="center"/>
          </w:tcPr>
          <w:p>
            <w:r>
              <w:rPr>
                <w:b w:val="false"/>
                <w:bCs w:val="false"/>
                <w:color w:val="000000"/>
                <w:sz w:val="20"/>
                <w:szCs w:val="20"/>
              </w:rPr>
              <w:t xml:space="preserve">Expected — see “Read This First.” Previewing never commits edits. Apply the real Action in Part 7 via Object Explorer.</w:t>
            </w:r>
          </w:p>
        </w:tc>
      </w:tr>
      <w:tr>
        <w:tc>
          <w:tcPr>
            <w:tcW w:type="dxa" w:w="3300"/>
            <w:shd w:fill="FFFFFF" w:val="clear"/>
            <w:tcMar>
              <w:top w:type="dxa" w:w="80"/>
              <w:left w:type="dxa" w:w="100"/>
              <w:bottom w:type="dxa" w:w="80"/>
              <w:right w:type="dxa" w:w="100"/>
            </w:tcMar>
            <w:vAlign w:val="center"/>
          </w:tcPr>
          <w:p>
            <w:r>
              <w:rPr>
                <w:b w:val="false"/>
                <w:bCs w:val="false"/>
                <w:color w:val="000000"/>
                <w:sz w:val="20"/>
                <w:szCs w:val="20"/>
              </w:rPr>
              <w:t xml:space="preserve">Can't find Action type in the Ontology Manager sidebar</w:t>
            </w:r>
          </w:p>
        </w:tc>
        <w:tc>
          <w:tcPr>
            <w:tcW w:type="dxa" w:w="6050"/>
            <w:shd w:fill="FFFFFF" w:val="clear"/>
            <w:tcMar>
              <w:top w:type="dxa" w:w="80"/>
              <w:left w:type="dxa" w:w="100"/>
              <w:bottom w:type="dxa" w:w="80"/>
              <w:right w:type="dxa" w:w="100"/>
            </w:tcMar>
            <w:vAlign w:val="center"/>
          </w:tcPr>
          <w:p>
            <w:r>
              <w:rPr>
                <w:b w:val="false"/>
                <w:bCs w:val="false"/>
                <w:color w:val="000000"/>
                <w:sz w:val="20"/>
                <w:szCs w:val="20"/>
              </w:rPr>
              <w:t xml:space="preserve">Confirm you're inside your specific Ontology, not the Ontology Manager landing page — the sidebar options are scoped to whichever Ontology you have open</w:t>
            </w:r>
          </w:p>
        </w:tc>
      </w:tr>
      <w:tr>
        <w:tc>
          <w:tcPr>
            <w:tcW w:type="dxa" w:w="3300"/>
            <w:shd w:fill="F2F2F2" w:val="clear"/>
            <w:tcMar>
              <w:top w:type="dxa" w:w="80"/>
              <w:left w:type="dxa" w:w="100"/>
              <w:bottom w:type="dxa" w:w="80"/>
              <w:right w:type="dxa" w:w="100"/>
            </w:tcMar>
            <w:vAlign w:val="center"/>
          </w:tcPr>
          <w:p>
            <w:r>
              <w:rPr>
                <w:b w:val="false"/>
                <w:bCs w:val="false"/>
                <w:color w:val="000000"/>
                <w:sz w:val="20"/>
                <w:szCs w:val="20"/>
              </w:rPr>
              <w:t xml:space="preserve">Forms tab is missing a parameter you expected</w:t>
            </w:r>
          </w:p>
        </w:tc>
        <w:tc>
          <w:tcPr>
            <w:tcW w:type="dxa" w:w="6050"/>
            <w:shd w:fill="F2F2F2" w:val="clear"/>
            <w:tcMar>
              <w:top w:type="dxa" w:w="80"/>
              <w:left w:type="dxa" w:w="100"/>
              <w:bottom w:type="dxa" w:w="80"/>
              <w:right w:type="dxa" w:w="100"/>
            </w:tcMar>
            <w:vAlign w:val="center"/>
          </w:tcPr>
          <w:p>
            <w:r>
              <w:rPr>
                <w:b w:val="false"/>
                <w:bCs w:val="false"/>
                <w:color w:val="000000"/>
                <w:sz w:val="20"/>
                <w:szCs w:val="20"/>
              </w:rPr>
              <w:t xml:space="preserve">Parameters are generated from the properties you selected in each Rule — return to the Rules tab and confirm the property was actually added, not just referenced in a description</w:t>
            </w:r>
          </w:p>
        </w:tc>
      </w:tr>
      <w:tr>
        <w:tc>
          <w:tcPr>
            <w:tcW w:type="dxa" w:w="3300"/>
            <w:shd w:fill="FFFFFF" w:val="clear"/>
            <w:tcMar>
              <w:top w:type="dxa" w:w="80"/>
              <w:left w:type="dxa" w:w="100"/>
              <w:bottom w:type="dxa" w:w="80"/>
              <w:right w:type="dxa" w:w="100"/>
            </w:tcMar>
            <w:vAlign w:val="center"/>
          </w:tcPr>
          <w:p>
            <w:r>
              <w:rPr>
                <w:b w:val="false"/>
                <w:bCs w:val="false"/>
                <w:color w:val="000000"/>
                <w:sz w:val="20"/>
                <w:szCs w:val="20"/>
              </w:rPr>
              <w:t xml:space="preserve">“Missing ontology binding for function” at Publish</w:t>
            </w:r>
          </w:p>
        </w:tc>
        <w:tc>
          <w:tcPr>
            <w:tcW w:type="dxa" w:w="6050"/>
            <w:shd w:fill="FFFFFF" w:val="clear"/>
            <w:tcMar>
              <w:top w:type="dxa" w:w="80"/>
              <w:left w:type="dxa" w:w="100"/>
              <w:bottom w:type="dxa" w:w="80"/>
              <w:right w:type="dxa" w:w="100"/>
            </w:tcMar>
            <w:vAlign w:val="center"/>
          </w:tcPr>
          <w:p>
            <w:r>
              <w:rPr>
                <w:b w:val="false"/>
                <w:bCs w:val="false"/>
                <w:color w:val="000000"/>
                <w:sz w:val="20"/>
                <w:szCs w:val="20"/>
              </w:rPr>
              <w:t xml:space="preserve">See Part 6 — select your Ontology under “Bound to the following ontologies” before publishing</w:t>
            </w:r>
          </w:p>
        </w:tc>
      </w:tr>
      <w:tr>
        <w:tc>
          <w:tcPr>
            <w:tcW w:type="dxa" w:w="3300"/>
            <w:shd w:fill="F2F2F2" w:val="clear"/>
            <w:tcMar>
              <w:top w:type="dxa" w:w="80"/>
              <w:left w:type="dxa" w:w="100"/>
              <w:bottom w:type="dxa" w:w="80"/>
              <w:right w:type="dxa" w:w="100"/>
            </w:tcMar>
            <w:vAlign w:val="center"/>
          </w:tcPr>
          <w:p>
            <w:r>
              <w:rPr>
                <w:b w:val="false"/>
                <w:bCs w:val="false"/>
                <w:color w:val="000000"/>
                <w:sz w:val="20"/>
                <w:szCs w:val="20"/>
              </w:rPr>
              <w:t xml:space="preserve">Actions button doesn't show ApproveClaim in Object Explorer</w:t>
            </w:r>
          </w:p>
        </w:tc>
        <w:tc>
          <w:tcPr>
            <w:tcW w:type="dxa" w:w="6050"/>
            <w:shd w:fill="F2F2F2" w:val="clear"/>
            <w:tcMar>
              <w:top w:type="dxa" w:w="80"/>
              <w:left w:type="dxa" w:w="100"/>
              <w:bottom w:type="dxa" w:w="80"/>
              <w:right w:type="dxa" w:w="100"/>
            </w:tcMar>
            <w:vAlign w:val="center"/>
          </w:tcPr>
          <w:p>
            <w:r>
              <w:rPr>
                <w:b w:val="false"/>
                <w:bCs w:val="false"/>
                <w:color w:val="000000"/>
                <w:sz w:val="20"/>
                <w:szCs w:val="20"/>
              </w:rPr>
              <w:t xml:space="preserve">Confirm your Action Type was saved (Part 1, Step 7), and that the selected object is a Claim — Actions only appear for object types they're configured against</w:t>
            </w:r>
          </w:p>
        </w:tc>
      </w:tr>
      <w:tr>
        <w:tc>
          <w:tcPr>
            <w:tcW w:type="dxa" w:w="3300"/>
            <w:shd w:fill="FFFFFF" w:val="clear"/>
            <w:tcMar>
              <w:top w:type="dxa" w:w="80"/>
              <w:left w:type="dxa" w:w="100"/>
              <w:bottom w:type="dxa" w:w="80"/>
              <w:right w:type="dxa" w:w="100"/>
            </w:tcMar>
            <w:vAlign w:val="center"/>
          </w:tcPr>
          <w:p>
            <w:r>
              <w:rPr>
                <w:b w:val="false"/>
                <w:bCs w:val="false"/>
                <w:color w:val="000000"/>
                <w:sz w:val="20"/>
                <w:szCs w:val="20"/>
              </w:rPr>
              <w:t xml:space="preserve">Second Action submission isn't blocked</w:t>
            </w:r>
          </w:p>
        </w:tc>
        <w:tc>
          <w:tcPr>
            <w:tcW w:type="dxa" w:w="6050"/>
            <w:shd w:fill="FFFFFF" w:val="clear"/>
            <w:tcMar>
              <w:top w:type="dxa" w:w="80"/>
              <w:left w:type="dxa" w:w="100"/>
              <w:bottom w:type="dxa" w:w="80"/>
              <w:right w:type="dxa" w:w="100"/>
            </w:tcMar>
            <w:vAlign w:val="center"/>
          </w:tcPr>
          <w:p>
            <w:r>
              <w:rPr>
                <w:b w:val="false"/>
                <w:bCs w:val="false"/>
                <w:color w:val="000000"/>
                <w:sz w:val="20"/>
                <w:szCs w:val="20"/>
              </w:rPr>
              <w:t xml:space="preserve">Confirm your first submission actually succeeded and changed status away from UnderReview — check the Claim directly; if status never changed, your first submission may have failed silently</w:t>
            </w:r>
          </w:p>
        </w:tc>
      </w:tr>
      <w:tr>
        <w:tc>
          <w:tcPr>
            <w:tcW w:type="dxa" w:w="3300"/>
            <w:shd w:fill="F2F2F2" w:val="clear"/>
            <w:tcMar>
              <w:top w:type="dxa" w:w="80"/>
              <w:left w:type="dxa" w:w="100"/>
              <w:bottom w:type="dxa" w:w="80"/>
              <w:right w:type="dxa" w:w="100"/>
            </w:tcMar>
            <w:vAlign w:val="center"/>
          </w:tcPr>
          <w:p>
            <w:r>
              <w:rPr>
                <w:b w:val="false"/>
                <w:bCs w:val="false"/>
                <w:color w:val="000000"/>
                <w:sz w:val="20"/>
                <w:szCs w:val="20"/>
              </w:rPr>
              <w:t xml:space="preserve">Workflow still returns fraudScore even without Marking eligibility</w:t>
            </w:r>
          </w:p>
        </w:tc>
        <w:tc>
          <w:tcPr>
            <w:tcW w:type="dxa" w:w="6050"/>
            <w:shd w:fill="F2F2F2" w:val="clear"/>
            <w:tcMar>
              <w:top w:type="dxa" w:w="80"/>
              <w:left w:type="dxa" w:w="100"/>
              <w:bottom w:type="dxa" w:w="80"/>
              <w:right w:type="dxa" w:w="100"/>
            </w:tcMar>
            <w:vAlign w:val="center"/>
          </w:tcPr>
          <w:p>
            <w:r>
              <w:rPr>
                <w:b w:val="false"/>
                <w:bCs w:val="false"/>
                <w:color w:val="000000"/>
                <w:sz w:val="20"/>
                <w:szCs w:val="20"/>
              </w:rPr>
              <w:t xml:space="preserve">You may have re-added eligibility without noticing, or the property security policy from Week 1, Part 7 isn't actually saved — revisit Week 1, Part 7 before retesting</w:t>
            </w:r>
          </w:p>
        </w:tc>
      </w:tr>
      <w:tr>
        <w:tc>
          <w:tcPr>
            <w:tcW w:type="dxa" w:w="3300"/>
            <w:shd w:fill="FFFFFF" w:val="clear"/>
            <w:tcMar>
              <w:top w:type="dxa" w:w="80"/>
              <w:left w:type="dxa" w:w="100"/>
              <w:bottom w:type="dxa" w:w="80"/>
              <w:right w:type="dxa" w:w="100"/>
            </w:tcMar>
            <w:vAlign w:val="center"/>
          </w:tcPr>
          <w:p>
            <w:r>
              <w:rPr>
                <w:b w:val="false"/>
                <w:bCs w:val="false"/>
                <w:color w:val="000000"/>
                <w:sz w:val="20"/>
                <w:szCs w:val="20"/>
              </w:rPr>
              <w:t xml:space="preserve">Can't find AIP Logic, Ontology Manager, or Object Explorer at all</w:t>
            </w:r>
          </w:p>
        </w:tc>
        <w:tc>
          <w:tcPr>
            <w:tcW w:type="dxa" w:w="6050"/>
            <w:shd w:fill="FFFFFF" w:val="clear"/>
            <w:tcMar>
              <w:top w:type="dxa" w:w="80"/>
              <w:left w:type="dxa" w:w="100"/>
              <w:bottom w:type="dxa" w:w="80"/>
              <w:right w:type="dxa" w:w="100"/>
            </w:tcMar>
            <w:vAlign w:val="center"/>
          </w:tcPr>
          <w:p>
            <w:r>
              <w:rPr>
                <w:b w:val="false"/>
                <w:bCs w:val="false"/>
                <w:color w:val="000000"/>
                <w:sz w:val="20"/>
                <w:szCs w:val="20"/>
              </w:rPr>
              <w:t xml:space="preserve">Use Cmd+J (macOS) or Ctrl+J (Windows) for quick search from anywhere in Foundry, and type the application name directly</w:t>
            </w:r>
          </w:p>
        </w:tc>
      </w:tr>
    </w:tbl>
    <w:p>
      <w:pPr>
        <w:spacing w:after="160"/>
      </w:pP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Hands-On Exercise — Claim Approval Writeback (Self-Paced)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2026-09-03T13:46:40.296Z</dcterms:created>
  <dcterms:modified xsi:type="dcterms:W3CDTF">2026-09-03T13:46:40.306Z</dcterms:modified>
</cp:coreProperties>
</file>

<file path=docProps/custom.xml><?xml version="1.0" encoding="utf-8"?>
<Properties xmlns="http://schemas.openxmlformats.org/officeDocument/2006/custom-properties" xmlns:vt="http://schemas.openxmlformats.org/officeDocument/2006/docPropsVTypes"/>
</file>