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65F4E" w14:textId="77777777" w:rsidR="00522865" w:rsidRDefault="00000000">
      <w:pPr>
        <w:spacing w:before="600" w:after="150"/>
        <w:jc w:val="center"/>
      </w:pPr>
      <w:r>
        <w:rPr>
          <w:b/>
          <w:bCs/>
          <w:color w:val="1F3864"/>
          <w:sz w:val="36"/>
          <w:szCs w:val="36"/>
        </w:rPr>
        <w:t>DAY 5 — REVIEW SESSION</w:t>
      </w:r>
    </w:p>
    <w:p w14:paraId="3D931D5C" w14:textId="77777777" w:rsidR="00522865" w:rsidRDefault="00000000">
      <w:pPr>
        <w:spacing w:after="200"/>
        <w:jc w:val="center"/>
      </w:pPr>
      <w:r>
        <w:rPr>
          <w:b/>
          <w:bCs/>
          <w:color w:val="2E8B8B"/>
          <w:sz w:val="26"/>
          <w:szCs w:val="26"/>
        </w:rPr>
        <w:t>Europe — Batch 3</w:t>
      </w:r>
    </w:p>
    <w:p w14:paraId="4FDA2D16" w14:textId="77777777" w:rsidR="00522865" w:rsidRDefault="00000000">
      <w:pPr>
        <w:spacing w:after="300"/>
        <w:jc w:val="center"/>
      </w:pPr>
      <w:r>
        <w:rPr>
          <w:b/>
          <w:bCs/>
          <w:color w:val="B08D57"/>
          <w:sz w:val="22"/>
          <w:szCs w:val="22"/>
        </w:rPr>
        <w:t>Fraud Investigation &amp; Special Investigation Unit (SIU)</w:t>
      </w:r>
    </w:p>
    <w:p w14:paraId="00007698" w14:textId="77777777" w:rsidR="00522865" w:rsidRDefault="00000000">
      <w:pPr>
        <w:spacing w:after="500"/>
        <w:jc w:val="center"/>
      </w:pPr>
      <w:r>
        <w:rPr>
          <w:i/>
          <w:iCs/>
          <w:color w:val="555555"/>
          <w:sz w:val="20"/>
          <w:szCs w:val="20"/>
        </w:rPr>
        <w:t>Week 1 · Day 5 · Live Batch Practical (1 Hour) · Prepared by Rajesh Pasham</w:t>
      </w:r>
    </w:p>
    <w:p w14:paraId="2CD25147" w14:textId="77777777" w:rsidR="00522865" w:rsidRDefault="00000000">
      <w:pPr>
        <w:pStyle w:val="Heading1"/>
        <w:pBdr>
          <w:bottom w:val="single" w:sz="6" w:space="4" w:color="1F3864"/>
        </w:pBdr>
        <w:spacing w:before="400" w:after="200"/>
      </w:pPr>
      <w:r>
        <w:rPr>
          <w:b/>
          <w:bCs/>
          <w:color w:val="1F3864"/>
          <w:sz w:val="30"/>
          <w:szCs w:val="30"/>
        </w:rPr>
        <w:t>Session Context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rsidR="00522865" w14:paraId="39D7EB35" w14:textId="77777777">
        <w:tblPrEx>
          <w:tblCellMar>
            <w:top w:w="0" w:type="dxa"/>
            <w:bottom w:w="0" w:type="dxa"/>
          </w:tblCellMar>
        </w:tblPrEx>
        <w:trPr>
          <w:tblHeader/>
        </w:trPr>
        <w:tc>
          <w:tcPr>
            <w:tcW w:w="2500" w:type="dxa"/>
            <w:shd w:val="clear" w:color="auto" w:fill="1F3864"/>
            <w:tcMar>
              <w:top w:w="80" w:type="dxa"/>
              <w:left w:w="100" w:type="dxa"/>
              <w:bottom w:w="80" w:type="dxa"/>
              <w:right w:w="100" w:type="dxa"/>
            </w:tcMar>
            <w:vAlign w:val="center"/>
          </w:tcPr>
          <w:p w14:paraId="1B84E325" w14:textId="77777777" w:rsidR="00522865" w:rsidRDefault="00000000">
            <w:r>
              <w:rPr>
                <w:b/>
                <w:bCs/>
                <w:color w:val="FFFFFF"/>
                <w:sz w:val="20"/>
                <w:szCs w:val="20"/>
              </w:rPr>
              <w:t>Item</w:t>
            </w:r>
          </w:p>
        </w:tc>
        <w:tc>
          <w:tcPr>
            <w:tcW w:w="6850" w:type="dxa"/>
            <w:shd w:val="clear" w:color="auto" w:fill="1F3864"/>
            <w:tcMar>
              <w:top w:w="80" w:type="dxa"/>
              <w:left w:w="100" w:type="dxa"/>
              <w:bottom w:w="80" w:type="dxa"/>
              <w:right w:w="100" w:type="dxa"/>
            </w:tcMar>
            <w:vAlign w:val="center"/>
          </w:tcPr>
          <w:p w14:paraId="540AB53E" w14:textId="77777777" w:rsidR="00522865" w:rsidRDefault="00000000">
            <w:r>
              <w:rPr>
                <w:b/>
                <w:bCs/>
                <w:color w:val="FFFFFF"/>
                <w:sz w:val="20"/>
                <w:szCs w:val="20"/>
              </w:rPr>
              <w:t>Detail</w:t>
            </w:r>
          </w:p>
        </w:tc>
      </w:tr>
      <w:tr w:rsidR="00522865" w14:paraId="0B7CCE3C"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2B67285F" w14:textId="77777777" w:rsidR="00522865" w:rsidRDefault="00000000">
            <w:r>
              <w:rPr>
                <w:color w:val="000000"/>
                <w:sz w:val="20"/>
                <w:szCs w:val="20"/>
              </w:rPr>
              <w:t>Batch</w:t>
            </w:r>
          </w:p>
        </w:tc>
        <w:tc>
          <w:tcPr>
            <w:tcW w:w="6850" w:type="dxa"/>
            <w:shd w:val="clear" w:color="auto" w:fill="F2F2F2"/>
            <w:tcMar>
              <w:top w:w="80" w:type="dxa"/>
              <w:left w:w="100" w:type="dxa"/>
              <w:bottom w:w="80" w:type="dxa"/>
              <w:right w:w="100" w:type="dxa"/>
            </w:tcMar>
            <w:vAlign w:val="center"/>
          </w:tcPr>
          <w:p w14:paraId="2F848F5E" w14:textId="77777777" w:rsidR="00522865" w:rsidRDefault="00000000">
            <w:r>
              <w:rPr>
                <w:color w:val="000000"/>
                <w:sz w:val="20"/>
                <w:szCs w:val="20"/>
              </w:rPr>
              <w:t>Europe — Batch 3</w:t>
            </w:r>
          </w:p>
        </w:tc>
      </w:tr>
      <w:tr w:rsidR="00522865" w14:paraId="01E78A61"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4E009968" w14:textId="77777777" w:rsidR="00522865" w:rsidRDefault="00000000">
            <w:r>
              <w:rPr>
                <w:color w:val="000000"/>
                <w:sz w:val="20"/>
                <w:szCs w:val="20"/>
              </w:rPr>
              <w:t>Time Slot</w:t>
            </w:r>
          </w:p>
        </w:tc>
        <w:tc>
          <w:tcPr>
            <w:tcW w:w="6850" w:type="dxa"/>
            <w:shd w:val="clear" w:color="auto" w:fill="FFFFFF"/>
            <w:tcMar>
              <w:top w:w="80" w:type="dxa"/>
              <w:left w:w="100" w:type="dxa"/>
              <w:bottom w:w="80" w:type="dxa"/>
              <w:right w:w="100" w:type="dxa"/>
            </w:tcMar>
            <w:vAlign w:val="center"/>
          </w:tcPr>
          <w:p w14:paraId="0809FACF" w14:textId="77777777" w:rsidR="00522865" w:rsidRDefault="00000000">
            <w:r>
              <w:rPr>
                <w:color w:val="000000"/>
                <w:sz w:val="20"/>
                <w:szCs w:val="20"/>
              </w:rPr>
              <w:t>2:30 PM – 3:30 PM IST / 11:00 AM – 12:00 PM CEST (Pre-Lunch)</w:t>
            </w:r>
          </w:p>
        </w:tc>
      </w:tr>
      <w:tr w:rsidR="00522865" w14:paraId="1F6FEF2C"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2AB4610A" w14:textId="77777777" w:rsidR="00522865" w:rsidRDefault="00000000">
            <w:r>
              <w:rPr>
                <w:color w:val="000000"/>
                <w:sz w:val="20"/>
                <w:szCs w:val="20"/>
              </w:rPr>
              <w:t>Use Case</w:t>
            </w:r>
          </w:p>
        </w:tc>
        <w:tc>
          <w:tcPr>
            <w:tcW w:w="6850" w:type="dxa"/>
            <w:shd w:val="clear" w:color="auto" w:fill="F2F2F2"/>
            <w:tcMar>
              <w:top w:w="80" w:type="dxa"/>
              <w:left w:w="100" w:type="dxa"/>
              <w:bottom w:w="80" w:type="dxa"/>
              <w:right w:w="100" w:type="dxa"/>
            </w:tcMar>
            <w:vAlign w:val="center"/>
          </w:tcPr>
          <w:p w14:paraId="64FB8025" w14:textId="77777777" w:rsidR="00522865" w:rsidRDefault="00000000">
            <w:r>
              <w:rPr>
                <w:color w:val="000000"/>
                <w:sz w:val="20"/>
                <w:szCs w:val="20"/>
              </w:rPr>
              <w:t>Fraud Investigation &amp; Special Investigation Unit (SIU)</w:t>
            </w:r>
          </w:p>
        </w:tc>
      </w:tr>
      <w:tr w:rsidR="00522865" w14:paraId="6C2E50C5"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24373BC2" w14:textId="77777777" w:rsidR="00522865" w:rsidRDefault="00000000">
            <w:r>
              <w:rPr>
                <w:color w:val="000000"/>
                <w:sz w:val="20"/>
                <w:szCs w:val="20"/>
              </w:rPr>
              <w:t>Format</w:t>
            </w:r>
          </w:p>
        </w:tc>
        <w:tc>
          <w:tcPr>
            <w:tcW w:w="6850" w:type="dxa"/>
            <w:shd w:val="clear" w:color="auto" w:fill="FFFFFF"/>
            <w:tcMar>
              <w:top w:w="80" w:type="dxa"/>
              <w:left w:w="100" w:type="dxa"/>
              <w:bottom w:w="80" w:type="dxa"/>
              <w:right w:w="100" w:type="dxa"/>
            </w:tcMar>
            <w:vAlign w:val="center"/>
          </w:tcPr>
          <w:p w14:paraId="75FC53F8" w14:textId="77777777" w:rsidR="00522865" w:rsidRDefault="00000000">
            <w:r>
              <w:rPr>
                <w:color w:val="000000"/>
                <w:sz w:val="20"/>
                <w:szCs w:val="20"/>
              </w:rPr>
              <w:t>Live, trainer-facilitated — 1 hour, Architecture Review and Design Review</w:t>
            </w:r>
          </w:p>
        </w:tc>
      </w:tr>
    </w:tbl>
    <w:p w14:paraId="47DD8330" w14:textId="77777777" w:rsidR="00522865" w:rsidRDefault="00000000">
      <w:pPr>
        <w:pStyle w:val="Heading1"/>
        <w:pBdr>
          <w:bottom w:val="single" w:sz="6" w:space="4" w:color="1F3864"/>
        </w:pBdr>
        <w:spacing w:before="400" w:after="200"/>
      </w:pPr>
      <w:r>
        <w:rPr>
          <w:b/>
          <w:bCs/>
          <w:color w:val="1F3864"/>
          <w:sz w:val="30"/>
          <w:szCs w:val="30"/>
        </w:rPr>
        <w:t>What Gets Reviewed Today</w:t>
      </w:r>
    </w:p>
    <w:p w14:paraId="17FE9864" w14:textId="77777777" w:rsidR="00522865" w:rsidRDefault="00000000">
      <w:pPr>
        <w:spacing w:after="130"/>
      </w:pPr>
      <w:r>
        <w:t>Everything your batch built since Day 3: the incremental pipeline and branching workflow, the seven Object Types (Claim, Fraud Case, Risk Indicator, Evidence, SIU Investigator, Referral Source, Outcome), their relationships (with FK columns, per Day 3's updated format), and the governance plan you designed on Day 4 — including whatever you implemented independently between sessions.</w:t>
      </w:r>
    </w:p>
    <w:p w14:paraId="1D28E08A" w14:textId="77777777" w:rsidR="00522865" w:rsidRDefault="00000000">
      <w:pPr>
        <w:spacing w:after="130"/>
      </w:pPr>
      <w:r>
        <w:rPr>
          <w:i/>
          <w:iCs/>
          <w:color w:val="555555"/>
        </w:rPr>
        <w:t>This is the close of Week 1 — the checkpoint before Week 2 builds an AIP Copilot directly on top of what you review today.</w:t>
      </w:r>
    </w:p>
    <w:p w14:paraId="443AC80D" w14:textId="77777777" w:rsidR="00522865" w:rsidRDefault="00000000">
      <w:pPr>
        <w:pStyle w:val="Heading1"/>
        <w:pBdr>
          <w:bottom w:val="single" w:sz="6" w:space="4" w:color="1F3864"/>
        </w:pBdr>
        <w:spacing w:before="400" w:after="200"/>
      </w:pPr>
      <w:r>
        <w:rPr>
          <w:b/>
          <w:bCs/>
          <w:color w:val="1F3864"/>
          <w:sz w:val="30"/>
          <w:szCs w:val="30"/>
        </w:rPr>
        <w:t>Review Criteria — Weekly Scorecard</w:t>
      </w:r>
    </w:p>
    <w:p w14:paraId="1E198439" w14:textId="77777777" w:rsidR="00522865" w:rsidRDefault="00000000">
      <w:pPr>
        <w:spacing w:after="130"/>
      </w:pPr>
      <w:r>
        <w:t>Review methods applied this week: Architecture Review, Design Review.</w:t>
      </w:r>
    </w:p>
    <w:tbl>
      <w:tblPr>
        <w:tblW w:w="7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1550"/>
      </w:tblGrid>
      <w:tr w:rsidR="00522865" w14:paraId="53BA7CCA" w14:textId="77777777">
        <w:tblPrEx>
          <w:tblCellMar>
            <w:top w:w="0" w:type="dxa"/>
            <w:bottom w:w="0" w:type="dxa"/>
          </w:tblCellMar>
        </w:tblPrEx>
        <w:trPr>
          <w:tblHeader/>
        </w:trPr>
        <w:tc>
          <w:tcPr>
            <w:tcW w:w="5800" w:type="dxa"/>
            <w:shd w:val="clear" w:color="auto" w:fill="1F3864"/>
            <w:tcMar>
              <w:top w:w="80" w:type="dxa"/>
              <w:left w:w="100" w:type="dxa"/>
              <w:bottom w:w="80" w:type="dxa"/>
              <w:right w:w="100" w:type="dxa"/>
            </w:tcMar>
            <w:vAlign w:val="center"/>
          </w:tcPr>
          <w:p w14:paraId="53F24EF4" w14:textId="77777777" w:rsidR="00522865" w:rsidRDefault="00000000">
            <w:r>
              <w:rPr>
                <w:b/>
                <w:bCs/>
                <w:color w:val="FFFFFF"/>
                <w:sz w:val="20"/>
                <w:szCs w:val="20"/>
              </w:rPr>
              <w:t>Scorecard Dimension</w:t>
            </w:r>
          </w:p>
        </w:tc>
        <w:tc>
          <w:tcPr>
            <w:tcW w:w="1550" w:type="dxa"/>
            <w:shd w:val="clear" w:color="auto" w:fill="1F3864"/>
            <w:tcMar>
              <w:top w:w="80" w:type="dxa"/>
              <w:left w:w="100" w:type="dxa"/>
              <w:bottom w:w="80" w:type="dxa"/>
              <w:right w:w="100" w:type="dxa"/>
            </w:tcMar>
            <w:vAlign w:val="center"/>
          </w:tcPr>
          <w:p w14:paraId="11CBD517" w14:textId="77777777" w:rsidR="00522865" w:rsidRDefault="00000000">
            <w:r>
              <w:rPr>
                <w:b/>
                <w:bCs/>
                <w:color w:val="FFFFFF"/>
                <w:sz w:val="20"/>
                <w:szCs w:val="20"/>
              </w:rPr>
              <w:t>Weight</w:t>
            </w:r>
          </w:p>
        </w:tc>
      </w:tr>
      <w:tr w:rsidR="00522865" w14:paraId="15C54A98" w14:textId="77777777">
        <w:tblPrEx>
          <w:tblCellMar>
            <w:top w:w="0" w:type="dxa"/>
            <w:bottom w:w="0" w:type="dxa"/>
          </w:tblCellMar>
        </w:tblPrEx>
        <w:tc>
          <w:tcPr>
            <w:tcW w:w="5800" w:type="dxa"/>
            <w:shd w:val="clear" w:color="auto" w:fill="F2F2F2"/>
            <w:tcMar>
              <w:top w:w="80" w:type="dxa"/>
              <w:left w:w="100" w:type="dxa"/>
              <w:bottom w:w="80" w:type="dxa"/>
              <w:right w:w="100" w:type="dxa"/>
            </w:tcMar>
            <w:vAlign w:val="center"/>
          </w:tcPr>
          <w:p w14:paraId="34523C62" w14:textId="77777777" w:rsidR="00522865" w:rsidRDefault="00000000">
            <w:r>
              <w:rPr>
                <w:color w:val="000000"/>
                <w:sz w:val="20"/>
                <w:szCs w:val="20"/>
              </w:rPr>
              <w:t>Architecture</w:t>
            </w:r>
          </w:p>
        </w:tc>
        <w:tc>
          <w:tcPr>
            <w:tcW w:w="1550" w:type="dxa"/>
            <w:shd w:val="clear" w:color="auto" w:fill="F2F2F2"/>
            <w:tcMar>
              <w:top w:w="80" w:type="dxa"/>
              <w:left w:w="100" w:type="dxa"/>
              <w:bottom w:w="80" w:type="dxa"/>
              <w:right w:w="100" w:type="dxa"/>
            </w:tcMar>
            <w:vAlign w:val="center"/>
          </w:tcPr>
          <w:p w14:paraId="51E33DC3" w14:textId="77777777" w:rsidR="00522865" w:rsidRDefault="00000000">
            <w:r>
              <w:rPr>
                <w:color w:val="000000"/>
                <w:sz w:val="20"/>
                <w:szCs w:val="20"/>
              </w:rPr>
              <w:t>20%</w:t>
            </w:r>
          </w:p>
        </w:tc>
      </w:tr>
      <w:tr w:rsidR="00522865" w14:paraId="4263AE59" w14:textId="77777777">
        <w:tblPrEx>
          <w:tblCellMar>
            <w:top w:w="0" w:type="dxa"/>
            <w:bottom w:w="0" w:type="dxa"/>
          </w:tblCellMar>
        </w:tblPrEx>
        <w:tc>
          <w:tcPr>
            <w:tcW w:w="5800" w:type="dxa"/>
            <w:shd w:val="clear" w:color="auto" w:fill="FFFFFF"/>
            <w:tcMar>
              <w:top w:w="80" w:type="dxa"/>
              <w:left w:w="100" w:type="dxa"/>
              <w:bottom w:w="80" w:type="dxa"/>
              <w:right w:w="100" w:type="dxa"/>
            </w:tcMar>
            <w:vAlign w:val="center"/>
          </w:tcPr>
          <w:p w14:paraId="4CCB5A25" w14:textId="77777777" w:rsidR="00522865" w:rsidRDefault="00000000">
            <w:r>
              <w:rPr>
                <w:color w:val="000000"/>
                <w:sz w:val="20"/>
                <w:szCs w:val="20"/>
              </w:rPr>
              <w:t>AI Design</w:t>
            </w:r>
          </w:p>
        </w:tc>
        <w:tc>
          <w:tcPr>
            <w:tcW w:w="1550" w:type="dxa"/>
            <w:shd w:val="clear" w:color="auto" w:fill="FFFFFF"/>
            <w:tcMar>
              <w:top w:w="80" w:type="dxa"/>
              <w:left w:w="100" w:type="dxa"/>
              <w:bottom w:w="80" w:type="dxa"/>
              <w:right w:w="100" w:type="dxa"/>
            </w:tcMar>
            <w:vAlign w:val="center"/>
          </w:tcPr>
          <w:p w14:paraId="304E2EBC" w14:textId="77777777" w:rsidR="00522865" w:rsidRDefault="00000000">
            <w:r>
              <w:rPr>
                <w:color w:val="000000"/>
                <w:sz w:val="20"/>
                <w:szCs w:val="20"/>
              </w:rPr>
              <w:t>20%</w:t>
            </w:r>
          </w:p>
        </w:tc>
      </w:tr>
      <w:tr w:rsidR="00522865" w14:paraId="631A9AF9" w14:textId="77777777">
        <w:tblPrEx>
          <w:tblCellMar>
            <w:top w:w="0" w:type="dxa"/>
            <w:bottom w:w="0" w:type="dxa"/>
          </w:tblCellMar>
        </w:tblPrEx>
        <w:tc>
          <w:tcPr>
            <w:tcW w:w="5800" w:type="dxa"/>
            <w:shd w:val="clear" w:color="auto" w:fill="F2F2F2"/>
            <w:tcMar>
              <w:top w:w="80" w:type="dxa"/>
              <w:left w:w="100" w:type="dxa"/>
              <w:bottom w:w="80" w:type="dxa"/>
              <w:right w:w="100" w:type="dxa"/>
            </w:tcMar>
            <w:vAlign w:val="center"/>
          </w:tcPr>
          <w:p w14:paraId="05247430" w14:textId="77777777" w:rsidR="00522865" w:rsidRDefault="00000000">
            <w:r>
              <w:rPr>
                <w:color w:val="000000"/>
                <w:sz w:val="20"/>
                <w:szCs w:val="20"/>
              </w:rPr>
              <w:t>Implementation</w:t>
            </w:r>
          </w:p>
        </w:tc>
        <w:tc>
          <w:tcPr>
            <w:tcW w:w="1550" w:type="dxa"/>
            <w:shd w:val="clear" w:color="auto" w:fill="F2F2F2"/>
            <w:tcMar>
              <w:top w:w="80" w:type="dxa"/>
              <w:left w:w="100" w:type="dxa"/>
              <w:bottom w:w="80" w:type="dxa"/>
              <w:right w:w="100" w:type="dxa"/>
            </w:tcMar>
            <w:vAlign w:val="center"/>
          </w:tcPr>
          <w:p w14:paraId="6289FF78" w14:textId="77777777" w:rsidR="00522865" w:rsidRDefault="00000000">
            <w:r>
              <w:rPr>
                <w:color w:val="000000"/>
                <w:sz w:val="20"/>
                <w:szCs w:val="20"/>
              </w:rPr>
              <w:t>30%</w:t>
            </w:r>
          </w:p>
        </w:tc>
      </w:tr>
      <w:tr w:rsidR="00522865" w14:paraId="5BB1BB3E" w14:textId="77777777">
        <w:tblPrEx>
          <w:tblCellMar>
            <w:top w:w="0" w:type="dxa"/>
            <w:bottom w:w="0" w:type="dxa"/>
          </w:tblCellMar>
        </w:tblPrEx>
        <w:tc>
          <w:tcPr>
            <w:tcW w:w="5800" w:type="dxa"/>
            <w:shd w:val="clear" w:color="auto" w:fill="FFFFFF"/>
            <w:tcMar>
              <w:top w:w="80" w:type="dxa"/>
              <w:left w:w="100" w:type="dxa"/>
              <w:bottom w:w="80" w:type="dxa"/>
              <w:right w:w="100" w:type="dxa"/>
            </w:tcMar>
            <w:vAlign w:val="center"/>
          </w:tcPr>
          <w:p w14:paraId="0EB83061" w14:textId="77777777" w:rsidR="00522865" w:rsidRDefault="00000000">
            <w:r>
              <w:rPr>
                <w:color w:val="000000"/>
                <w:sz w:val="20"/>
                <w:szCs w:val="20"/>
              </w:rPr>
              <w:t>Documentation</w:t>
            </w:r>
          </w:p>
        </w:tc>
        <w:tc>
          <w:tcPr>
            <w:tcW w:w="1550" w:type="dxa"/>
            <w:shd w:val="clear" w:color="auto" w:fill="FFFFFF"/>
            <w:tcMar>
              <w:top w:w="80" w:type="dxa"/>
              <w:left w:w="100" w:type="dxa"/>
              <w:bottom w:w="80" w:type="dxa"/>
              <w:right w:w="100" w:type="dxa"/>
            </w:tcMar>
            <w:vAlign w:val="center"/>
          </w:tcPr>
          <w:p w14:paraId="4B24BE9F" w14:textId="77777777" w:rsidR="00522865" w:rsidRDefault="00000000">
            <w:r>
              <w:rPr>
                <w:color w:val="000000"/>
                <w:sz w:val="20"/>
                <w:szCs w:val="20"/>
              </w:rPr>
              <w:t>10%</w:t>
            </w:r>
          </w:p>
        </w:tc>
      </w:tr>
      <w:tr w:rsidR="00522865" w14:paraId="054C024B" w14:textId="77777777">
        <w:tblPrEx>
          <w:tblCellMar>
            <w:top w:w="0" w:type="dxa"/>
            <w:bottom w:w="0" w:type="dxa"/>
          </w:tblCellMar>
        </w:tblPrEx>
        <w:tc>
          <w:tcPr>
            <w:tcW w:w="5800" w:type="dxa"/>
            <w:shd w:val="clear" w:color="auto" w:fill="F2F2F2"/>
            <w:tcMar>
              <w:top w:w="80" w:type="dxa"/>
              <w:left w:w="100" w:type="dxa"/>
              <w:bottom w:w="80" w:type="dxa"/>
              <w:right w:w="100" w:type="dxa"/>
            </w:tcMar>
            <w:vAlign w:val="center"/>
          </w:tcPr>
          <w:p w14:paraId="4C691F6D" w14:textId="77777777" w:rsidR="00522865" w:rsidRDefault="00000000">
            <w:r>
              <w:rPr>
                <w:color w:val="000000"/>
                <w:sz w:val="20"/>
                <w:szCs w:val="20"/>
              </w:rPr>
              <w:t>Presentation</w:t>
            </w:r>
          </w:p>
        </w:tc>
        <w:tc>
          <w:tcPr>
            <w:tcW w:w="1550" w:type="dxa"/>
            <w:shd w:val="clear" w:color="auto" w:fill="F2F2F2"/>
            <w:tcMar>
              <w:top w:w="80" w:type="dxa"/>
              <w:left w:w="100" w:type="dxa"/>
              <w:bottom w:w="80" w:type="dxa"/>
              <w:right w:w="100" w:type="dxa"/>
            </w:tcMar>
            <w:vAlign w:val="center"/>
          </w:tcPr>
          <w:p w14:paraId="77E773A2" w14:textId="77777777" w:rsidR="00522865" w:rsidRDefault="00000000">
            <w:r>
              <w:rPr>
                <w:color w:val="000000"/>
                <w:sz w:val="20"/>
                <w:szCs w:val="20"/>
              </w:rPr>
              <w:t>20%</w:t>
            </w:r>
          </w:p>
        </w:tc>
      </w:tr>
    </w:tbl>
    <w:p w14:paraId="5000B536" w14:textId="77777777" w:rsidR="00522865" w:rsidRDefault="00000000">
      <w:pPr>
        <w:spacing w:after="130"/>
      </w:pPr>
      <w:r>
        <w:rPr>
          <w:i/>
          <w:iCs/>
          <w:color w:val="555555"/>
        </w:rPr>
        <w:t>For Week 1 specifically: Architecture covers your Object Type and Link Type design; Design covers your governance plan (Marking, condition column, and security policies); Implementation covers the pipeline, branching, and whether the Ontology is actually populated and navigable — not just designed on paper.</w:t>
      </w:r>
    </w:p>
    <w:p w14:paraId="50021C0C" w14:textId="77777777" w:rsidR="003E7889" w:rsidRDefault="003E7889">
      <w:pPr>
        <w:pStyle w:val="Heading1"/>
        <w:pBdr>
          <w:bottom w:val="single" w:sz="6" w:space="4" w:color="1F3864"/>
        </w:pBdr>
        <w:spacing w:before="400" w:after="200"/>
        <w:rPr>
          <w:b/>
          <w:bCs/>
          <w:color w:val="1F3864"/>
          <w:sz w:val="30"/>
          <w:szCs w:val="30"/>
        </w:rPr>
      </w:pPr>
    </w:p>
    <w:p w14:paraId="612AEE05" w14:textId="77777777" w:rsidR="003E7889" w:rsidRDefault="003E7889">
      <w:pPr>
        <w:pStyle w:val="Heading1"/>
        <w:pBdr>
          <w:bottom w:val="single" w:sz="6" w:space="4" w:color="1F3864"/>
        </w:pBdr>
        <w:spacing w:before="400" w:after="200"/>
        <w:rPr>
          <w:b/>
          <w:bCs/>
          <w:color w:val="1F3864"/>
          <w:sz w:val="30"/>
          <w:szCs w:val="30"/>
        </w:rPr>
      </w:pPr>
    </w:p>
    <w:p w14:paraId="4634BAC6" w14:textId="7BFAD784" w:rsidR="00522865" w:rsidRDefault="00000000">
      <w:pPr>
        <w:pStyle w:val="Heading1"/>
        <w:pBdr>
          <w:bottom w:val="single" w:sz="6" w:space="4" w:color="1F3864"/>
        </w:pBdr>
        <w:spacing w:before="400" w:after="200"/>
      </w:pPr>
      <w:r>
        <w:rPr>
          <w:b/>
          <w:bCs/>
          <w:color w:val="1F3864"/>
          <w:sz w:val="30"/>
          <w:szCs w:val="30"/>
        </w:rPr>
        <w:lastRenderedPageBreak/>
        <w:t>Self-Check Before the Review</w:t>
      </w:r>
    </w:p>
    <w:p w14:paraId="6FEE15D1" w14:textId="77777777" w:rsidR="00522865" w:rsidRDefault="00000000">
      <w:pPr>
        <w:spacing w:after="130"/>
      </w:pPr>
      <w:r>
        <w:t>Confirm these yourself before the session starts — the hour goes to discussion and feedback, not to watching you configure things live.</w:t>
      </w:r>
    </w:p>
    <w:p w14:paraId="1BC7F59A" w14:textId="77777777" w:rsidR="00522865" w:rsidRDefault="00000000">
      <w:pPr>
        <w:pStyle w:val="ListParagraph"/>
        <w:numPr>
          <w:ilvl w:val="0"/>
          <w:numId w:val="2"/>
        </w:numPr>
        <w:spacing w:after="60"/>
      </w:pPr>
      <w:proofErr w:type="gramStart"/>
      <w:r>
        <w:t>☐  Reference</w:t>
      </w:r>
      <w:proofErr w:type="gramEnd"/>
      <w:r>
        <w:t xml:space="preserve"> dataset loaded, schema-checked, and feeding the pipeline</w:t>
      </w:r>
    </w:p>
    <w:p w14:paraId="6125E664" w14:textId="77777777" w:rsidR="00522865" w:rsidRDefault="00000000">
      <w:pPr>
        <w:pStyle w:val="ListParagraph"/>
        <w:numPr>
          <w:ilvl w:val="0"/>
          <w:numId w:val="2"/>
        </w:numPr>
        <w:spacing w:after="60"/>
      </w:pPr>
      <w:proofErr w:type="gramStart"/>
      <w:r>
        <w:t>☐  Pipeline</w:t>
      </w:r>
      <w:proofErr w:type="gramEnd"/>
      <w:r>
        <w:t xml:space="preserve"> runs incrementally, with a passing data-quality expectation</w:t>
      </w:r>
    </w:p>
    <w:p w14:paraId="0604752E" w14:textId="77777777" w:rsidR="00522865" w:rsidRDefault="00000000">
      <w:pPr>
        <w:pStyle w:val="ListParagraph"/>
        <w:numPr>
          <w:ilvl w:val="0"/>
          <w:numId w:val="2"/>
        </w:numPr>
        <w:spacing w:after="60"/>
      </w:pPr>
      <w:proofErr w:type="gramStart"/>
      <w:r>
        <w:t>☐  A</w:t>
      </w:r>
      <w:proofErr w:type="gramEnd"/>
      <w:r>
        <w:t xml:space="preserve"> pipeline change went through a branch and was merged, not edited directly on master</w:t>
      </w:r>
    </w:p>
    <w:p w14:paraId="741019EF" w14:textId="77777777" w:rsidR="00522865" w:rsidRDefault="00000000">
      <w:pPr>
        <w:pStyle w:val="ListParagraph"/>
        <w:numPr>
          <w:ilvl w:val="0"/>
          <w:numId w:val="2"/>
        </w:numPr>
        <w:spacing w:after="60"/>
      </w:pPr>
      <w:proofErr w:type="gramStart"/>
      <w:r>
        <w:t>☐  All</w:t>
      </w:r>
      <w:proofErr w:type="gramEnd"/>
      <w:r>
        <w:t xml:space="preserve"> seven Object Types exist with valid primary keys and real instances</w:t>
      </w:r>
    </w:p>
    <w:p w14:paraId="28BFD6D1" w14:textId="77777777" w:rsidR="00522865" w:rsidRDefault="00000000">
      <w:pPr>
        <w:pStyle w:val="ListParagraph"/>
        <w:numPr>
          <w:ilvl w:val="0"/>
          <w:numId w:val="2"/>
        </w:numPr>
        <w:spacing w:after="60"/>
      </w:pPr>
      <w:proofErr w:type="gramStart"/>
      <w:r>
        <w:t>☐  All</w:t>
      </w:r>
      <w:proofErr w:type="gramEnd"/>
      <w:r>
        <w:t xml:space="preserve"> relationships are navigable end to end through the Ontology</w:t>
      </w:r>
    </w:p>
    <w:p w14:paraId="62A0E677" w14:textId="77777777" w:rsidR="00522865" w:rsidRDefault="00000000">
      <w:pPr>
        <w:pStyle w:val="ListParagraph"/>
        <w:numPr>
          <w:ilvl w:val="0"/>
          <w:numId w:val="2"/>
        </w:numPr>
        <w:spacing w:after="60"/>
      </w:pPr>
      <w:proofErr w:type="gramStart"/>
      <w:r>
        <w:t>☐  The</w:t>
      </w:r>
      <w:proofErr w:type="gramEnd"/>
      <w:r>
        <w:t xml:space="preserve"> Active Investigation Marking exists, with object- and/or property-level security policies applied</w:t>
      </w:r>
    </w:p>
    <w:p w14:paraId="51B65B91" w14:textId="77777777" w:rsidR="00522865" w:rsidRDefault="00000000">
      <w:pPr>
        <w:pStyle w:val="ListParagraph"/>
        <w:numPr>
          <w:ilvl w:val="0"/>
          <w:numId w:val="2"/>
        </w:numPr>
        <w:spacing w:after="60"/>
      </w:pPr>
      <w:proofErr w:type="gramStart"/>
      <w:r>
        <w:t>☐  You</w:t>
      </w:r>
      <w:proofErr w:type="gramEnd"/>
      <w:r>
        <w:t xml:space="preserve"> can explain why your batch didn't need a </w:t>
      </w:r>
      <w:proofErr w:type="spellStart"/>
      <w:r>
        <w:t>boolean</w:t>
      </w:r>
      <w:proofErr w:type="spellEnd"/>
      <w:r>
        <w:t xml:space="preserve"> workaround for its policy condition (status (String))</w:t>
      </w:r>
    </w:p>
    <w:p w14:paraId="5BE39893" w14:textId="77777777" w:rsidR="00522865" w:rsidRDefault="00000000">
      <w:pPr>
        <w:pStyle w:val="ListParagraph"/>
        <w:numPr>
          <w:ilvl w:val="0"/>
          <w:numId w:val="2"/>
        </w:numPr>
        <w:spacing w:after="60"/>
      </w:pPr>
      <w:proofErr w:type="gramStart"/>
      <w:r>
        <w:t>☐  Restricted</w:t>
      </w:r>
      <w:proofErr w:type="gramEnd"/>
      <w:r>
        <w:t xml:space="preserve"> access has been tested with a second account, before and after granting access</w:t>
      </w:r>
    </w:p>
    <w:p w14:paraId="45612382" w14:textId="77777777" w:rsidR="00522865" w:rsidRDefault="00000000">
      <w:pPr>
        <w:pStyle w:val="ListParagraph"/>
        <w:numPr>
          <w:ilvl w:val="0"/>
          <w:numId w:val="2"/>
        </w:numPr>
        <w:spacing w:after="60"/>
      </w:pPr>
      <w:proofErr w:type="gramStart"/>
      <w:r>
        <w:t>☐  Lineage</w:t>
      </w:r>
      <w:proofErr w:type="gramEnd"/>
      <w:r>
        <w:t xml:space="preserve"> for your transformed dataset has been traced backward and forward</w:t>
      </w:r>
    </w:p>
    <w:p w14:paraId="3A9BFF7A" w14:textId="77777777" w:rsidR="00522865" w:rsidRDefault="00000000">
      <w:pPr>
        <w:pStyle w:val="Heading1"/>
        <w:pBdr>
          <w:bottom w:val="single" w:sz="6" w:space="4" w:color="1F3864"/>
        </w:pBdr>
        <w:spacing w:before="400" w:after="200"/>
      </w:pPr>
      <w:r>
        <w:rPr>
          <w:b/>
          <w:bCs/>
          <w:color w:val="1F3864"/>
          <w:sz w:val="30"/>
          <w:szCs w:val="30"/>
        </w:rPr>
        <w:t>Today's Review Session Plan (1 Hour)</w:t>
      </w:r>
    </w:p>
    <w:tbl>
      <w:tblPr>
        <w:tblW w:w="9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50"/>
      </w:tblGrid>
      <w:tr w:rsidR="00522865" w14:paraId="78951DDD" w14:textId="77777777">
        <w:tblPrEx>
          <w:tblCellMar>
            <w:top w:w="0" w:type="dxa"/>
            <w:bottom w:w="0" w:type="dxa"/>
          </w:tblCellMar>
        </w:tblPrEx>
        <w:trPr>
          <w:tblHeader/>
        </w:trPr>
        <w:tc>
          <w:tcPr>
            <w:tcW w:w="1500" w:type="dxa"/>
            <w:shd w:val="clear" w:color="auto" w:fill="1F3864"/>
            <w:tcMar>
              <w:top w:w="80" w:type="dxa"/>
              <w:left w:w="100" w:type="dxa"/>
              <w:bottom w:w="80" w:type="dxa"/>
              <w:right w:w="100" w:type="dxa"/>
            </w:tcMar>
            <w:vAlign w:val="center"/>
          </w:tcPr>
          <w:p w14:paraId="0DA4CF94" w14:textId="77777777" w:rsidR="00522865" w:rsidRDefault="00000000">
            <w:r>
              <w:rPr>
                <w:b/>
                <w:bCs/>
                <w:color w:val="FFFFFF"/>
                <w:sz w:val="20"/>
                <w:szCs w:val="20"/>
              </w:rPr>
              <w:t>Minutes</w:t>
            </w:r>
          </w:p>
        </w:tc>
        <w:tc>
          <w:tcPr>
            <w:tcW w:w="8050" w:type="dxa"/>
            <w:shd w:val="clear" w:color="auto" w:fill="1F3864"/>
            <w:tcMar>
              <w:top w:w="80" w:type="dxa"/>
              <w:left w:w="100" w:type="dxa"/>
              <w:bottom w:w="80" w:type="dxa"/>
              <w:right w:w="100" w:type="dxa"/>
            </w:tcMar>
            <w:vAlign w:val="center"/>
          </w:tcPr>
          <w:p w14:paraId="06BC1598" w14:textId="77777777" w:rsidR="00522865" w:rsidRDefault="00000000">
            <w:r>
              <w:rPr>
                <w:b/>
                <w:bCs/>
                <w:color w:val="FFFFFF"/>
                <w:sz w:val="20"/>
                <w:szCs w:val="20"/>
              </w:rPr>
              <w:t>Focus</w:t>
            </w:r>
          </w:p>
        </w:tc>
      </w:tr>
      <w:tr w:rsidR="00522865" w14:paraId="3A17CBD4"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0BA7A997" w14:textId="77777777" w:rsidR="00522865" w:rsidRDefault="00000000">
            <w:r>
              <w:rPr>
                <w:color w:val="000000"/>
                <w:sz w:val="20"/>
                <w:szCs w:val="20"/>
              </w:rPr>
              <w:t>0–10</w:t>
            </w:r>
          </w:p>
        </w:tc>
        <w:tc>
          <w:tcPr>
            <w:tcW w:w="8050" w:type="dxa"/>
            <w:shd w:val="clear" w:color="auto" w:fill="F2F2F2"/>
            <w:tcMar>
              <w:top w:w="80" w:type="dxa"/>
              <w:left w:w="100" w:type="dxa"/>
              <w:bottom w:w="80" w:type="dxa"/>
              <w:right w:w="100" w:type="dxa"/>
            </w:tcMar>
            <w:vAlign w:val="center"/>
          </w:tcPr>
          <w:p w14:paraId="3A21B489" w14:textId="77777777" w:rsidR="00522865" w:rsidRDefault="00000000">
            <w:r>
              <w:rPr>
                <w:color w:val="000000"/>
                <w:sz w:val="20"/>
                <w:szCs w:val="20"/>
              </w:rPr>
              <w:t>You present: problem framing, final object model, and what changed since Day 4</w:t>
            </w:r>
          </w:p>
        </w:tc>
      </w:tr>
      <w:tr w:rsidR="00522865" w14:paraId="4C57F87A"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3DF3589C" w14:textId="77777777" w:rsidR="00522865" w:rsidRDefault="00000000">
            <w:r>
              <w:rPr>
                <w:color w:val="000000"/>
                <w:sz w:val="20"/>
                <w:szCs w:val="20"/>
              </w:rPr>
              <w:t>10–25</w:t>
            </w:r>
          </w:p>
        </w:tc>
        <w:tc>
          <w:tcPr>
            <w:tcW w:w="8050" w:type="dxa"/>
            <w:shd w:val="clear" w:color="auto" w:fill="FFFFFF"/>
            <w:tcMar>
              <w:top w:w="80" w:type="dxa"/>
              <w:left w:w="100" w:type="dxa"/>
              <w:bottom w:w="80" w:type="dxa"/>
              <w:right w:w="100" w:type="dxa"/>
            </w:tcMar>
            <w:vAlign w:val="center"/>
          </w:tcPr>
          <w:p w14:paraId="3B9B3549" w14:textId="77777777" w:rsidR="00522865" w:rsidRDefault="00000000">
            <w:r>
              <w:rPr>
                <w:color w:val="000000"/>
                <w:sz w:val="20"/>
                <w:szCs w:val="20"/>
              </w:rPr>
              <w:t>Architecture Review — walk the Ontology live; trainer probes cardinality and relationship choices</w:t>
            </w:r>
          </w:p>
        </w:tc>
      </w:tr>
      <w:tr w:rsidR="00522865" w14:paraId="0A7A614E"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65E43AAF" w14:textId="77777777" w:rsidR="00522865" w:rsidRDefault="00000000">
            <w:r>
              <w:rPr>
                <w:color w:val="000000"/>
                <w:sz w:val="20"/>
                <w:szCs w:val="20"/>
              </w:rPr>
              <w:t>25–40</w:t>
            </w:r>
          </w:p>
        </w:tc>
        <w:tc>
          <w:tcPr>
            <w:tcW w:w="8050" w:type="dxa"/>
            <w:shd w:val="clear" w:color="auto" w:fill="F2F2F2"/>
            <w:tcMar>
              <w:top w:w="80" w:type="dxa"/>
              <w:left w:w="100" w:type="dxa"/>
              <w:bottom w:w="80" w:type="dxa"/>
              <w:right w:w="100" w:type="dxa"/>
            </w:tcMar>
            <w:vAlign w:val="center"/>
          </w:tcPr>
          <w:p w14:paraId="7FAC27A8" w14:textId="77777777" w:rsidR="00522865" w:rsidRDefault="00000000">
            <w:r>
              <w:rPr>
                <w:color w:val="000000"/>
                <w:sz w:val="20"/>
                <w:szCs w:val="20"/>
              </w:rPr>
              <w:t>Design Review — walk the governance plan; trainer checks Marking rules, the policy condition column, and property security against real risk, not just presence of a policy</w:t>
            </w:r>
          </w:p>
        </w:tc>
      </w:tr>
      <w:tr w:rsidR="00522865" w14:paraId="3805BD4F"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13F397D3" w14:textId="77777777" w:rsidR="00522865" w:rsidRDefault="00000000">
            <w:r>
              <w:rPr>
                <w:color w:val="000000"/>
                <w:sz w:val="20"/>
                <w:szCs w:val="20"/>
              </w:rPr>
              <w:t>40–50</w:t>
            </w:r>
          </w:p>
        </w:tc>
        <w:tc>
          <w:tcPr>
            <w:tcW w:w="8050" w:type="dxa"/>
            <w:shd w:val="clear" w:color="auto" w:fill="FFFFFF"/>
            <w:tcMar>
              <w:top w:w="80" w:type="dxa"/>
              <w:left w:w="100" w:type="dxa"/>
              <w:bottom w:w="80" w:type="dxa"/>
              <w:right w:w="100" w:type="dxa"/>
            </w:tcMar>
            <w:vAlign w:val="center"/>
          </w:tcPr>
          <w:p w14:paraId="03142CC2" w14:textId="77777777" w:rsidR="00522865" w:rsidRDefault="00000000">
            <w:r>
              <w:rPr>
                <w:color w:val="000000"/>
                <w:sz w:val="20"/>
                <w:szCs w:val="20"/>
              </w:rPr>
              <w:t>Batch-specific focus questions (below) — discussed together, not a quiz</w:t>
            </w:r>
          </w:p>
        </w:tc>
      </w:tr>
      <w:tr w:rsidR="00522865" w14:paraId="70E3B117"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4F3C4755" w14:textId="77777777" w:rsidR="00522865" w:rsidRDefault="00000000">
            <w:r>
              <w:rPr>
                <w:color w:val="000000"/>
                <w:sz w:val="20"/>
                <w:szCs w:val="20"/>
              </w:rPr>
              <w:t>50–60</w:t>
            </w:r>
          </w:p>
        </w:tc>
        <w:tc>
          <w:tcPr>
            <w:tcW w:w="8050" w:type="dxa"/>
            <w:shd w:val="clear" w:color="auto" w:fill="F2F2F2"/>
            <w:tcMar>
              <w:top w:w="80" w:type="dxa"/>
              <w:left w:w="100" w:type="dxa"/>
              <w:bottom w:w="80" w:type="dxa"/>
              <w:right w:w="100" w:type="dxa"/>
            </w:tcMar>
            <w:vAlign w:val="center"/>
          </w:tcPr>
          <w:p w14:paraId="56896B3C" w14:textId="77777777" w:rsidR="00522865" w:rsidRDefault="00000000">
            <w:r>
              <w:rPr>
                <w:color w:val="000000"/>
                <w:sz w:val="20"/>
                <w:szCs w:val="20"/>
              </w:rPr>
              <w:t>Feedback summary and action items for Week 2</w:t>
            </w:r>
          </w:p>
        </w:tc>
      </w:tr>
    </w:tbl>
    <w:p w14:paraId="6A0DA674" w14:textId="77777777" w:rsidR="00522865" w:rsidRDefault="00000000">
      <w:pPr>
        <w:pStyle w:val="Heading1"/>
        <w:pBdr>
          <w:bottom w:val="single" w:sz="6" w:space="4" w:color="1F3864"/>
        </w:pBdr>
        <w:spacing w:before="400" w:after="200"/>
      </w:pPr>
      <w:r>
        <w:rPr>
          <w:b/>
          <w:bCs/>
          <w:color w:val="1F3864"/>
          <w:sz w:val="30"/>
          <w:szCs w:val="30"/>
        </w:rPr>
        <w:t>Platform Constraint Check</w:t>
      </w:r>
    </w:p>
    <w:p w14:paraId="28B7ADF2" w14:textId="77777777" w:rsidR="00522865" w:rsidRDefault="00000000">
      <w:pPr>
        <w:spacing w:after="130"/>
      </w:pPr>
      <w:r>
        <w:t>This question comes first because it tests understanding, not just whether the policy exists and works.</w:t>
      </w:r>
    </w:p>
    <w:p w14:paraId="2998F5C8" w14:textId="77777777" w:rsidR="00522865" w:rsidRDefault="00000000">
      <w:pPr>
        <w:pStyle w:val="ListParagraph"/>
        <w:numPr>
          <w:ilvl w:val="0"/>
          <w:numId w:val="3"/>
        </w:numPr>
        <w:spacing w:after="90"/>
      </w:pPr>
      <w:r>
        <w:t xml:space="preserve">Your batch didn't need the </w:t>
      </w:r>
      <w:proofErr w:type="spellStart"/>
      <w:r>
        <w:t>boolean</w:t>
      </w:r>
      <w:proofErr w:type="spellEnd"/>
      <w:r>
        <w:t xml:space="preserve"> workaround, since Fraud </w:t>
      </w:r>
      <w:proofErr w:type="spellStart"/>
      <w:r>
        <w:t>Case.status</w:t>
      </w:r>
      <w:proofErr w:type="spellEnd"/>
      <w:r>
        <w:t xml:space="preserve"> is already a string. Explain, in your own words, why that specifically is what let you skip it — what's the actual rule the platform is enforcing, and what would have happened if status had been stored as a numeric code (e.g., 1 = Open, 2 = Closed) instead of text?</w:t>
      </w:r>
    </w:p>
    <w:p w14:paraId="6C19BD77" w14:textId="77777777" w:rsidR="00522865" w:rsidRDefault="00522865">
      <w:pPr>
        <w:pBdr>
          <w:bottom w:val="single" w:sz="4" w:space="4" w:color="AAAAAA"/>
        </w:pBdr>
        <w:spacing w:after="150"/>
      </w:pPr>
    </w:p>
    <w:p w14:paraId="328666D5" w14:textId="77777777" w:rsidR="00522865" w:rsidRDefault="00000000">
      <w:pPr>
        <w:pStyle w:val="Heading1"/>
        <w:pBdr>
          <w:bottom w:val="single" w:sz="6" w:space="4" w:color="1F3864"/>
        </w:pBdr>
        <w:spacing w:before="400" w:after="200"/>
      </w:pPr>
      <w:r>
        <w:rPr>
          <w:b/>
          <w:bCs/>
          <w:color w:val="1F3864"/>
          <w:sz w:val="30"/>
          <w:szCs w:val="30"/>
        </w:rPr>
        <w:t>Batch-Specific Review Focus</w:t>
      </w:r>
    </w:p>
    <w:p w14:paraId="6923C2BB" w14:textId="77777777" w:rsidR="00522865" w:rsidRDefault="00000000">
      <w:pPr>
        <w:spacing w:after="130"/>
      </w:pPr>
      <w:r>
        <w:t>Come prepared to discuss these too — they're the questions most likely to surface a real gap in your specific model, not generic checklist items.</w:t>
      </w:r>
    </w:p>
    <w:p w14:paraId="1BF27978" w14:textId="77777777" w:rsidR="00522865" w:rsidRDefault="00000000">
      <w:pPr>
        <w:pStyle w:val="ListParagraph"/>
        <w:numPr>
          <w:ilvl w:val="0"/>
          <w:numId w:val="4"/>
        </w:numPr>
        <w:spacing w:after="90"/>
      </w:pPr>
      <w:r>
        <w:t xml:space="preserve">Your Active Investigation Marking rule is based on Fraud </w:t>
      </w:r>
      <w:proofErr w:type="spellStart"/>
      <w:r>
        <w:t>Case.status</w:t>
      </w:r>
      <w:proofErr w:type="spellEnd"/>
      <w:r>
        <w:t xml:space="preserve">. What happens to access the moment a case moves from “Open” to “Closed” — does history stay visible to the investigator who worked it, or does it disappear entirely? Is that the intended </w:t>
      </w:r>
      <w:proofErr w:type="spellStart"/>
      <w:r>
        <w:t>behavior</w:t>
      </w:r>
      <w:proofErr w:type="spellEnd"/>
      <w:r>
        <w:t>?</w:t>
      </w:r>
    </w:p>
    <w:p w14:paraId="402ABBE6" w14:textId="77777777" w:rsidR="00522865" w:rsidRDefault="00000000">
      <w:pPr>
        <w:pStyle w:val="ListParagraph"/>
        <w:numPr>
          <w:ilvl w:val="0"/>
          <w:numId w:val="4"/>
        </w:numPr>
        <w:spacing w:after="90"/>
      </w:pPr>
      <w:r>
        <w:t>Referral Source captures how a case entered the SIU queue. Does your model distinguish an automated model-generated referral from a human tip — and should Outcome accuracy be tracked differently depending on the source?</w:t>
      </w:r>
    </w:p>
    <w:p w14:paraId="42772F16" w14:textId="77777777" w:rsidR="00522865" w:rsidRDefault="00000000">
      <w:pPr>
        <w:pStyle w:val="ListParagraph"/>
        <w:numPr>
          <w:ilvl w:val="0"/>
          <w:numId w:val="4"/>
        </w:numPr>
        <w:spacing w:after="90"/>
      </w:pPr>
      <w:r>
        <w:lastRenderedPageBreak/>
        <w:t>Claim → Fraud Case is one-to-one and optional, same pattern as Batch 1's Claim → Investigation. Did you arrive at that independently, or copy the pattern? Either is fine — but can you justify it for your domain specifically, not just because Batch 1 did it that way?</w:t>
      </w:r>
    </w:p>
    <w:p w14:paraId="7156323C" w14:textId="77777777" w:rsidR="00522865" w:rsidRDefault="00000000">
      <w:pPr>
        <w:pStyle w:val="Heading1"/>
        <w:pBdr>
          <w:bottom w:val="single" w:sz="6" w:space="4" w:color="1F3864"/>
        </w:pBdr>
        <w:spacing w:before="400" w:after="200"/>
      </w:pPr>
      <w:r>
        <w:rPr>
          <w:b/>
          <w:bCs/>
          <w:color w:val="1F3864"/>
          <w:sz w:val="30"/>
          <w:szCs w:val="30"/>
        </w:rPr>
        <w:t>Outcome for Week 1</w:t>
      </w:r>
    </w:p>
    <w:p w14:paraId="12D2206F" w14:textId="77777777" w:rsidR="00522865" w:rsidRDefault="00000000">
      <w:pPr>
        <w:spacing w:after="130"/>
      </w:pPr>
      <w:r>
        <w:t>A secured, agent-ready Insurance Ontology and a production-oriented pipeline baseline — for your batch, that means a governed, navigable model of fraud investigation &amp; special investigation unit (siu) that Week 2's Copilot can safely reason over.</w:t>
      </w:r>
    </w:p>
    <w:p w14:paraId="223306E3" w14:textId="77777777" w:rsidR="00522865" w:rsidRDefault="00000000">
      <w:pPr>
        <w:pStyle w:val="Heading1"/>
        <w:pBdr>
          <w:bottom w:val="single" w:sz="6" w:space="4" w:color="1F3864"/>
        </w:pBdr>
        <w:spacing w:before="400" w:after="200"/>
      </w:pPr>
      <w:r>
        <w:rPr>
          <w:b/>
          <w:bCs/>
          <w:color w:val="1F3864"/>
          <w:sz w:val="30"/>
          <w:szCs w:val="30"/>
        </w:rPr>
        <w:t>Action Items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750"/>
        <w:gridCol w:w="2900"/>
      </w:tblGrid>
      <w:tr w:rsidR="00522865" w14:paraId="4C344631"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1A9BEDA9" w14:textId="77777777" w:rsidR="00522865" w:rsidRDefault="00000000">
            <w:r>
              <w:rPr>
                <w:b/>
                <w:bCs/>
                <w:color w:val="FFFFFF"/>
                <w:sz w:val="20"/>
                <w:szCs w:val="20"/>
              </w:rPr>
              <w:t>#</w:t>
            </w:r>
          </w:p>
        </w:tc>
        <w:tc>
          <w:tcPr>
            <w:tcW w:w="5750" w:type="dxa"/>
            <w:shd w:val="clear" w:color="auto" w:fill="1F3864"/>
            <w:tcMar>
              <w:top w:w="80" w:type="dxa"/>
              <w:left w:w="100" w:type="dxa"/>
              <w:bottom w:w="80" w:type="dxa"/>
              <w:right w:w="100" w:type="dxa"/>
            </w:tcMar>
            <w:vAlign w:val="center"/>
          </w:tcPr>
          <w:p w14:paraId="6AF932E6" w14:textId="77777777" w:rsidR="00522865" w:rsidRDefault="00000000">
            <w:r>
              <w:rPr>
                <w:b/>
                <w:bCs/>
                <w:color w:val="FFFFFF"/>
                <w:sz w:val="20"/>
                <w:szCs w:val="20"/>
              </w:rPr>
              <w:t>Item</w:t>
            </w:r>
          </w:p>
        </w:tc>
        <w:tc>
          <w:tcPr>
            <w:tcW w:w="2900" w:type="dxa"/>
            <w:shd w:val="clear" w:color="auto" w:fill="1F3864"/>
            <w:tcMar>
              <w:top w:w="80" w:type="dxa"/>
              <w:left w:w="100" w:type="dxa"/>
              <w:bottom w:w="80" w:type="dxa"/>
              <w:right w:w="100" w:type="dxa"/>
            </w:tcMar>
            <w:vAlign w:val="center"/>
          </w:tcPr>
          <w:p w14:paraId="75229ED5" w14:textId="77777777" w:rsidR="00522865" w:rsidRDefault="00000000">
            <w:r>
              <w:rPr>
                <w:b/>
                <w:bCs/>
                <w:color w:val="FFFFFF"/>
                <w:sz w:val="20"/>
                <w:szCs w:val="20"/>
              </w:rPr>
              <w:t>Owner / Due</w:t>
            </w:r>
          </w:p>
        </w:tc>
      </w:tr>
      <w:tr w:rsidR="00522865" w14:paraId="6CCA4C75"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0C75A689" w14:textId="77777777" w:rsidR="00522865" w:rsidRDefault="00000000">
            <w:r>
              <w:rPr>
                <w:color w:val="000000"/>
                <w:sz w:val="20"/>
                <w:szCs w:val="20"/>
              </w:rPr>
              <w:t>1</w:t>
            </w:r>
          </w:p>
        </w:tc>
        <w:tc>
          <w:tcPr>
            <w:tcW w:w="5750" w:type="dxa"/>
            <w:shd w:val="clear" w:color="auto" w:fill="F2F2F2"/>
            <w:tcMar>
              <w:top w:w="80" w:type="dxa"/>
              <w:left w:w="100" w:type="dxa"/>
              <w:bottom w:w="80" w:type="dxa"/>
              <w:right w:w="100" w:type="dxa"/>
            </w:tcMar>
            <w:vAlign w:val="center"/>
          </w:tcPr>
          <w:p w14:paraId="18829C5B" w14:textId="77777777" w:rsidR="00522865" w:rsidRDefault="00522865"/>
        </w:tc>
        <w:tc>
          <w:tcPr>
            <w:tcW w:w="2900" w:type="dxa"/>
            <w:shd w:val="clear" w:color="auto" w:fill="F2F2F2"/>
            <w:tcMar>
              <w:top w:w="80" w:type="dxa"/>
              <w:left w:w="100" w:type="dxa"/>
              <w:bottom w:w="80" w:type="dxa"/>
              <w:right w:w="100" w:type="dxa"/>
            </w:tcMar>
            <w:vAlign w:val="center"/>
          </w:tcPr>
          <w:p w14:paraId="65B50694" w14:textId="77777777" w:rsidR="00522865" w:rsidRDefault="00522865"/>
        </w:tc>
      </w:tr>
      <w:tr w:rsidR="00522865" w14:paraId="29C270D4"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27E4058A" w14:textId="77777777" w:rsidR="00522865" w:rsidRDefault="00000000">
            <w:r>
              <w:rPr>
                <w:color w:val="000000"/>
                <w:sz w:val="20"/>
                <w:szCs w:val="20"/>
              </w:rPr>
              <w:t>2</w:t>
            </w:r>
          </w:p>
        </w:tc>
        <w:tc>
          <w:tcPr>
            <w:tcW w:w="5750" w:type="dxa"/>
            <w:shd w:val="clear" w:color="auto" w:fill="FFFFFF"/>
            <w:tcMar>
              <w:top w:w="80" w:type="dxa"/>
              <w:left w:w="100" w:type="dxa"/>
              <w:bottom w:w="80" w:type="dxa"/>
              <w:right w:w="100" w:type="dxa"/>
            </w:tcMar>
            <w:vAlign w:val="center"/>
          </w:tcPr>
          <w:p w14:paraId="71B53B4C" w14:textId="77777777" w:rsidR="00522865" w:rsidRDefault="00522865"/>
        </w:tc>
        <w:tc>
          <w:tcPr>
            <w:tcW w:w="2900" w:type="dxa"/>
            <w:shd w:val="clear" w:color="auto" w:fill="FFFFFF"/>
            <w:tcMar>
              <w:top w:w="80" w:type="dxa"/>
              <w:left w:w="100" w:type="dxa"/>
              <w:bottom w:w="80" w:type="dxa"/>
              <w:right w:w="100" w:type="dxa"/>
            </w:tcMar>
            <w:vAlign w:val="center"/>
          </w:tcPr>
          <w:p w14:paraId="50B0CD57" w14:textId="77777777" w:rsidR="00522865" w:rsidRDefault="00522865"/>
        </w:tc>
      </w:tr>
      <w:tr w:rsidR="00522865" w14:paraId="6D587A22"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236F2FE9" w14:textId="77777777" w:rsidR="00522865" w:rsidRDefault="00000000">
            <w:r>
              <w:rPr>
                <w:color w:val="000000"/>
                <w:sz w:val="20"/>
                <w:szCs w:val="20"/>
              </w:rPr>
              <w:t>3</w:t>
            </w:r>
          </w:p>
        </w:tc>
        <w:tc>
          <w:tcPr>
            <w:tcW w:w="5750" w:type="dxa"/>
            <w:shd w:val="clear" w:color="auto" w:fill="F2F2F2"/>
            <w:tcMar>
              <w:top w:w="80" w:type="dxa"/>
              <w:left w:w="100" w:type="dxa"/>
              <w:bottom w:w="80" w:type="dxa"/>
              <w:right w:w="100" w:type="dxa"/>
            </w:tcMar>
            <w:vAlign w:val="center"/>
          </w:tcPr>
          <w:p w14:paraId="7B8DCEA4" w14:textId="77777777" w:rsidR="00522865" w:rsidRDefault="00522865"/>
        </w:tc>
        <w:tc>
          <w:tcPr>
            <w:tcW w:w="2900" w:type="dxa"/>
            <w:shd w:val="clear" w:color="auto" w:fill="F2F2F2"/>
            <w:tcMar>
              <w:top w:w="80" w:type="dxa"/>
              <w:left w:w="100" w:type="dxa"/>
              <w:bottom w:w="80" w:type="dxa"/>
              <w:right w:w="100" w:type="dxa"/>
            </w:tcMar>
            <w:vAlign w:val="center"/>
          </w:tcPr>
          <w:p w14:paraId="0A3D50FC" w14:textId="77777777" w:rsidR="00522865" w:rsidRDefault="00522865"/>
        </w:tc>
      </w:tr>
    </w:tbl>
    <w:p w14:paraId="76525918" w14:textId="77777777" w:rsidR="00522865" w:rsidRDefault="00000000">
      <w:pPr>
        <w:pStyle w:val="Heading1"/>
        <w:pBdr>
          <w:bottom w:val="single" w:sz="6" w:space="4" w:color="1F3864"/>
        </w:pBdr>
        <w:spacing w:before="400" w:after="200"/>
      </w:pPr>
      <w:r>
        <w:rPr>
          <w:b/>
          <w:bCs/>
          <w:color w:val="1F3864"/>
          <w:sz w:val="30"/>
          <w:szCs w:val="30"/>
        </w:rPr>
        <w:t>Sign-Off</w:t>
      </w:r>
    </w:p>
    <w:p w14:paraId="5030D98A" w14:textId="77777777" w:rsidR="00522865" w:rsidRDefault="00000000">
      <w:pPr>
        <w:pBdr>
          <w:bottom w:val="single" w:sz="4" w:space="4" w:color="AAAAAA"/>
        </w:pBdr>
        <w:spacing w:after="150"/>
      </w:pPr>
      <w:r>
        <w:rPr>
          <w:i/>
          <w:iCs/>
          <w:color w:val="808080"/>
          <w:sz w:val="20"/>
          <w:szCs w:val="20"/>
        </w:rPr>
        <w:t>Trainer notes:</w:t>
      </w:r>
    </w:p>
    <w:p w14:paraId="7D166BA8" w14:textId="77777777" w:rsidR="00522865" w:rsidRDefault="00522865">
      <w:pPr>
        <w:pBdr>
          <w:bottom w:val="single" w:sz="4" w:space="4" w:color="AAAAAA"/>
        </w:pBdr>
        <w:spacing w:after="150"/>
      </w:pPr>
    </w:p>
    <w:p w14:paraId="602CF4C8" w14:textId="77777777" w:rsidR="00522865" w:rsidRDefault="00000000">
      <w:pPr>
        <w:pBdr>
          <w:bottom w:val="single" w:sz="4" w:space="4" w:color="AAAAAA"/>
        </w:pBdr>
        <w:spacing w:after="150"/>
      </w:pPr>
      <w:r>
        <w:rPr>
          <w:i/>
          <w:iCs/>
          <w:color w:val="808080"/>
          <w:sz w:val="20"/>
          <w:szCs w:val="20"/>
        </w:rPr>
        <w:t>Ready for Week 2?  ☐ Yes    ☐ Yes, with the action items above    ☐ Needs a follow-up session</w:t>
      </w:r>
    </w:p>
    <w:sectPr w:rsidR="00522865">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6E4FE" w14:textId="77777777" w:rsidR="00297D2A" w:rsidRDefault="00297D2A">
      <w:r>
        <w:separator/>
      </w:r>
    </w:p>
  </w:endnote>
  <w:endnote w:type="continuationSeparator" w:id="0">
    <w:p w14:paraId="6E30C681" w14:textId="77777777" w:rsidR="00297D2A" w:rsidRDefault="00297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306B6" w14:textId="77777777" w:rsidR="00522865"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3E7889">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73DA6" w14:textId="77777777" w:rsidR="00297D2A" w:rsidRDefault="00297D2A">
      <w:r>
        <w:separator/>
      </w:r>
    </w:p>
  </w:footnote>
  <w:footnote w:type="continuationSeparator" w:id="0">
    <w:p w14:paraId="72D46667" w14:textId="77777777" w:rsidR="00297D2A" w:rsidRDefault="00297D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AE0D9" w14:textId="77777777" w:rsidR="00522865" w:rsidRDefault="00000000">
    <w:pPr>
      <w:jc w:val="right"/>
    </w:pPr>
    <w:r>
      <w:rPr>
        <w:color w:val="808080"/>
        <w:sz w:val="16"/>
        <w:szCs w:val="16"/>
      </w:rPr>
      <w:t>Day 5 Review Session — Europe — Batch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6A30"/>
    <w:multiLevelType w:val="hybridMultilevel"/>
    <w:tmpl w:val="EE908E1C"/>
    <w:lvl w:ilvl="0" w:tplc="6B46FCFA">
      <w:start w:val="1"/>
      <w:numFmt w:val="decimal"/>
      <w:lvlText w:val="%1."/>
      <w:lvlJc w:val="left"/>
      <w:pPr>
        <w:ind w:left="400" w:hanging="300"/>
      </w:pPr>
    </w:lvl>
    <w:lvl w:ilvl="1" w:tplc="C944BCB4">
      <w:numFmt w:val="decimal"/>
      <w:lvlText w:val=""/>
      <w:lvlJc w:val="left"/>
    </w:lvl>
    <w:lvl w:ilvl="2" w:tplc="B9269360">
      <w:numFmt w:val="decimal"/>
      <w:lvlText w:val=""/>
      <w:lvlJc w:val="left"/>
    </w:lvl>
    <w:lvl w:ilvl="3" w:tplc="4E0ED43E">
      <w:numFmt w:val="decimal"/>
      <w:lvlText w:val=""/>
      <w:lvlJc w:val="left"/>
    </w:lvl>
    <w:lvl w:ilvl="4" w:tplc="EAD0BB72">
      <w:numFmt w:val="decimal"/>
      <w:lvlText w:val=""/>
      <w:lvlJc w:val="left"/>
    </w:lvl>
    <w:lvl w:ilvl="5" w:tplc="739E0DDC">
      <w:numFmt w:val="decimal"/>
      <w:lvlText w:val=""/>
      <w:lvlJc w:val="left"/>
    </w:lvl>
    <w:lvl w:ilvl="6" w:tplc="268ACD20">
      <w:numFmt w:val="decimal"/>
      <w:lvlText w:val=""/>
      <w:lvlJc w:val="left"/>
    </w:lvl>
    <w:lvl w:ilvl="7" w:tplc="D42C1348">
      <w:numFmt w:val="decimal"/>
      <w:lvlText w:val=""/>
      <w:lvlJc w:val="left"/>
    </w:lvl>
    <w:lvl w:ilvl="8" w:tplc="0BC4A660">
      <w:numFmt w:val="decimal"/>
      <w:lvlText w:val=""/>
      <w:lvlJc w:val="left"/>
    </w:lvl>
  </w:abstractNum>
  <w:abstractNum w:abstractNumId="1" w15:restartNumberingAfterBreak="0">
    <w:nsid w:val="16917D50"/>
    <w:multiLevelType w:val="hybridMultilevel"/>
    <w:tmpl w:val="7EEA6C92"/>
    <w:lvl w:ilvl="0" w:tplc="B7500820">
      <w:start w:val="1"/>
      <w:numFmt w:val="bullet"/>
      <w:lvlText w:val="●"/>
      <w:lvlJc w:val="left"/>
      <w:pPr>
        <w:ind w:left="720" w:hanging="360"/>
      </w:pPr>
    </w:lvl>
    <w:lvl w:ilvl="1" w:tplc="FD101234">
      <w:start w:val="1"/>
      <w:numFmt w:val="bullet"/>
      <w:lvlText w:val="○"/>
      <w:lvlJc w:val="left"/>
      <w:pPr>
        <w:ind w:left="1440" w:hanging="360"/>
      </w:pPr>
    </w:lvl>
    <w:lvl w:ilvl="2" w:tplc="C24EACA6">
      <w:start w:val="1"/>
      <w:numFmt w:val="bullet"/>
      <w:lvlText w:val="■"/>
      <w:lvlJc w:val="left"/>
      <w:pPr>
        <w:ind w:left="2160" w:hanging="360"/>
      </w:pPr>
    </w:lvl>
    <w:lvl w:ilvl="3" w:tplc="0D46773C">
      <w:start w:val="1"/>
      <w:numFmt w:val="bullet"/>
      <w:lvlText w:val="●"/>
      <w:lvlJc w:val="left"/>
      <w:pPr>
        <w:ind w:left="2880" w:hanging="360"/>
      </w:pPr>
    </w:lvl>
    <w:lvl w:ilvl="4" w:tplc="C6A2C338">
      <w:start w:val="1"/>
      <w:numFmt w:val="bullet"/>
      <w:lvlText w:val="○"/>
      <w:lvlJc w:val="left"/>
      <w:pPr>
        <w:ind w:left="3600" w:hanging="360"/>
      </w:pPr>
    </w:lvl>
    <w:lvl w:ilvl="5" w:tplc="BA4EEFA0">
      <w:start w:val="1"/>
      <w:numFmt w:val="bullet"/>
      <w:lvlText w:val="■"/>
      <w:lvlJc w:val="left"/>
      <w:pPr>
        <w:ind w:left="4320" w:hanging="360"/>
      </w:pPr>
    </w:lvl>
    <w:lvl w:ilvl="6" w:tplc="66E61890">
      <w:start w:val="1"/>
      <w:numFmt w:val="bullet"/>
      <w:lvlText w:val="●"/>
      <w:lvlJc w:val="left"/>
      <w:pPr>
        <w:ind w:left="5040" w:hanging="360"/>
      </w:pPr>
    </w:lvl>
    <w:lvl w:ilvl="7" w:tplc="D108CD86">
      <w:start w:val="1"/>
      <w:numFmt w:val="bullet"/>
      <w:lvlText w:val="●"/>
      <w:lvlJc w:val="left"/>
      <w:pPr>
        <w:ind w:left="5760" w:hanging="360"/>
      </w:pPr>
    </w:lvl>
    <w:lvl w:ilvl="8" w:tplc="18D03A2A">
      <w:start w:val="1"/>
      <w:numFmt w:val="bullet"/>
      <w:lvlText w:val="●"/>
      <w:lvlJc w:val="left"/>
      <w:pPr>
        <w:ind w:left="6480" w:hanging="360"/>
      </w:pPr>
    </w:lvl>
  </w:abstractNum>
  <w:abstractNum w:abstractNumId="2" w15:restartNumberingAfterBreak="0">
    <w:nsid w:val="41D301AD"/>
    <w:multiLevelType w:val="hybridMultilevel"/>
    <w:tmpl w:val="0C5C9088"/>
    <w:lvl w:ilvl="0" w:tplc="260E3D36">
      <w:start w:val="1"/>
      <w:numFmt w:val="bullet"/>
      <w:lvlText w:val="•"/>
      <w:lvlJc w:val="left"/>
      <w:pPr>
        <w:ind w:left="360" w:hanging="260"/>
      </w:pPr>
    </w:lvl>
    <w:lvl w:ilvl="1" w:tplc="9A58BE38">
      <w:numFmt w:val="decimal"/>
      <w:lvlText w:val=""/>
      <w:lvlJc w:val="left"/>
    </w:lvl>
    <w:lvl w:ilvl="2" w:tplc="025CC4C0">
      <w:numFmt w:val="decimal"/>
      <w:lvlText w:val=""/>
      <w:lvlJc w:val="left"/>
    </w:lvl>
    <w:lvl w:ilvl="3" w:tplc="B31A84BE">
      <w:numFmt w:val="decimal"/>
      <w:lvlText w:val=""/>
      <w:lvlJc w:val="left"/>
    </w:lvl>
    <w:lvl w:ilvl="4" w:tplc="DAEA04F0">
      <w:numFmt w:val="decimal"/>
      <w:lvlText w:val=""/>
      <w:lvlJc w:val="left"/>
    </w:lvl>
    <w:lvl w:ilvl="5" w:tplc="B53685AE">
      <w:numFmt w:val="decimal"/>
      <w:lvlText w:val=""/>
      <w:lvlJc w:val="left"/>
    </w:lvl>
    <w:lvl w:ilvl="6" w:tplc="059CAF5E">
      <w:numFmt w:val="decimal"/>
      <w:lvlText w:val=""/>
      <w:lvlJc w:val="left"/>
    </w:lvl>
    <w:lvl w:ilvl="7" w:tplc="43904E4E">
      <w:numFmt w:val="decimal"/>
      <w:lvlText w:val=""/>
      <w:lvlJc w:val="left"/>
    </w:lvl>
    <w:lvl w:ilvl="8" w:tplc="78E210A0">
      <w:numFmt w:val="decimal"/>
      <w:lvlText w:val=""/>
      <w:lvlJc w:val="left"/>
    </w:lvl>
  </w:abstractNum>
  <w:abstractNum w:abstractNumId="3" w15:restartNumberingAfterBreak="0">
    <w:nsid w:val="4AD47BFB"/>
    <w:multiLevelType w:val="hybridMultilevel"/>
    <w:tmpl w:val="3A5E9442"/>
    <w:lvl w:ilvl="0" w:tplc="252ED548">
      <w:start w:val="1"/>
      <w:numFmt w:val="decimal"/>
      <w:lvlText w:val="%1."/>
      <w:lvlJc w:val="left"/>
      <w:pPr>
        <w:ind w:left="400" w:hanging="300"/>
      </w:pPr>
    </w:lvl>
    <w:lvl w:ilvl="1" w:tplc="B1F0C9E8">
      <w:numFmt w:val="decimal"/>
      <w:lvlText w:val=""/>
      <w:lvlJc w:val="left"/>
    </w:lvl>
    <w:lvl w:ilvl="2" w:tplc="799A6508">
      <w:numFmt w:val="decimal"/>
      <w:lvlText w:val=""/>
      <w:lvlJc w:val="left"/>
    </w:lvl>
    <w:lvl w:ilvl="3" w:tplc="7332B9F6">
      <w:numFmt w:val="decimal"/>
      <w:lvlText w:val=""/>
      <w:lvlJc w:val="left"/>
    </w:lvl>
    <w:lvl w:ilvl="4" w:tplc="8AD20A86">
      <w:numFmt w:val="decimal"/>
      <w:lvlText w:val=""/>
      <w:lvlJc w:val="left"/>
    </w:lvl>
    <w:lvl w:ilvl="5" w:tplc="2A4C0994">
      <w:numFmt w:val="decimal"/>
      <w:lvlText w:val=""/>
      <w:lvlJc w:val="left"/>
    </w:lvl>
    <w:lvl w:ilvl="6" w:tplc="B9A8F1A0">
      <w:numFmt w:val="decimal"/>
      <w:lvlText w:val=""/>
      <w:lvlJc w:val="left"/>
    </w:lvl>
    <w:lvl w:ilvl="7" w:tplc="21C63178">
      <w:numFmt w:val="decimal"/>
      <w:lvlText w:val=""/>
      <w:lvlJc w:val="left"/>
    </w:lvl>
    <w:lvl w:ilvl="8" w:tplc="3DEC08A0">
      <w:numFmt w:val="decimal"/>
      <w:lvlText w:val=""/>
      <w:lvlJc w:val="left"/>
    </w:lvl>
  </w:abstractNum>
  <w:num w:numId="1" w16cid:durableId="322006219">
    <w:abstractNumId w:val="1"/>
    <w:lvlOverride w:ilvl="0">
      <w:startOverride w:val="1"/>
    </w:lvlOverride>
  </w:num>
  <w:num w:numId="2" w16cid:durableId="2031951867">
    <w:abstractNumId w:val="2"/>
    <w:lvlOverride w:ilvl="0">
      <w:startOverride w:val="1"/>
    </w:lvlOverride>
  </w:num>
  <w:num w:numId="3" w16cid:durableId="2074306958">
    <w:abstractNumId w:val="0"/>
    <w:lvlOverride w:ilvl="0">
      <w:startOverride w:val="1"/>
    </w:lvlOverride>
  </w:num>
  <w:num w:numId="4" w16cid:durableId="83179307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865"/>
    <w:rsid w:val="00297D2A"/>
    <w:rsid w:val="003E7889"/>
    <w:rsid w:val="00522865"/>
    <w:rsid w:val="005F7B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22BB9"/>
  <w15:docId w15:val="{6F3616AC-AE95-4439-A0A9-70B9A7602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718</Words>
  <Characters>4095</Characters>
  <Application>Microsoft Office Word</Application>
  <DocSecurity>0</DocSecurity>
  <Lines>34</Lines>
  <Paragraphs>9</Paragraphs>
  <ScaleCrop>false</ScaleCrop>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Pasham</cp:lastModifiedBy>
  <cp:revision>2</cp:revision>
  <dcterms:created xsi:type="dcterms:W3CDTF">2026-08-13T18:12:00Z</dcterms:created>
  <dcterms:modified xsi:type="dcterms:W3CDTF">2026-08-14T04:06:00Z</dcterms:modified>
</cp:coreProperties>
</file>