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600"/>
        <w:jc w:val="center"/>
      </w:pPr>
      <w:r>
        <w:rPr>
          <w:b/>
          <w:bCs/>
          <w:color w:val="1F3864"/>
          <w:sz w:val="36"/>
          <w:szCs w:val="36"/>
        </w:rPr>
        <w:t xml:space="preserve">DAY 4 — PROJECT LAB</w:t>
      </w:r>
    </w:p>
    <w:p>
      <w:pPr>
        <w:spacing w:after="200"/>
        <w:jc w:val="center"/>
      </w:pPr>
      <w:r>
        <w:rPr>
          <w:b/>
          <w:bCs/>
          <w:color w:val="2E8B8B"/>
          <w:sz w:val="26"/>
          <w:szCs w:val="26"/>
        </w:rPr>
        <w:t xml:space="preserve">Europe — Batch 3</w:t>
      </w:r>
    </w:p>
    <w:p>
      <w:pPr>
        <w:spacing w:after="300"/>
        <w:jc w:val="center"/>
      </w:pPr>
      <w:r>
        <w:rPr>
          <w:b/>
          <w:bCs/>
          <w:color w:val="B08D57"/>
          <w:sz w:val="22"/>
          <w:szCs w:val="22"/>
        </w:rPr>
        <w:t xml:space="preserve">Fraud Investigation &amp; Special Investigation Unit (SIU)</w:t>
      </w:r>
    </w:p>
    <w:p>
      <w:pPr>
        <w:spacing w:after="500"/>
        <w:jc w:val="center"/>
      </w:pPr>
      <w:r>
        <w:rPr>
          <w:i/>
          <w:iCs/>
          <w:color w:val="555555"/>
          <w:sz w:val="20"/>
          <w:szCs w:val="20"/>
        </w:rPr>
        <w:t xml:space="preserve">Week 1 · Day 4 · Live Batch Practical (1 Hour) · Prepared by Rajesh Pasham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Session Context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Europe — Batch 3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Slot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2:30 PM – 3:30 PM IST / 11:00 AM – 12:00 PM CEST (Pre-Lunch)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Investigation &amp; Special Investigation Unit (SIU) — Flagged-claim triage through investigation outcome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Live, trainer-facilitated — 1 hour, batch-wise mentoring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Where You're Starting From</w:t>
      </w:r>
    </w:p>
    <w:p>
      <w:pPr>
        <w:spacing w:after="130"/>
      </w:pPr>
      <w:r>
        <w:rPr>
          <w:sz w:val="21"/>
          <w:szCs w:val="21"/>
        </w:rPr>
        <w:t xml:space="preserve">Day 3 was your first hands-on lab — it gave you real experience with the pipeline, branching, and Ontology-building workflow, using a 300-row Claims dataset. Today you apply that same workflow to your own Fraud/SIU object model and your own 300-row dataset for the first time.</w:t>
      </w:r>
    </w:p>
    <w:p>
      <w:pPr>
        <w:spacing w:after="130"/>
      </w:pPr>
      <w:r>
        <w:rPr>
          <w:i/>
          <w:iCs/>
          <w:color w:val="555555"/>
          <w:sz w:val="21"/>
          <w:szCs w:val="21"/>
        </w:rPr>
        <w:t xml:space="preserve">This session is not new theory — it's the same Insurance Ontology Baseline workflow from Day 3 (data review, pipeline, branching, Object Types, relationships, RBAC/ABAC, testing, lineage), applied to your batch's own use case. Keep Day 3's lab guide open as your step-by-step reference; this document tells you what's different for your batch, not how to click through Foundry again.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Object Model</w:t>
      </w:r>
    </w:p>
    <w:p>
      <w:pPr>
        <w:spacing w:after="130"/>
      </w:pPr>
      <w:r>
        <w:rPr>
          <w:sz w:val="21"/>
          <w:szCs w:val="21"/>
        </w:rPr>
        <w:t xml:space="preserve">Create these seven Object Types, following the exact same workflow as Day 3, Part 5 (Ontology Manager → New → Create object type → select or generate a backing dataset → configure primary key and title key → save).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00"/>
        <w:gridCol w:w="5250"/>
      </w:tblGrid>
      <w:tr>
        <w:trPr>
          <w:tblHeader/>
        </w:trPr>
        <w:tc>
          <w:tcPr>
            <w:tcW w:type="dxa" w:w="1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52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Properties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Claim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claimId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claimAmount, status, submissionDate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Case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fraudCaseId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openedDate, status, riskLevel (sensitive)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Indicator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indicatorId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indicatorType, severity, detectedDate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Evidence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evidenceId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evidenceType, description, collectedDate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SIU Investigator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investigatorId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team, caseloadCount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 Source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referralSourceId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sourceType, referralDate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Outcome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outcomeId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(sensitive), decisionDate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Relationships</w:t>
      </w:r>
    </w:p>
    <w:p>
      <w:pPr>
        <w:spacing w:after="130"/>
      </w:pPr>
      <w:r>
        <w:rPr>
          <w:sz w:val="21"/>
          <w:szCs w:val="21"/>
        </w:rPr>
        <w:t xml:space="preserve">Follow Day 3, Part 6's guidance: object type foreign keys for one-to-one or many-to-one links, object-backed link types for many-to-many or when the relationship itself carries metadata. Every link below is one-to-many or many-to-one, so object type foreign keys are the right choice throughout.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95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4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Claim → Fraud Case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One-to-one, optional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Case → Risk Indicator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Case → Evidence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Case → Referral Source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Case → Outcome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SIU Investigator → Fraud Case (assigned)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SIU Investigator → Outcome (decided by)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Reference Dataset</w:t>
      </w:r>
    </w:p>
    <w:p>
      <w:pPr>
        <w:spacing w:after="130"/>
      </w:pPr>
      <w:r>
        <w:rPr>
          <w:sz w:val="21"/>
          <w:szCs w:val="21"/>
        </w:rPr>
        <w:t xml:space="preserve">Four attached CSV files (claims.csv, fraud_cases.csv, risk_indicators.csv, evidence.csv, 300 rows each) are provided with this document — nothing to prepare beforehand. If you'd rather generate the data yourself, use the same seeded-random approach from Day 3, Part 1, Method B, adapted to these four datasets.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475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4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Notable Characteristics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claims.csv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claimId CLM001–CLM300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fraud_cases.csv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rows have an empty claimId (data-quality test); 110 rows are Open or UnderReview (security test)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risk_indicators.csv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fraudCaseId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evidence.csv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fraudCaseId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Today's Session Plan (1 Hour)</w:t>
      </w:r>
    </w:p>
    <w:p>
      <w:pPr>
        <w:spacing w:after="130"/>
      </w:pPr>
      <w:r>
        <w:rPr>
          <w:sz w:val="21"/>
          <w:szCs w:val="21"/>
        </w:rPr>
        <w:t xml:space="preserve">With the trainer live, this hour is focused on the highest-value checkpoints — you'll continue independently afterward using Day 3's guide for anything not finished live.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5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Minutes</w:t>
            </w:r>
          </w:p>
        </w:tc>
        <w:tc>
          <w:tcPr>
            <w:tcW w:type="dxa" w:w="80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0–10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your reference dataset is loaded and schema-checked; trainer reviews your problem framing and object list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10–30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Build your Object Types live, with the trainer reviewing primary key and property choices as you go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30–45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your Link Types; trainer checks cardinality reasoning against your domain notes, not assumption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45–55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 your governance plan (see below) — you'll implement it independently after this session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55–60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what's done, what's open, and what you'll bring to Day 5's review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Governance Plan</w:t>
      </w:r>
    </w:p>
    <w:p>
      <w:pPr>
        <w:spacing w:after="130"/>
      </w:pPr>
      <w:r>
        <w:rPr>
          <w:sz w:val="21"/>
          <w:szCs w:val="21"/>
        </w:rPr>
        <w:t xml:space="preserve">Design — don't necessarily finish implementing during this session — the RBAC/ABAC approach for your Ontology, following Day 3, Part 7's pattern.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Batch's Plan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Sensitive Field(s)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Fraud Case.riskLevel and Outcome.decision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Name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Active Investigation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Rule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objects where Fraud Case.status is “Open” or “UnderReview” (110 of your 300 fraud cases) — closed cases can use a looser access rule</w:t>
            </w:r>
          </w:p>
        </w:tc>
      </w:tr>
    </w:tbl>
    <w:p>
      <w:pPr>
        <w:spacing w:after="130"/>
      </w:pPr>
      <w:r>
        <w:rPr>
          <w:sz w:val="21"/>
          <w:szCs w:val="21"/>
        </w:rPr>
        <w:t xml:space="preserve">Implement the Marking and the object/property security policies independently after this session, using Day 3, Part 7–8 as your step-by-step reference — including the solo before/after access test from Day 3, Part 8 (add yourself as an eligible member only after confirming access is denied without it; no second account needed).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Definition of Done for Day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Reference dataset loaded and schema-checked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Object Types created with valid primary keys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relationships defined and navigable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governance plan is written down (Marking name, rule, and which fields it protects)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short list of open items to bring to Day 5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Open Items for Day 5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1.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2.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3.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Day 4 Project Lab — Europe — Batch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2026-08-12T12:18:56.133Z</dcterms:created>
  <dcterms:modified xsi:type="dcterms:W3CDTF">2026-08-12T12:18:56.133Z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