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EB78"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noProof/>
          <w:color w:val="1E2124"/>
          <w:sz w:val="27"/>
          <w:szCs w:val="27"/>
          <w:lang w:eastAsia="en-IN"/>
        </w:rPr>
        <w:drawing>
          <wp:inline distT="0" distB="0" distL="0" distR="0" wp14:anchorId="177FF138" wp14:editId="22559FA7">
            <wp:extent cx="5661085" cy="1908682"/>
            <wp:effectExtent l="0" t="0" r="0" b="0"/>
            <wp:docPr id="5" name="Picture 5" descr="platfor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tform over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97606" cy="1920995"/>
                    </a:xfrm>
                    <a:prstGeom prst="rect">
                      <a:avLst/>
                    </a:prstGeom>
                    <a:noFill/>
                    <a:ln>
                      <a:noFill/>
                    </a:ln>
                  </pic:spPr>
                </pic:pic>
              </a:graphicData>
            </a:graphic>
          </wp:inline>
        </w:drawing>
      </w:r>
    </w:p>
    <w:p w14:paraId="52363CF9" w14:textId="77777777" w:rsidR="007461D2" w:rsidRPr="007461D2" w:rsidRDefault="007461D2" w:rsidP="007461D2">
      <w:pPr>
        <w:shd w:val="clear" w:color="auto" w:fill="FFFFFF"/>
        <w:spacing w:before="100" w:beforeAutospacing="1" w:after="100" w:afterAutospacing="1" w:line="240" w:lineRule="auto"/>
        <w:outlineLvl w:val="0"/>
        <w:rPr>
          <w:rFonts w:ascii="Segoe UI" w:eastAsia="Times New Roman" w:hAnsi="Segoe UI" w:cs="Segoe UI"/>
          <w:b/>
          <w:bCs/>
          <w:color w:val="1E2124"/>
          <w:kern w:val="36"/>
          <w:sz w:val="48"/>
          <w:szCs w:val="48"/>
          <w:lang w:eastAsia="en-IN"/>
        </w:rPr>
      </w:pPr>
      <w:r w:rsidRPr="007461D2">
        <w:rPr>
          <w:rFonts w:ascii="Segoe UI" w:eastAsia="Times New Roman" w:hAnsi="Segoe UI" w:cs="Segoe UI"/>
          <w:b/>
          <w:bCs/>
          <w:color w:val="1E2124"/>
          <w:kern w:val="36"/>
          <w:sz w:val="48"/>
          <w:szCs w:val="48"/>
          <w:lang w:eastAsia="en-IN"/>
        </w:rPr>
        <w:t>Platform overview</w:t>
      </w:r>
    </w:p>
    <w:p w14:paraId="05CE0942"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Palantir AIP powers real-time, AI-driven decision-making in the most critical commercial and government contexts around the world. From </w:t>
      </w:r>
      <w:r w:rsidRPr="0073426A">
        <w:rPr>
          <w:rFonts w:ascii="Segoe UI" w:eastAsia="Times New Roman" w:hAnsi="Segoe UI" w:cs="Segoe UI"/>
          <w:sz w:val="27"/>
          <w:szCs w:val="27"/>
          <w:lang w:eastAsia="en-IN"/>
        </w:rPr>
        <w:t>public health</w:t>
      </w:r>
      <w:r w:rsidRPr="007461D2">
        <w:rPr>
          <w:rFonts w:ascii="Segoe UI" w:eastAsia="Times New Roman" w:hAnsi="Segoe UI" w:cs="Segoe UI"/>
          <w:color w:val="1E2124"/>
          <w:sz w:val="27"/>
          <w:szCs w:val="27"/>
          <w:lang w:eastAsia="en-IN"/>
        </w:rPr>
        <w:t> to </w:t>
      </w:r>
      <w:r w:rsidRPr="0073426A">
        <w:rPr>
          <w:rFonts w:ascii="Segoe UI" w:eastAsia="Times New Roman" w:hAnsi="Segoe UI" w:cs="Segoe UI"/>
          <w:sz w:val="27"/>
          <w:szCs w:val="27"/>
          <w:lang w:eastAsia="en-IN"/>
        </w:rPr>
        <w:t>battery production</w:t>
      </w:r>
      <w:r w:rsidRPr="007461D2">
        <w:rPr>
          <w:rFonts w:ascii="Segoe UI" w:eastAsia="Times New Roman" w:hAnsi="Segoe UI" w:cs="Segoe UI"/>
          <w:color w:val="1E2124"/>
          <w:sz w:val="27"/>
          <w:szCs w:val="27"/>
          <w:lang w:eastAsia="en-IN"/>
        </w:rPr>
        <w:t>, organizations depend on Palantir to safely, securely, and effectively leverage AI in their enterprises — and </w:t>
      </w:r>
      <w:r w:rsidRPr="0073426A">
        <w:rPr>
          <w:rFonts w:ascii="Segoe UI" w:eastAsia="Times New Roman" w:hAnsi="Segoe UI" w:cs="Segoe UI"/>
          <w:sz w:val="27"/>
          <w:szCs w:val="27"/>
          <w:lang w:eastAsia="en-IN"/>
        </w:rPr>
        <w:t>drive operational results</w:t>
      </w:r>
      <w:r w:rsidRPr="007461D2">
        <w:rPr>
          <w:rFonts w:ascii="Segoe UI" w:eastAsia="Times New Roman" w:hAnsi="Segoe UI" w:cs="Segoe UI"/>
          <w:color w:val="1E2124"/>
          <w:sz w:val="27"/>
          <w:szCs w:val="27"/>
          <w:lang w:eastAsia="en-IN"/>
        </w:rPr>
        <w:t>.</w:t>
      </w:r>
    </w:p>
    <w:p w14:paraId="4C45D290"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In short, Palantir AIP connects generative AI to operations. Together with Foundry - Palantir's data operations platform - and Apollo - Palantir's mission control for autonomous software deployment, AIP is part of an </w:t>
      </w:r>
      <w:r w:rsidRPr="007461D2">
        <w:rPr>
          <w:rFonts w:ascii="Segoe UI" w:eastAsia="Times New Roman" w:hAnsi="Segoe UI" w:cs="Segoe UI"/>
          <w:i/>
          <w:iCs/>
          <w:color w:val="1E2124"/>
          <w:sz w:val="27"/>
          <w:szCs w:val="27"/>
          <w:lang w:eastAsia="en-IN"/>
        </w:rPr>
        <w:t>AI Mesh</w:t>
      </w:r>
      <w:r w:rsidRPr="007461D2">
        <w:rPr>
          <w:rFonts w:ascii="Segoe UI" w:eastAsia="Times New Roman" w:hAnsi="Segoe UI" w:cs="Segoe UI"/>
          <w:color w:val="1E2124"/>
          <w:sz w:val="27"/>
          <w:szCs w:val="27"/>
          <w:lang w:eastAsia="en-IN"/>
        </w:rPr>
        <w:t> that can deliver the full gamut of AI-driven products, from LLM-powered web applications to mobile applications using vision-language models to edge applications that embed localized AI. We call this entire set of capabilities, functionality, and tooling the </w:t>
      </w:r>
      <w:r w:rsidRPr="007461D2">
        <w:rPr>
          <w:rFonts w:ascii="Segoe UI" w:eastAsia="Times New Roman" w:hAnsi="Segoe UI" w:cs="Segoe UI"/>
          <w:i/>
          <w:iCs/>
          <w:color w:val="1E2124"/>
          <w:sz w:val="27"/>
          <w:szCs w:val="27"/>
          <w:lang w:eastAsia="en-IN"/>
        </w:rPr>
        <w:t>Palantir platform</w:t>
      </w:r>
      <w:r w:rsidRPr="007461D2">
        <w:rPr>
          <w:rFonts w:ascii="Segoe UI" w:eastAsia="Times New Roman" w:hAnsi="Segoe UI" w:cs="Segoe UI"/>
          <w:color w:val="1E2124"/>
          <w:sz w:val="27"/>
          <w:szCs w:val="27"/>
          <w:lang w:eastAsia="en-IN"/>
        </w:rPr>
        <w:t>.</w:t>
      </w:r>
    </w:p>
    <w:p w14:paraId="2DABB0E3" w14:textId="77777777" w:rsidR="007461D2" w:rsidRPr="007461D2" w:rsidRDefault="007461D2" w:rsidP="00E62623">
      <w:pPr>
        <w:shd w:val="clear" w:color="auto" w:fill="FFFFFF"/>
        <w:spacing w:before="100" w:beforeAutospacing="1" w:after="100" w:afterAutospacing="1" w:line="240" w:lineRule="auto"/>
        <w:jc w:val="center"/>
        <w:rPr>
          <w:rFonts w:ascii="Segoe UI" w:eastAsia="Times New Roman" w:hAnsi="Segoe UI" w:cs="Segoe UI"/>
          <w:color w:val="1E2124"/>
          <w:sz w:val="27"/>
          <w:szCs w:val="27"/>
          <w:lang w:eastAsia="en-IN"/>
        </w:rPr>
      </w:pPr>
      <w:r w:rsidRPr="007461D2">
        <w:rPr>
          <w:rFonts w:ascii="Segoe UI" w:eastAsia="Times New Roman" w:hAnsi="Segoe UI" w:cs="Segoe UI"/>
          <w:noProof/>
          <w:color w:val="1E2124"/>
          <w:sz w:val="27"/>
          <w:szCs w:val="27"/>
          <w:lang w:eastAsia="en-IN"/>
        </w:rPr>
        <w:drawing>
          <wp:inline distT="0" distB="0" distL="0" distR="0" wp14:anchorId="49DA86E2" wp14:editId="5F75754D">
            <wp:extent cx="5648507" cy="2641259"/>
            <wp:effectExtent l="0" t="0" r="0" b="6985"/>
            <wp:docPr id="4" name="Picture 4" descr="AI mesh diagram: the lowest layer is the Software Delivery Layer, known as Apollo. The middle layers are AIP and Foundry, comprising an ontology layer, core services layers, and security &amp; governance layer. The top layer consists of prebuilt AI products (AIP Now) and custom AI products (Build with A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I mesh diagram: the lowest layer is the Software Delivery Layer, known as Apollo. The middle layers are AIP and Foundry, comprising an ontology layer, core services layers, and security &amp; governance layer. The top layer consists of prebuilt AI products (AIP Now) and custom AI products (Build with AI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76855" cy="2654514"/>
                    </a:xfrm>
                    <a:prstGeom prst="rect">
                      <a:avLst/>
                    </a:prstGeom>
                    <a:noFill/>
                    <a:ln>
                      <a:noFill/>
                    </a:ln>
                  </pic:spPr>
                </pic:pic>
              </a:graphicData>
            </a:graphic>
          </wp:inline>
        </w:drawing>
      </w:r>
    </w:p>
    <w:p w14:paraId="2EADAE63"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lastRenderedPageBreak/>
        <w:t>While many factors contribute to achieving and scaling operational impact with the Palantir platform — including </w:t>
      </w:r>
      <w:r w:rsidRPr="00E62623">
        <w:rPr>
          <w:rFonts w:ascii="Segoe UI" w:eastAsia="Times New Roman" w:hAnsi="Segoe UI" w:cs="Segoe UI"/>
          <w:sz w:val="27"/>
          <w:szCs w:val="27"/>
          <w:lang w:eastAsia="en-IN"/>
        </w:rPr>
        <w:t>AIP Bootcamps</w:t>
      </w:r>
      <w:r w:rsidRPr="007461D2">
        <w:rPr>
          <w:rFonts w:ascii="Segoe UI" w:eastAsia="Times New Roman" w:hAnsi="Segoe UI" w:cs="Segoe UI"/>
          <w:color w:val="1E2124"/>
          <w:sz w:val="27"/>
          <w:szCs w:val="27"/>
          <w:lang w:eastAsia="en-IN"/>
        </w:rPr>
        <w:t>, where customers are hands-on-keyboard and achieving outcomes with AI in a matter of hours — the key differentiator is a software architecture which revolves around the Palantir </w:t>
      </w:r>
      <w:r w:rsidRPr="00080E30">
        <w:rPr>
          <w:rFonts w:ascii="Segoe UI" w:eastAsia="Times New Roman" w:hAnsi="Segoe UI" w:cs="Segoe UI"/>
          <w:sz w:val="27"/>
          <w:szCs w:val="27"/>
          <w:lang w:eastAsia="en-IN"/>
        </w:rPr>
        <w:t>Ontology</w:t>
      </w:r>
      <w:r w:rsidRPr="007461D2">
        <w:rPr>
          <w:rFonts w:ascii="Segoe UI" w:eastAsia="Times New Roman" w:hAnsi="Segoe UI" w:cs="Segoe UI"/>
          <w:color w:val="1E2124"/>
          <w:sz w:val="27"/>
          <w:szCs w:val="27"/>
          <w:lang w:eastAsia="en-IN"/>
        </w:rPr>
        <w:t>.</w:t>
      </w:r>
    </w:p>
    <w:p w14:paraId="5807CF19" w14:textId="77777777" w:rsidR="007461D2" w:rsidRPr="007461D2" w:rsidRDefault="007461D2" w:rsidP="007461D2">
      <w:pPr>
        <w:shd w:val="clear" w:color="auto" w:fill="FFFFFF"/>
        <w:spacing w:before="100" w:beforeAutospacing="1" w:after="100" w:afterAutospacing="1" w:line="240" w:lineRule="auto"/>
        <w:outlineLvl w:val="1"/>
        <w:rPr>
          <w:rFonts w:ascii="Segoe UI" w:eastAsia="Times New Roman" w:hAnsi="Segoe UI" w:cs="Segoe UI"/>
          <w:b/>
          <w:bCs/>
          <w:color w:val="1E2124"/>
          <w:sz w:val="36"/>
          <w:szCs w:val="36"/>
          <w:lang w:eastAsia="en-IN"/>
        </w:rPr>
      </w:pPr>
      <w:r w:rsidRPr="007461D2">
        <w:rPr>
          <w:rFonts w:ascii="Segoe UI" w:eastAsia="Times New Roman" w:hAnsi="Segoe UI" w:cs="Segoe UI"/>
          <w:b/>
          <w:bCs/>
          <w:color w:val="1E2124"/>
          <w:sz w:val="36"/>
          <w:szCs w:val="36"/>
          <w:lang w:eastAsia="en-IN"/>
        </w:rPr>
        <w:t>The Ontology</w:t>
      </w:r>
    </w:p>
    <w:p w14:paraId="3EA0E8B2"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 Ontology is designed to represent the </w:t>
      </w:r>
      <w:r w:rsidRPr="007461D2">
        <w:rPr>
          <w:rFonts w:ascii="Segoe UI" w:eastAsia="Times New Roman" w:hAnsi="Segoe UI" w:cs="Segoe UI"/>
          <w:i/>
          <w:iCs/>
          <w:color w:val="1E2124"/>
          <w:sz w:val="27"/>
          <w:szCs w:val="27"/>
          <w:lang w:eastAsia="en-IN"/>
        </w:rPr>
        <w:t>decisions</w:t>
      </w:r>
      <w:r w:rsidRPr="007461D2">
        <w:rPr>
          <w:rFonts w:ascii="Segoe UI" w:eastAsia="Times New Roman" w:hAnsi="Segoe UI" w:cs="Segoe UI"/>
          <w:color w:val="1E2124"/>
          <w:sz w:val="27"/>
          <w:szCs w:val="27"/>
          <w:lang w:eastAsia="en-IN"/>
        </w:rPr>
        <w:t> in an enterprise, not simply the data. Every organization in the world is faced with the challenge of how to execute the best possible decisions, often in real-time, while contending with internal and external conditions that are constantly in flux.</w:t>
      </w:r>
    </w:p>
    <w:p w14:paraId="3E0BBCBF"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 complexity of these decision processes is reflected in the Ontology, which facilitates deep, two-way interoperability with existing enterprise systems. The Ontology automatically integrates the relevant data, logic and action components into a modern, AI-accessible computing environment. This unlocks the rapid development of operational applications with AI teaming, in addition to conventional business intelligence and analytical workflows.</w:t>
      </w:r>
    </w:p>
    <w:p w14:paraId="6354BB2F" w14:textId="77777777" w:rsidR="007461D2" w:rsidRPr="007461D2" w:rsidRDefault="007461D2" w:rsidP="007461D2">
      <w:pPr>
        <w:shd w:val="clear" w:color="auto" w:fill="FFFFFF"/>
        <w:spacing w:before="100" w:beforeAutospacing="1" w:after="100" w:afterAutospacing="1" w:line="240" w:lineRule="auto"/>
        <w:outlineLvl w:val="1"/>
        <w:rPr>
          <w:rFonts w:ascii="Segoe UI" w:eastAsia="Times New Roman" w:hAnsi="Segoe UI" w:cs="Segoe UI"/>
          <w:b/>
          <w:bCs/>
          <w:color w:val="1E2124"/>
          <w:sz w:val="36"/>
          <w:szCs w:val="36"/>
          <w:lang w:eastAsia="en-IN"/>
        </w:rPr>
      </w:pPr>
      <w:r w:rsidRPr="007461D2">
        <w:rPr>
          <w:rFonts w:ascii="Segoe UI" w:eastAsia="Times New Roman" w:hAnsi="Segoe UI" w:cs="Segoe UI"/>
          <w:b/>
          <w:bCs/>
          <w:color w:val="1E2124"/>
          <w:sz w:val="36"/>
          <w:szCs w:val="36"/>
          <w:lang w:eastAsia="en-IN"/>
        </w:rPr>
        <w:t>Decision components</w:t>
      </w:r>
    </w:p>
    <w:p w14:paraId="449DE512"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Every decision can be broken down into </w:t>
      </w:r>
      <w:r w:rsidRPr="007461D2">
        <w:rPr>
          <w:rFonts w:ascii="Segoe UI" w:eastAsia="Times New Roman" w:hAnsi="Segoe UI" w:cs="Segoe UI"/>
          <w:b/>
          <w:bCs/>
          <w:color w:val="1E2124"/>
          <w:sz w:val="27"/>
          <w:szCs w:val="27"/>
          <w:lang w:eastAsia="en-IN"/>
        </w:rPr>
        <w:t>data</w:t>
      </w:r>
      <w:r w:rsidRPr="007461D2">
        <w:rPr>
          <w:rFonts w:ascii="Segoe UI" w:eastAsia="Times New Roman" w:hAnsi="Segoe UI" w:cs="Segoe UI"/>
          <w:color w:val="1E2124"/>
          <w:sz w:val="27"/>
          <w:szCs w:val="27"/>
          <w:lang w:eastAsia="en-IN"/>
        </w:rPr>
        <w:t>, </w:t>
      </w:r>
      <w:r w:rsidRPr="007461D2">
        <w:rPr>
          <w:rFonts w:ascii="Segoe UI" w:eastAsia="Times New Roman" w:hAnsi="Segoe UI" w:cs="Segoe UI"/>
          <w:b/>
          <w:bCs/>
          <w:color w:val="1E2124"/>
          <w:sz w:val="27"/>
          <w:szCs w:val="27"/>
          <w:lang w:eastAsia="en-IN"/>
        </w:rPr>
        <w:t>logic</w:t>
      </w:r>
      <w:r w:rsidRPr="007461D2">
        <w:rPr>
          <w:rFonts w:ascii="Segoe UI" w:eastAsia="Times New Roman" w:hAnsi="Segoe UI" w:cs="Segoe UI"/>
          <w:color w:val="1E2124"/>
          <w:sz w:val="27"/>
          <w:szCs w:val="27"/>
          <w:lang w:eastAsia="en-IN"/>
        </w:rPr>
        <w:t>, and </w:t>
      </w:r>
      <w:r w:rsidRPr="007461D2">
        <w:rPr>
          <w:rFonts w:ascii="Segoe UI" w:eastAsia="Times New Roman" w:hAnsi="Segoe UI" w:cs="Segoe UI"/>
          <w:b/>
          <w:bCs/>
          <w:color w:val="1E2124"/>
          <w:sz w:val="27"/>
          <w:szCs w:val="27"/>
          <w:lang w:eastAsia="en-IN"/>
        </w:rPr>
        <w:t>actions</w:t>
      </w:r>
      <w:r w:rsidRPr="007461D2">
        <w:rPr>
          <w:rFonts w:ascii="Segoe UI" w:eastAsia="Times New Roman" w:hAnsi="Segoe UI" w:cs="Segoe UI"/>
          <w:color w:val="1E2124"/>
          <w:sz w:val="27"/>
          <w:szCs w:val="27"/>
          <w:lang w:eastAsia="en-IN"/>
        </w:rPr>
        <w:t>.</w:t>
      </w:r>
    </w:p>
    <w:p w14:paraId="7869CC10" w14:textId="77777777" w:rsidR="007461D2" w:rsidRPr="007461D2" w:rsidRDefault="007461D2" w:rsidP="007461D2">
      <w:pPr>
        <w:numPr>
          <w:ilvl w:val="0"/>
          <w:numId w:val="1"/>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b/>
          <w:bCs/>
          <w:color w:val="1E2124"/>
          <w:sz w:val="27"/>
          <w:szCs w:val="27"/>
          <w:lang w:eastAsia="en-IN"/>
        </w:rPr>
        <w:t>Data:</w:t>
      </w:r>
      <w:r w:rsidRPr="007461D2">
        <w:rPr>
          <w:rFonts w:ascii="Segoe UI" w:eastAsia="Times New Roman" w:hAnsi="Segoe UI" w:cs="Segoe UI"/>
          <w:color w:val="1E2124"/>
          <w:sz w:val="27"/>
          <w:szCs w:val="27"/>
          <w:lang w:eastAsia="en-IN"/>
        </w:rPr>
        <w:t> What are the relevant facts or truth about the world and our operations that form the context for this decision?</w:t>
      </w:r>
    </w:p>
    <w:p w14:paraId="0DC66A91" w14:textId="77777777" w:rsidR="007461D2" w:rsidRPr="007461D2" w:rsidRDefault="007461D2" w:rsidP="007461D2">
      <w:pPr>
        <w:numPr>
          <w:ilvl w:val="0"/>
          <w:numId w:val="1"/>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b/>
          <w:bCs/>
          <w:color w:val="1E2124"/>
          <w:sz w:val="27"/>
          <w:szCs w:val="27"/>
          <w:lang w:eastAsia="en-IN"/>
        </w:rPr>
        <w:t>Logic:</w:t>
      </w:r>
      <w:r w:rsidRPr="007461D2">
        <w:rPr>
          <w:rFonts w:ascii="Segoe UI" w:eastAsia="Times New Roman" w:hAnsi="Segoe UI" w:cs="Segoe UI"/>
          <w:color w:val="1E2124"/>
          <w:sz w:val="27"/>
          <w:szCs w:val="27"/>
          <w:lang w:eastAsia="en-IN"/>
        </w:rPr>
        <w:t> What organizational or business rules act as guardrails for this decision? What are the probabilities of certain outcomes under different assumptions? What have we done in previous, similar situations and what have the outcomes been? What are the inputs from our forecasting and optimization models?</w:t>
      </w:r>
    </w:p>
    <w:p w14:paraId="0FF2EDC2" w14:textId="77777777" w:rsidR="007461D2" w:rsidRPr="007461D2" w:rsidRDefault="007461D2" w:rsidP="007461D2">
      <w:pPr>
        <w:numPr>
          <w:ilvl w:val="0"/>
          <w:numId w:val="1"/>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b/>
          <w:bCs/>
          <w:color w:val="1E2124"/>
          <w:sz w:val="27"/>
          <w:szCs w:val="27"/>
          <w:lang w:eastAsia="en-IN"/>
        </w:rPr>
        <w:t>Actions:</w:t>
      </w:r>
      <w:r w:rsidRPr="007461D2">
        <w:rPr>
          <w:rFonts w:ascii="Segoe UI" w:eastAsia="Times New Roman" w:hAnsi="Segoe UI" w:cs="Segoe UI"/>
          <w:color w:val="1E2124"/>
          <w:sz w:val="27"/>
          <w:szCs w:val="27"/>
          <w:lang w:eastAsia="en-IN"/>
        </w:rPr>
        <w:t> What are the "kinetics" or effects of this decision - that is, how does the decision manifest in the world? How do we reduce or collapse the steps between taking a decision in AIP and affecting an outcome in a production setting?</w:t>
      </w:r>
    </w:p>
    <w:p w14:paraId="7597DDFA"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lastRenderedPageBreak/>
        <w:t>In the Palantir platform, all of these components are designed to facilitate AI teaming patterns to unlock the full potential of your operators, analysts, and subject-matter experts.</w:t>
      </w:r>
    </w:p>
    <w:p w14:paraId="5E2BA9FE"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Data</w:t>
      </w:r>
    </w:p>
    <w:p w14:paraId="4C255DF3"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noProof/>
          <w:color w:val="1E2124"/>
          <w:sz w:val="27"/>
          <w:szCs w:val="27"/>
          <w:lang w:eastAsia="en-IN"/>
        </w:rPr>
        <w:drawing>
          <wp:inline distT="0" distB="0" distL="0" distR="0" wp14:anchorId="3821E5B6" wp14:editId="07764FB0">
            <wp:extent cx="5645941" cy="4034507"/>
            <wp:effectExtent l="0" t="0" r="0" b="4445"/>
            <wp:docPr id="3" name="Picture 3" descr="Diagram of data connectivity for human+AI t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data connectivity for human+AI team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5798" cy="4041551"/>
                    </a:xfrm>
                    <a:prstGeom prst="rect">
                      <a:avLst/>
                    </a:prstGeom>
                    <a:noFill/>
                    <a:ln>
                      <a:noFill/>
                    </a:ln>
                  </pic:spPr>
                </pic:pic>
              </a:graphicData>
            </a:graphic>
          </wp:inline>
        </w:drawing>
      </w:r>
    </w:p>
    <w:p w14:paraId="5092039A"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 Ontology integrates data as </w:t>
      </w:r>
      <w:r w:rsidRPr="002D2A45">
        <w:rPr>
          <w:rFonts w:ascii="Segoe UI" w:eastAsia="Times New Roman" w:hAnsi="Segoe UI" w:cs="Segoe UI"/>
          <w:sz w:val="27"/>
          <w:szCs w:val="27"/>
          <w:lang w:eastAsia="en-IN"/>
        </w:rPr>
        <w:t>objects and links</w:t>
      </w:r>
      <w:r w:rsidRPr="007461D2">
        <w:rPr>
          <w:rFonts w:ascii="Segoe UI" w:eastAsia="Times New Roman" w:hAnsi="Segoe UI" w:cs="Segoe UI"/>
          <w:color w:val="1E2124"/>
          <w:sz w:val="27"/>
          <w:szCs w:val="27"/>
          <w:lang w:eastAsia="en-IN"/>
        </w:rPr>
        <w:t> in order to make the real-world complexity of operations understandable for both humans and AI. This unlocks the ability to build </w:t>
      </w:r>
      <w:r w:rsidRPr="007461D2">
        <w:rPr>
          <w:rFonts w:ascii="Segoe UI" w:eastAsia="Times New Roman" w:hAnsi="Segoe UI" w:cs="Segoe UI"/>
          <w:i/>
          <w:iCs/>
          <w:color w:val="1E2124"/>
          <w:sz w:val="27"/>
          <w:szCs w:val="27"/>
          <w:lang w:eastAsia="en-IN"/>
        </w:rPr>
        <w:t>Human + AI teaming</w:t>
      </w:r>
      <w:r w:rsidRPr="007461D2">
        <w:rPr>
          <w:rFonts w:ascii="Segoe UI" w:eastAsia="Times New Roman" w:hAnsi="Segoe UI" w:cs="Segoe UI"/>
          <w:color w:val="1E2124"/>
          <w:sz w:val="27"/>
          <w:szCs w:val="27"/>
          <w:lang w:eastAsia="en-IN"/>
        </w:rPr>
        <w:t> workflows.</w:t>
      </w:r>
    </w:p>
    <w:p w14:paraId="0CA0FA00"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 Ontology natively supports a wide range of data types as well as a number of extended primitives, such as </w:t>
      </w:r>
      <w:r w:rsidRPr="00081C65">
        <w:rPr>
          <w:rFonts w:ascii="Segoe UI" w:eastAsia="Times New Roman" w:hAnsi="Segoe UI" w:cs="Segoe UI"/>
          <w:sz w:val="27"/>
          <w:szCs w:val="27"/>
          <w:lang w:eastAsia="en-IN"/>
        </w:rPr>
        <w:t>semantic search</w:t>
      </w:r>
      <w:r w:rsidRPr="007461D2">
        <w:rPr>
          <w:rFonts w:ascii="Segoe UI" w:eastAsia="Times New Roman" w:hAnsi="Segoe UI" w:cs="Segoe UI"/>
          <w:color w:val="1E2124"/>
          <w:sz w:val="27"/>
          <w:szCs w:val="27"/>
          <w:lang w:eastAsia="en-IN"/>
        </w:rPr>
        <w:t> for unlocking unstructured data, </w:t>
      </w:r>
      <w:r w:rsidRPr="00081C65">
        <w:rPr>
          <w:rFonts w:ascii="Segoe UI" w:eastAsia="Times New Roman" w:hAnsi="Segoe UI" w:cs="Segoe UI"/>
          <w:sz w:val="27"/>
          <w:szCs w:val="27"/>
          <w:lang w:eastAsia="en-IN"/>
        </w:rPr>
        <w:t>media references</w:t>
      </w:r>
      <w:r w:rsidRPr="007461D2">
        <w:rPr>
          <w:rFonts w:ascii="Segoe UI" w:eastAsia="Times New Roman" w:hAnsi="Segoe UI" w:cs="Segoe UI"/>
          <w:color w:val="1E2124"/>
          <w:sz w:val="27"/>
          <w:szCs w:val="27"/>
          <w:lang w:eastAsia="en-IN"/>
        </w:rPr>
        <w:t> for working with images and video, and </w:t>
      </w:r>
      <w:r w:rsidRPr="00081C65">
        <w:rPr>
          <w:rFonts w:ascii="Segoe UI" w:eastAsia="Times New Roman" w:hAnsi="Segoe UI" w:cs="Segoe UI"/>
          <w:sz w:val="27"/>
          <w:szCs w:val="27"/>
          <w:lang w:eastAsia="en-IN"/>
        </w:rPr>
        <w:t>value types</w:t>
      </w:r>
      <w:r w:rsidRPr="007461D2">
        <w:rPr>
          <w:rFonts w:ascii="Segoe UI" w:eastAsia="Times New Roman" w:hAnsi="Segoe UI" w:cs="Segoe UI"/>
          <w:color w:val="1E2124"/>
          <w:sz w:val="27"/>
          <w:szCs w:val="27"/>
          <w:lang w:eastAsia="en-IN"/>
        </w:rPr>
        <w:t> for embedding additional constraints and context into data. These are the data building blocks for AI workflow development.</w:t>
      </w:r>
    </w:p>
    <w:p w14:paraId="16A37751"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This data model powers out-of-the-box applications for exploring structured, unstructured, geospatial, temporal, simulated, and other data modalities. These baseline tools are enriched with the context-aware </w:t>
      </w:r>
      <w:r w:rsidRPr="00141907">
        <w:rPr>
          <w:rFonts w:ascii="Segoe UI" w:eastAsia="Times New Roman" w:hAnsi="Segoe UI" w:cs="Segoe UI"/>
          <w:b/>
          <w:bCs/>
          <w:sz w:val="27"/>
          <w:szCs w:val="27"/>
          <w:lang w:eastAsia="en-IN"/>
        </w:rPr>
        <w:t>AIP Assist</w:t>
      </w:r>
      <w:r w:rsidRPr="007461D2">
        <w:rPr>
          <w:rFonts w:ascii="Segoe UI" w:eastAsia="Times New Roman" w:hAnsi="Segoe UI" w:cs="Segoe UI"/>
          <w:color w:val="1E2124"/>
          <w:sz w:val="27"/>
          <w:szCs w:val="27"/>
          <w:lang w:eastAsia="en-IN"/>
        </w:rPr>
        <w:t xml:space="preserve"> to dramatically shorten the time-to-value when exploring and </w:t>
      </w:r>
      <w:proofErr w:type="spellStart"/>
      <w:r w:rsidRPr="007461D2">
        <w:rPr>
          <w:rFonts w:ascii="Segoe UI" w:eastAsia="Times New Roman" w:hAnsi="Segoe UI" w:cs="Segoe UI"/>
          <w:color w:val="1E2124"/>
          <w:sz w:val="27"/>
          <w:szCs w:val="27"/>
          <w:lang w:eastAsia="en-IN"/>
        </w:rPr>
        <w:t>analyzing</w:t>
      </w:r>
      <w:proofErr w:type="spellEnd"/>
      <w:r w:rsidRPr="007461D2">
        <w:rPr>
          <w:rFonts w:ascii="Segoe UI" w:eastAsia="Times New Roman" w:hAnsi="Segoe UI" w:cs="Segoe UI"/>
          <w:color w:val="1E2124"/>
          <w:sz w:val="27"/>
          <w:szCs w:val="27"/>
          <w:lang w:eastAsia="en-IN"/>
        </w:rPr>
        <w:t xml:space="preserve"> data in the platform.</w:t>
      </w:r>
    </w:p>
    <w:p w14:paraId="18252370"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lastRenderedPageBreak/>
        <w:t xml:space="preserve">In addition to application building and analytics, </w:t>
      </w:r>
      <w:proofErr w:type="spellStart"/>
      <w:r w:rsidRPr="007461D2">
        <w:rPr>
          <w:rFonts w:ascii="Segoe UI" w:eastAsia="Times New Roman" w:hAnsi="Segoe UI" w:cs="Segoe UI"/>
          <w:color w:val="1E2124"/>
          <w:sz w:val="27"/>
          <w:szCs w:val="27"/>
          <w:lang w:eastAsia="en-IN"/>
        </w:rPr>
        <w:t>modeling</w:t>
      </w:r>
      <w:proofErr w:type="spellEnd"/>
      <w:r w:rsidRPr="007461D2">
        <w:rPr>
          <w:rFonts w:ascii="Segoe UI" w:eastAsia="Times New Roman" w:hAnsi="Segoe UI" w:cs="Segoe UI"/>
          <w:color w:val="1E2124"/>
          <w:sz w:val="27"/>
          <w:szCs w:val="27"/>
          <w:lang w:eastAsia="en-IN"/>
        </w:rPr>
        <w:t xml:space="preserve"> data in the Ontology automatically creates a robust API gateway and Ontology Software Developer Kit (OSDK) to serve as an “operational bus” for connectivity throughout the enterprise.</w:t>
      </w:r>
    </w:p>
    <w:p w14:paraId="63CD3E53" w14:textId="77777777" w:rsidR="007461D2" w:rsidRPr="007461D2" w:rsidRDefault="007461D2" w:rsidP="007461D2">
      <w:pPr>
        <w:shd w:val="clear" w:color="auto" w:fill="FFFFFF"/>
        <w:spacing w:before="100" w:beforeAutospacing="1" w:after="100" w:afterAutospacing="1" w:line="240" w:lineRule="auto"/>
        <w:outlineLvl w:val="3"/>
        <w:rPr>
          <w:rFonts w:ascii="Segoe UI" w:eastAsia="Times New Roman" w:hAnsi="Segoe UI" w:cs="Segoe UI"/>
          <w:b/>
          <w:bCs/>
          <w:color w:val="1E2124"/>
          <w:sz w:val="24"/>
          <w:szCs w:val="24"/>
          <w:lang w:eastAsia="en-IN"/>
        </w:rPr>
      </w:pPr>
      <w:r w:rsidRPr="007461D2">
        <w:rPr>
          <w:rFonts w:ascii="Segoe UI" w:eastAsia="Times New Roman" w:hAnsi="Segoe UI" w:cs="Segoe UI"/>
          <w:b/>
          <w:bCs/>
          <w:color w:val="1E2124"/>
          <w:sz w:val="24"/>
          <w:szCs w:val="24"/>
          <w:lang w:eastAsia="en-IN"/>
        </w:rPr>
        <w:t>Data connectivity</w:t>
      </w:r>
    </w:p>
    <w:p w14:paraId="53DCF0A9"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Data rarely comes packaged in the clean, correct, and well-shaped formats needed to accurately and reliably present truth to decision makers. To that end, the Palantir platform provides an extensible, multimodal data connection and integration framework that works with enterprise data systems out-of-the-box.</w:t>
      </w:r>
    </w:p>
    <w:p w14:paraId="5E095C8F"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6F10B8">
        <w:rPr>
          <w:rFonts w:ascii="Segoe UI" w:eastAsia="Times New Roman" w:hAnsi="Segoe UI" w:cs="Segoe UI"/>
          <w:b/>
          <w:bCs/>
          <w:sz w:val="27"/>
          <w:szCs w:val="27"/>
          <w:lang w:eastAsia="en-IN"/>
        </w:rPr>
        <w:t>Pipeline Builder</w:t>
      </w:r>
      <w:r w:rsidRPr="007461D2">
        <w:rPr>
          <w:rFonts w:ascii="Segoe UI" w:eastAsia="Times New Roman" w:hAnsi="Segoe UI" w:cs="Segoe UI"/>
          <w:color w:val="1E2124"/>
          <w:sz w:val="27"/>
          <w:szCs w:val="27"/>
          <w:lang w:eastAsia="en-IN"/>
        </w:rPr>
        <w:t> puts the power of </w:t>
      </w:r>
      <w:r w:rsidRPr="006F10B8">
        <w:rPr>
          <w:rFonts w:ascii="Segoe UI" w:eastAsia="Times New Roman" w:hAnsi="Segoe UI" w:cs="Segoe UI"/>
          <w:sz w:val="27"/>
          <w:szCs w:val="27"/>
          <w:lang w:eastAsia="en-IN"/>
        </w:rPr>
        <w:t>LLM data transformation</w:t>
      </w:r>
      <w:r w:rsidRPr="007461D2">
        <w:rPr>
          <w:rFonts w:ascii="Segoe UI" w:eastAsia="Times New Roman" w:hAnsi="Segoe UI" w:cs="Segoe UI"/>
          <w:color w:val="1E2124"/>
          <w:sz w:val="27"/>
          <w:szCs w:val="27"/>
          <w:lang w:eastAsia="en-IN"/>
        </w:rPr>
        <w:t xml:space="preserve"> into a point-and-click package, making it easy to use the latest LLMs to power pipeline-based transforms such as classification, sentiment analysis, summarization, entity extraction, or translation. This sets the stage for automatically creating "proposals" in the Ontology for operators to review and approve, without the lag of always running a live request to a model. </w:t>
      </w:r>
    </w:p>
    <w:p w14:paraId="2830B9A2"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In addition, </w:t>
      </w:r>
      <w:r w:rsidRPr="00D61A4A">
        <w:rPr>
          <w:rFonts w:ascii="Segoe UI" w:eastAsia="Times New Roman" w:hAnsi="Segoe UI" w:cs="Segoe UI"/>
          <w:b/>
          <w:bCs/>
          <w:sz w:val="27"/>
          <w:szCs w:val="27"/>
          <w:lang w:eastAsia="en-IN"/>
        </w:rPr>
        <w:t>AIP Assist</w:t>
      </w:r>
      <w:r w:rsidRPr="007461D2">
        <w:rPr>
          <w:rFonts w:ascii="Segoe UI" w:eastAsia="Times New Roman" w:hAnsi="Segoe UI" w:cs="Segoe UI"/>
          <w:color w:val="1E2124"/>
          <w:sz w:val="27"/>
          <w:szCs w:val="27"/>
          <w:lang w:eastAsia="en-IN"/>
        </w:rPr>
        <w:t> in </w:t>
      </w:r>
      <w:r w:rsidRPr="00D61A4A">
        <w:rPr>
          <w:rFonts w:ascii="Segoe UI" w:eastAsia="Times New Roman" w:hAnsi="Segoe UI" w:cs="Segoe UI"/>
          <w:i/>
          <w:iCs/>
          <w:sz w:val="27"/>
          <w:szCs w:val="27"/>
          <w:lang w:eastAsia="en-IN"/>
        </w:rPr>
        <w:t>Pipeline Builder</w:t>
      </w:r>
      <w:r w:rsidRPr="007461D2">
        <w:rPr>
          <w:rFonts w:ascii="Segoe UI" w:eastAsia="Times New Roman" w:hAnsi="Segoe UI" w:cs="Segoe UI"/>
          <w:color w:val="1E2124"/>
          <w:sz w:val="27"/>
          <w:szCs w:val="27"/>
          <w:lang w:eastAsia="en-IN"/>
        </w:rPr>
        <w:t> and </w:t>
      </w:r>
      <w:r w:rsidRPr="00D61A4A">
        <w:rPr>
          <w:rFonts w:ascii="Segoe UI" w:eastAsia="Times New Roman" w:hAnsi="Segoe UI" w:cs="Segoe UI"/>
          <w:i/>
          <w:iCs/>
          <w:sz w:val="27"/>
          <w:szCs w:val="27"/>
          <w:lang w:eastAsia="en-IN"/>
        </w:rPr>
        <w:t>Code Repositories</w:t>
      </w:r>
      <w:r w:rsidRPr="007461D2">
        <w:rPr>
          <w:rFonts w:ascii="Segoe UI" w:eastAsia="Times New Roman" w:hAnsi="Segoe UI" w:cs="Segoe UI"/>
          <w:color w:val="1E2124"/>
          <w:sz w:val="27"/>
          <w:szCs w:val="27"/>
          <w:lang w:eastAsia="en-IN"/>
        </w:rPr>
        <w:t> accelerates data engineering with an AI partner that not only has access to Palantir documentation and repositories of generic code snippets, but also is deeply integrated into the platform frontend and can suggest next actions or relevant tutorials.</w:t>
      </w:r>
    </w:p>
    <w:p w14:paraId="68F0E10F" w14:textId="77777777" w:rsidR="00AB2A18" w:rsidRDefault="00AB2A18"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p>
    <w:p w14:paraId="4B16DD8F" w14:textId="77777777" w:rsidR="00AB2A18" w:rsidRDefault="00AB2A18"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p>
    <w:p w14:paraId="45E96B31" w14:textId="77777777" w:rsidR="00AB2A18" w:rsidRDefault="00AB2A18"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p>
    <w:p w14:paraId="0077D910" w14:textId="77777777" w:rsidR="00AB2A18" w:rsidRDefault="00AB2A18"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p>
    <w:p w14:paraId="6B1FFB01" w14:textId="77777777" w:rsidR="00AB2A18" w:rsidRDefault="00AB2A18"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p>
    <w:p w14:paraId="5F8402B2" w14:textId="77777777" w:rsidR="00AB2A18" w:rsidRDefault="00AB2A18"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p>
    <w:p w14:paraId="4C031E0E" w14:textId="77777777" w:rsidR="00AB2A18" w:rsidRDefault="00AB2A18"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p>
    <w:p w14:paraId="073C5597" w14:textId="77777777" w:rsidR="00AB2A18" w:rsidRDefault="00AB2A18"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p>
    <w:p w14:paraId="704E53F7" w14:textId="2EA4E6F0"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lastRenderedPageBreak/>
        <w:t>Logic</w:t>
      </w:r>
    </w:p>
    <w:p w14:paraId="07F81BF3"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noProof/>
          <w:color w:val="1E2124"/>
          <w:sz w:val="27"/>
          <w:szCs w:val="27"/>
          <w:lang w:eastAsia="en-IN"/>
        </w:rPr>
        <w:drawing>
          <wp:inline distT="0" distB="0" distL="0" distR="0" wp14:anchorId="60DBBADF" wp14:editId="689CF618">
            <wp:extent cx="5457641" cy="3754842"/>
            <wp:effectExtent l="0" t="0" r="0" b="0"/>
            <wp:docPr id="2" name="Picture 2" descr="Diagram of logic connectivity for human+AI t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 of logic connectivity for human+AI team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2312" cy="3758056"/>
                    </a:xfrm>
                    <a:prstGeom prst="rect">
                      <a:avLst/>
                    </a:prstGeom>
                    <a:noFill/>
                    <a:ln>
                      <a:noFill/>
                    </a:ln>
                  </pic:spPr>
                </pic:pic>
              </a:graphicData>
            </a:graphic>
          </wp:inline>
        </w:drawing>
      </w:r>
    </w:p>
    <w:p w14:paraId="5454FE6F"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 xml:space="preserve">If data defines the context for our decisions, logic encapsulates the reasoning and analysis that enriches this context, enabling </w:t>
      </w:r>
      <w:proofErr w:type="spellStart"/>
      <w:r w:rsidRPr="007461D2">
        <w:rPr>
          <w:rFonts w:ascii="Segoe UI" w:eastAsia="Times New Roman" w:hAnsi="Segoe UI" w:cs="Segoe UI"/>
          <w:color w:val="1E2124"/>
          <w:sz w:val="27"/>
          <w:szCs w:val="27"/>
          <w:lang w:eastAsia="en-IN"/>
        </w:rPr>
        <w:t>Human+AI</w:t>
      </w:r>
      <w:proofErr w:type="spellEnd"/>
      <w:r w:rsidRPr="007461D2">
        <w:rPr>
          <w:rFonts w:ascii="Segoe UI" w:eastAsia="Times New Roman" w:hAnsi="Segoe UI" w:cs="Segoe UI"/>
          <w:color w:val="1E2124"/>
          <w:sz w:val="27"/>
          <w:szCs w:val="27"/>
          <w:lang w:eastAsia="en-IN"/>
        </w:rPr>
        <w:t xml:space="preserve"> teams to make better decisions. This can be provided as additional context in the form of model outputs and visualizations presented within an operational application, or baked directly into the mechanics of an Action.</w:t>
      </w:r>
    </w:p>
    <w:p w14:paraId="5BB1DB43" w14:textId="77777777" w:rsidR="007461D2" w:rsidRPr="007461D2" w:rsidRDefault="007461D2" w:rsidP="007461D2">
      <w:pPr>
        <w:shd w:val="clear" w:color="auto" w:fill="FFFFFF"/>
        <w:spacing w:before="100" w:beforeAutospacing="1" w:after="100" w:afterAutospacing="1" w:line="240" w:lineRule="auto"/>
        <w:outlineLvl w:val="3"/>
        <w:rPr>
          <w:rFonts w:ascii="Segoe UI" w:eastAsia="Times New Roman" w:hAnsi="Segoe UI" w:cs="Segoe UI"/>
          <w:b/>
          <w:bCs/>
          <w:color w:val="1E2124"/>
          <w:sz w:val="24"/>
          <w:szCs w:val="24"/>
          <w:lang w:eastAsia="en-IN"/>
        </w:rPr>
      </w:pPr>
      <w:r w:rsidRPr="007461D2">
        <w:rPr>
          <w:rFonts w:ascii="Segoe UI" w:eastAsia="Times New Roman" w:hAnsi="Segoe UI" w:cs="Segoe UI"/>
          <w:b/>
          <w:bCs/>
          <w:color w:val="1E2124"/>
          <w:sz w:val="24"/>
          <w:szCs w:val="24"/>
          <w:lang w:eastAsia="en-IN"/>
        </w:rPr>
        <w:t>Models</w:t>
      </w:r>
    </w:p>
    <w:p w14:paraId="51358B9B"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i/>
          <w:iCs/>
          <w:color w:val="1E2124"/>
          <w:sz w:val="27"/>
          <w:szCs w:val="27"/>
          <w:lang w:eastAsia="en-IN"/>
        </w:rPr>
        <w:t>Generative AI, LLMs, forecasts, optimizers, etc.</w:t>
      </w:r>
    </w:p>
    <w:p w14:paraId="0E39933A"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 xml:space="preserve">Models like LLMs or forecasts take parameters and provide an output to serve as context for the decision at hand. In a cycle familiar to data scientists, these models often undergo an iterative process of training and refinement; however, using these models as operational workflows in production can be a challenge. Palantir's </w:t>
      </w:r>
      <w:proofErr w:type="spellStart"/>
      <w:r w:rsidRPr="007461D2">
        <w:rPr>
          <w:rFonts w:ascii="Segoe UI" w:eastAsia="Times New Roman" w:hAnsi="Segoe UI" w:cs="Segoe UI"/>
          <w:color w:val="1E2124"/>
          <w:sz w:val="27"/>
          <w:szCs w:val="27"/>
          <w:lang w:eastAsia="en-IN"/>
        </w:rPr>
        <w:t>modeling</w:t>
      </w:r>
      <w:proofErr w:type="spellEnd"/>
      <w:r w:rsidRPr="007461D2">
        <w:rPr>
          <w:rFonts w:ascii="Segoe UI" w:eastAsia="Times New Roman" w:hAnsi="Segoe UI" w:cs="Segoe UI"/>
          <w:color w:val="1E2124"/>
          <w:sz w:val="27"/>
          <w:szCs w:val="27"/>
          <w:lang w:eastAsia="en-IN"/>
        </w:rPr>
        <w:t xml:space="preserve"> capabilities can facilitate operational deployment of models.</w:t>
      </w:r>
    </w:p>
    <w:p w14:paraId="51D1CA59"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In the Palantir platform, the full lifecycle of a model is captured as a </w:t>
      </w:r>
      <w:proofErr w:type="spellStart"/>
      <w:r w:rsidRPr="00504CAA">
        <w:rPr>
          <w:rFonts w:ascii="Segoe UI" w:eastAsia="Times New Roman" w:hAnsi="Segoe UI" w:cs="Segoe UI"/>
          <w:sz w:val="27"/>
          <w:szCs w:val="27"/>
          <w:lang w:eastAsia="en-IN"/>
        </w:rPr>
        <w:t>modeling</w:t>
      </w:r>
      <w:proofErr w:type="spellEnd"/>
      <w:r w:rsidRPr="00504CAA">
        <w:rPr>
          <w:rFonts w:ascii="Segoe UI" w:eastAsia="Times New Roman" w:hAnsi="Segoe UI" w:cs="Segoe UI"/>
          <w:sz w:val="27"/>
          <w:szCs w:val="27"/>
          <w:lang w:eastAsia="en-IN"/>
        </w:rPr>
        <w:t xml:space="preserve"> objective</w:t>
      </w:r>
      <w:r w:rsidRPr="007461D2">
        <w:rPr>
          <w:rFonts w:ascii="Segoe UI" w:eastAsia="Times New Roman" w:hAnsi="Segoe UI" w:cs="Segoe UI"/>
          <w:sz w:val="27"/>
          <w:szCs w:val="27"/>
          <w:lang w:eastAsia="en-IN"/>
        </w:rPr>
        <w:t> </w:t>
      </w:r>
      <w:r w:rsidRPr="007461D2">
        <w:rPr>
          <w:rFonts w:ascii="Segoe UI" w:eastAsia="Times New Roman" w:hAnsi="Segoe UI" w:cs="Segoe UI"/>
          <w:color w:val="1E2124"/>
          <w:sz w:val="27"/>
          <w:szCs w:val="27"/>
          <w:lang w:eastAsia="en-IN"/>
        </w:rPr>
        <w:t>and the logic of the model itself is abstracted with a </w:t>
      </w:r>
      <w:r w:rsidRPr="00504CAA">
        <w:rPr>
          <w:rFonts w:ascii="Segoe UI" w:eastAsia="Times New Roman" w:hAnsi="Segoe UI" w:cs="Segoe UI"/>
          <w:sz w:val="27"/>
          <w:szCs w:val="27"/>
          <w:lang w:eastAsia="en-IN"/>
        </w:rPr>
        <w:t>model adapter</w:t>
      </w:r>
      <w:r w:rsidRPr="007461D2">
        <w:rPr>
          <w:rFonts w:ascii="Segoe UI" w:eastAsia="Times New Roman" w:hAnsi="Segoe UI" w:cs="Segoe UI"/>
          <w:color w:val="1E2124"/>
          <w:sz w:val="27"/>
          <w:szCs w:val="27"/>
          <w:lang w:eastAsia="en-IN"/>
        </w:rPr>
        <w:t>. This approach means whether you </w:t>
      </w:r>
      <w:r w:rsidRPr="00504CAA">
        <w:rPr>
          <w:rFonts w:ascii="Segoe UI" w:eastAsia="Times New Roman" w:hAnsi="Segoe UI" w:cs="Segoe UI"/>
          <w:sz w:val="27"/>
          <w:szCs w:val="27"/>
          <w:lang w:eastAsia="en-IN"/>
        </w:rPr>
        <w:t>train in the</w:t>
      </w:r>
      <w:r w:rsidRPr="00504CAA">
        <w:rPr>
          <w:rFonts w:ascii="Segoe UI" w:eastAsia="Times New Roman" w:hAnsi="Segoe UI" w:cs="Segoe UI"/>
          <w:sz w:val="27"/>
          <w:szCs w:val="27"/>
          <w:u w:val="single"/>
          <w:lang w:eastAsia="en-IN"/>
        </w:rPr>
        <w:t xml:space="preserve"> </w:t>
      </w:r>
      <w:r w:rsidRPr="00504CAA">
        <w:rPr>
          <w:rFonts w:ascii="Segoe UI" w:eastAsia="Times New Roman" w:hAnsi="Segoe UI" w:cs="Segoe UI"/>
          <w:sz w:val="27"/>
          <w:szCs w:val="27"/>
          <w:lang w:eastAsia="en-IN"/>
        </w:rPr>
        <w:lastRenderedPageBreak/>
        <w:t>platform</w:t>
      </w:r>
      <w:r w:rsidRPr="007461D2">
        <w:rPr>
          <w:rFonts w:ascii="Segoe UI" w:eastAsia="Times New Roman" w:hAnsi="Segoe UI" w:cs="Segoe UI"/>
          <w:sz w:val="27"/>
          <w:szCs w:val="27"/>
          <w:lang w:eastAsia="en-IN"/>
        </w:rPr>
        <w:t>, </w:t>
      </w:r>
      <w:r w:rsidRPr="00504CAA">
        <w:rPr>
          <w:rFonts w:ascii="Segoe UI" w:eastAsia="Times New Roman" w:hAnsi="Segoe UI" w:cs="Segoe UI"/>
          <w:sz w:val="27"/>
          <w:szCs w:val="27"/>
          <w:lang w:eastAsia="en-IN"/>
        </w:rPr>
        <w:t>bring your own container</w:t>
      </w:r>
      <w:r w:rsidRPr="007461D2">
        <w:rPr>
          <w:rFonts w:ascii="Segoe UI" w:eastAsia="Times New Roman" w:hAnsi="Segoe UI" w:cs="Segoe UI"/>
          <w:color w:val="1E2124"/>
          <w:sz w:val="27"/>
          <w:szCs w:val="27"/>
          <w:lang w:eastAsia="en-IN"/>
        </w:rPr>
        <w:t>, or </w:t>
      </w:r>
      <w:r w:rsidRPr="00504CAA">
        <w:rPr>
          <w:rFonts w:ascii="Segoe UI" w:eastAsia="Times New Roman" w:hAnsi="Segoe UI" w:cs="Segoe UI"/>
          <w:sz w:val="27"/>
          <w:szCs w:val="27"/>
          <w:lang w:eastAsia="en-IN"/>
        </w:rPr>
        <w:t>upload a pre-trained model</w:t>
      </w:r>
      <w:r w:rsidRPr="007461D2">
        <w:rPr>
          <w:rFonts w:ascii="Segoe UI" w:eastAsia="Times New Roman" w:hAnsi="Segoe UI" w:cs="Segoe UI"/>
          <w:color w:val="1E2124"/>
          <w:sz w:val="27"/>
          <w:szCs w:val="27"/>
          <w:lang w:eastAsia="en-IN"/>
        </w:rPr>
        <w:t>, models of all varieties can be bound to the Ontology through </w:t>
      </w:r>
      <w:r w:rsidRPr="00504CAA">
        <w:rPr>
          <w:rFonts w:ascii="Segoe UI" w:eastAsia="Times New Roman" w:hAnsi="Segoe UI" w:cs="Segoe UI"/>
          <w:sz w:val="27"/>
          <w:szCs w:val="27"/>
          <w:lang w:eastAsia="en-IN"/>
        </w:rPr>
        <w:t>Functions</w:t>
      </w:r>
      <w:r w:rsidRPr="007461D2">
        <w:rPr>
          <w:rFonts w:ascii="Segoe UI" w:eastAsia="Times New Roman" w:hAnsi="Segoe UI" w:cs="Segoe UI"/>
          <w:color w:val="1E2124"/>
          <w:sz w:val="27"/>
          <w:szCs w:val="27"/>
          <w:lang w:eastAsia="en-IN"/>
        </w:rPr>
        <w:t> for live interaction embedded in operational apps, or configured for </w:t>
      </w:r>
      <w:r w:rsidRPr="00504CAA">
        <w:rPr>
          <w:rFonts w:ascii="Segoe UI" w:eastAsia="Times New Roman" w:hAnsi="Segoe UI" w:cs="Segoe UI"/>
          <w:sz w:val="27"/>
          <w:szCs w:val="27"/>
          <w:lang w:eastAsia="en-IN"/>
        </w:rPr>
        <w:t>batch deployment</w:t>
      </w:r>
      <w:r w:rsidRPr="007461D2">
        <w:rPr>
          <w:rFonts w:ascii="Segoe UI" w:eastAsia="Times New Roman" w:hAnsi="Segoe UI" w:cs="Segoe UI"/>
          <w:color w:val="1E2124"/>
          <w:sz w:val="27"/>
          <w:szCs w:val="27"/>
          <w:lang w:eastAsia="en-IN"/>
        </w:rPr>
        <w:t> and scheduled for execution in a data pipeline.</w:t>
      </w:r>
    </w:p>
    <w:p w14:paraId="784C8D99"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Specifically for generative AI, Palantir's Language Model Service provides a unified interface for multi-modal interactivity while abstracting the specific model and provider implementation details, making it simple to develop across the landscape of commercially-available LLMs. To further improve outcomes, Palantir's </w:t>
      </w:r>
      <w:r w:rsidRPr="00F274AD">
        <w:rPr>
          <w:rFonts w:ascii="Segoe UI" w:eastAsia="Times New Roman" w:hAnsi="Segoe UI" w:cs="Segoe UI"/>
          <w:sz w:val="27"/>
          <w:szCs w:val="27"/>
          <w:lang w:eastAsia="en-IN"/>
        </w:rPr>
        <w:t>Evaluations</w:t>
      </w:r>
      <w:r w:rsidRPr="007461D2">
        <w:rPr>
          <w:rFonts w:ascii="Segoe UI" w:eastAsia="Times New Roman" w:hAnsi="Segoe UI" w:cs="Segoe UI"/>
          <w:color w:val="1E2124"/>
          <w:sz w:val="27"/>
          <w:szCs w:val="27"/>
          <w:lang w:eastAsia="en-IN"/>
        </w:rPr>
        <w:t> tool enables you to benchmark LLM performance over time and between models to monitor drift and make changes with confidence.</w:t>
      </w:r>
    </w:p>
    <w:p w14:paraId="2BE11B8C" w14:textId="77777777" w:rsidR="007461D2" w:rsidRPr="007461D2" w:rsidRDefault="007461D2" w:rsidP="007461D2">
      <w:pPr>
        <w:shd w:val="clear" w:color="auto" w:fill="FFFFFF"/>
        <w:spacing w:before="100" w:beforeAutospacing="1" w:after="100" w:afterAutospacing="1" w:line="240" w:lineRule="auto"/>
        <w:outlineLvl w:val="3"/>
        <w:rPr>
          <w:rFonts w:ascii="Segoe UI" w:eastAsia="Times New Roman" w:hAnsi="Segoe UI" w:cs="Segoe UI"/>
          <w:b/>
          <w:bCs/>
          <w:color w:val="1E2124"/>
          <w:sz w:val="24"/>
          <w:szCs w:val="24"/>
          <w:lang w:eastAsia="en-IN"/>
        </w:rPr>
      </w:pPr>
      <w:r w:rsidRPr="007461D2">
        <w:rPr>
          <w:rFonts w:ascii="Segoe UI" w:eastAsia="Times New Roman" w:hAnsi="Segoe UI" w:cs="Segoe UI"/>
          <w:b/>
          <w:bCs/>
          <w:color w:val="1E2124"/>
          <w:sz w:val="24"/>
          <w:szCs w:val="24"/>
          <w:lang w:eastAsia="en-IN"/>
        </w:rPr>
        <w:t>Business logic</w:t>
      </w:r>
    </w:p>
    <w:p w14:paraId="75EA922A"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i/>
          <w:iCs/>
          <w:color w:val="1E2124"/>
          <w:sz w:val="27"/>
          <w:szCs w:val="27"/>
          <w:lang w:eastAsia="en-IN"/>
        </w:rPr>
        <w:t>Business rules, process mapping, semantic search</w:t>
      </w:r>
    </w:p>
    <w:p w14:paraId="42F639F6"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 xml:space="preserve">Where </w:t>
      </w:r>
      <w:proofErr w:type="spellStart"/>
      <w:r w:rsidRPr="007461D2">
        <w:rPr>
          <w:rFonts w:ascii="Segoe UI" w:eastAsia="Times New Roman" w:hAnsi="Segoe UI" w:cs="Segoe UI"/>
          <w:color w:val="1E2124"/>
          <w:sz w:val="27"/>
          <w:szCs w:val="27"/>
          <w:lang w:eastAsia="en-IN"/>
        </w:rPr>
        <w:t>modeling</w:t>
      </w:r>
      <w:proofErr w:type="spellEnd"/>
      <w:r w:rsidRPr="007461D2">
        <w:rPr>
          <w:rFonts w:ascii="Segoe UI" w:eastAsia="Times New Roman" w:hAnsi="Segoe UI" w:cs="Segoe UI"/>
          <w:color w:val="1E2124"/>
          <w:sz w:val="27"/>
          <w:szCs w:val="27"/>
          <w:lang w:eastAsia="en-IN"/>
        </w:rPr>
        <w:t xml:space="preserve"> approaches take a "bottom-up" approach to training on data, business logic generally goes "top-down" based on the explicit or implicit rules that govern an operational domain. These may live on an external system, to which Palantir can connect directly with </w:t>
      </w:r>
      <w:r w:rsidRPr="00AB2A18">
        <w:rPr>
          <w:rFonts w:ascii="Segoe UI" w:eastAsia="Times New Roman" w:hAnsi="Segoe UI" w:cs="Segoe UI"/>
          <w:sz w:val="27"/>
          <w:szCs w:val="27"/>
          <w:lang w:eastAsia="en-IN"/>
        </w:rPr>
        <w:t>External Functions</w:t>
      </w:r>
      <w:r w:rsidRPr="007461D2">
        <w:rPr>
          <w:rFonts w:ascii="Segoe UI" w:eastAsia="Times New Roman" w:hAnsi="Segoe UI" w:cs="Segoe UI"/>
          <w:color w:val="1E2124"/>
          <w:sz w:val="27"/>
          <w:szCs w:val="27"/>
          <w:lang w:eastAsia="en-IN"/>
        </w:rPr>
        <w:t> and </w:t>
      </w:r>
      <w:r w:rsidRPr="00AB2A18">
        <w:rPr>
          <w:rFonts w:ascii="Segoe UI" w:eastAsia="Times New Roman" w:hAnsi="Segoe UI" w:cs="Segoe UI"/>
          <w:sz w:val="27"/>
          <w:szCs w:val="27"/>
          <w:lang w:eastAsia="en-IN"/>
        </w:rPr>
        <w:t>Webhooks</w:t>
      </w:r>
      <w:r w:rsidRPr="007461D2">
        <w:rPr>
          <w:rFonts w:ascii="Segoe UI" w:eastAsia="Times New Roman" w:hAnsi="Segoe UI" w:cs="Segoe UI"/>
          <w:color w:val="1E2124"/>
          <w:sz w:val="27"/>
          <w:szCs w:val="27"/>
          <w:lang w:eastAsia="en-IN"/>
        </w:rPr>
        <w:t> for live interactions in operational workflows, or through </w:t>
      </w:r>
      <w:r w:rsidRPr="00AB2A18">
        <w:rPr>
          <w:rFonts w:ascii="Segoe UI" w:eastAsia="Times New Roman" w:hAnsi="Segoe UI" w:cs="Segoe UI"/>
          <w:sz w:val="27"/>
          <w:szCs w:val="27"/>
          <w:lang w:eastAsia="en-IN"/>
        </w:rPr>
        <w:t>External Transforms</w:t>
      </w:r>
      <w:r w:rsidRPr="007461D2">
        <w:rPr>
          <w:rFonts w:ascii="Segoe UI" w:eastAsia="Times New Roman" w:hAnsi="Segoe UI" w:cs="Segoe UI"/>
          <w:color w:val="1E2124"/>
          <w:sz w:val="27"/>
          <w:szCs w:val="27"/>
          <w:lang w:eastAsia="en-IN"/>
        </w:rPr>
        <w:t> for pipeline connectivity. Business logic may also be authored directly within the Palantir platform using </w:t>
      </w:r>
      <w:r w:rsidRPr="00AB2A18">
        <w:rPr>
          <w:rFonts w:ascii="Segoe UI" w:eastAsia="Times New Roman" w:hAnsi="Segoe UI" w:cs="Segoe UI"/>
          <w:sz w:val="27"/>
          <w:szCs w:val="27"/>
          <w:lang w:eastAsia="en-IN"/>
        </w:rPr>
        <w:t>Rules</w:t>
      </w:r>
      <w:r w:rsidRPr="007461D2">
        <w:rPr>
          <w:rFonts w:ascii="Segoe UI" w:eastAsia="Times New Roman" w:hAnsi="Segoe UI" w:cs="Segoe UI"/>
          <w:color w:val="1E2124"/>
          <w:sz w:val="27"/>
          <w:szCs w:val="27"/>
          <w:lang w:eastAsia="en-IN"/>
        </w:rPr>
        <w:t xml:space="preserve"> and Pipeline Builder for logic in data </w:t>
      </w:r>
      <w:proofErr w:type="gramStart"/>
      <w:r w:rsidRPr="007461D2">
        <w:rPr>
          <w:rFonts w:ascii="Segoe UI" w:eastAsia="Times New Roman" w:hAnsi="Segoe UI" w:cs="Segoe UI"/>
          <w:color w:val="1E2124"/>
          <w:sz w:val="27"/>
          <w:szCs w:val="27"/>
          <w:lang w:eastAsia="en-IN"/>
        </w:rPr>
        <w:t>pipelines, and</w:t>
      </w:r>
      <w:proofErr w:type="gramEnd"/>
      <w:r w:rsidRPr="007461D2">
        <w:rPr>
          <w:rFonts w:ascii="Segoe UI" w:eastAsia="Times New Roman" w:hAnsi="Segoe UI" w:cs="Segoe UI"/>
          <w:color w:val="1E2124"/>
          <w:sz w:val="27"/>
          <w:szCs w:val="27"/>
          <w:lang w:eastAsia="en-IN"/>
        </w:rPr>
        <w:t xml:space="preserve"> Automate and Functions for logic that will be executed live.</w:t>
      </w:r>
    </w:p>
    <w:p w14:paraId="7B1A7100" w14:textId="77777777" w:rsidR="007461D2" w:rsidRPr="007461D2" w:rsidRDefault="007461D2" w:rsidP="007461D2">
      <w:pPr>
        <w:shd w:val="clear" w:color="auto" w:fill="FFFFFF"/>
        <w:spacing w:before="100" w:beforeAutospacing="1" w:after="100" w:afterAutospacing="1" w:line="240" w:lineRule="auto"/>
        <w:outlineLvl w:val="3"/>
        <w:rPr>
          <w:rFonts w:ascii="Segoe UI" w:eastAsia="Times New Roman" w:hAnsi="Segoe UI" w:cs="Segoe UI"/>
          <w:b/>
          <w:bCs/>
          <w:color w:val="1E2124"/>
          <w:sz w:val="24"/>
          <w:szCs w:val="24"/>
          <w:lang w:eastAsia="en-IN"/>
        </w:rPr>
      </w:pPr>
      <w:r w:rsidRPr="007461D2">
        <w:rPr>
          <w:rFonts w:ascii="Segoe UI" w:eastAsia="Times New Roman" w:hAnsi="Segoe UI" w:cs="Segoe UI"/>
          <w:b/>
          <w:bCs/>
          <w:color w:val="1E2124"/>
          <w:sz w:val="24"/>
          <w:szCs w:val="24"/>
          <w:lang w:eastAsia="en-IN"/>
        </w:rPr>
        <w:t>Templated analyses and reports</w:t>
      </w:r>
    </w:p>
    <w:p w14:paraId="406DF6A6"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i/>
          <w:iCs/>
          <w:color w:val="1E2124"/>
          <w:sz w:val="27"/>
          <w:szCs w:val="27"/>
          <w:lang w:eastAsia="en-IN"/>
        </w:rPr>
        <w:t>Object views, analysis templates, generated reports</w:t>
      </w:r>
    </w:p>
    <w:p w14:paraId="559C1CA3"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Logic does not live only in data science models or as hard-coded business rules; analysts often capture and collect high-value logic in one-off investigations, analyses, or reports. In the Palantir platform, you can build analyses and dashboards with point-and-click analysis tools like </w:t>
      </w:r>
      <w:r w:rsidRPr="00AB2A18">
        <w:rPr>
          <w:rFonts w:ascii="Segoe UI" w:eastAsia="Times New Roman" w:hAnsi="Segoe UI" w:cs="Segoe UI"/>
          <w:sz w:val="27"/>
          <w:szCs w:val="27"/>
          <w:lang w:eastAsia="en-IN"/>
        </w:rPr>
        <w:t>Contour</w:t>
      </w:r>
      <w:r w:rsidRPr="007461D2">
        <w:rPr>
          <w:rFonts w:ascii="Segoe UI" w:eastAsia="Times New Roman" w:hAnsi="Segoe UI" w:cs="Segoe UI"/>
          <w:color w:val="1E2124"/>
          <w:sz w:val="27"/>
          <w:szCs w:val="27"/>
          <w:lang w:eastAsia="en-IN"/>
        </w:rPr>
        <w:t> and </w:t>
      </w:r>
      <w:r w:rsidRPr="00AB2A18">
        <w:rPr>
          <w:rFonts w:ascii="Segoe UI" w:eastAsia="Times New Roman" w:hAnsi="Segoe UI" w:cs="Segoe UI"/>
          <w:sz w:val="27"/>
          <w:szCs w:val="27"/>
          <w:lang w:eastAsia="en-IN"/>
        </w:rPr>
        <w:t>Quiver</w:t>
      </w:r>
      <w:r w:rsidRPr="007461D2">
        <w:rPr>
          <w:rFonts w:ascii="Segoe UI" w:eastAsia="Times New Roman" w:hAnsi="Segoe UI" w:cs="Segoe UI"/>
          <w:color w:val="1E2124"/>
          <w:sz w:val="27"/>
          <w:szCs w:val="27"/>
          <w:lang w:eastAsia="en-IN"/>
        </w:rPr>
        <w:t>, and notebooks like </w:t>
      </w:r>
      <w:r w:rsidRPr="00AB2A18">
        <w:rPr>
          <w:rFonts w:ascii="Segoe UI" w:eastAsia="Times New Roman" w:hAnsi="Segoe UI" w:cs="Segoe UI"/>
          <w:sz w:val="27"/>
          <w:szCs w:val="27"/>
          <w:lang w:eastAsia="en-IN"/>
        </w:rPr>
        <w:t>Code Workspaces</w:t>
      </w:r>
      <w:r w:rsidRPr="007461D2">
        <w:rPr>
          <w:rFonts w:ascii="Segoe UI" w:eastAsia="Times New Roman" w:hAnsi="Segoe UI" w:cs="Segoe UI"/>
          <w:color w:val="1E2124"/>
          <w:sz w:val="27"/>
          <w:szCs w:val="27"/>
          <w:lang w:eastAsia="en-IN"/>
        </w:rPr>
        <w:t>. The semantics of the Ontology data model make it easy to template these analytical products and reuse them, whether embedded in </w:t>
      </w:r>
      <w:r w:rsidRPr="00AB2A18">
        <w:rPr>
          <w:rFonts w:ascii="Segoe UI" w:eastAsia="Times New Roman" w:hAnsi="Segoe UI" w:cs="Segoe UI"/>
          <w:sz w:val="27"/>
          <w:szCs w:val="27"/>
          <w:lang w:eastAsia="en-IN"/>
        </w:rPr>
        <w:t>Object Views</w:t>
      </w:r>
      <w:r w:rsidRPr="007461D2">
        <w:rPr>
          <w:rFonts w:ascii="Segoe UI" w:eastAsia="Times New Roman" w:hAnsi="Segoe UI" w:cs="Segoe UI"/>
          <w:color w:val="1E2124"/>
          <w:sz w:val="27"/>
          <w:szCs w:val="27"/>
          <w:lang w:eastAsia="en-IN"/>
        </w:rPr>
        <w:t> or </w:t>
      </w:r>
      <w:r w:rsidRPr="00AB2A18">
        <w:rPr>
          <w:rFonts w:ascii="Segoe UI" w:eastAsia="Times New Roman" w:hAnsi="Segoe UI" w:cs="Segoe UI"/>
          <w:sz w:val="27"/>
          <w:szCs w:val="27"/>
          <w:lang w:eastAsia="en-IN"/>
        </w:rPr>
        <w:t>Workshop applications</w:t>
      </w:r>
      <w:r w:rsidRPr="007461D2">
        <w:rPr>
          <w:rFonts w:ascii="Segoe UI" w:eastAsia="Times New Roman" w:hAnsi="Segoe UI" w:cs="Segoe UI"/>
          <w:color w:val="1E2124"/>
          <w:sz w:val="27"/>
          <w:szCs w:val="27"/>
          <w:lang w:eastAsia="en-IN"/>
        </w:rPr>
        <w:t>, or presented as stand-alone </w:t>
      </w:r>
      <w:r w:rsidRPr="00AB2A18">
        <w:rPr>
          <w:rFonts w:ascii="Segoe UI" w:eastAsia="Times New Roman" w:hAnsi="Segoe UI" w:cs="Segoe UI"/>
          <w:sz w:val="27"/>
          <w:szCs w:val="27"/>
          <w:lang w:eastAsia="en-IN"/>
        </w:rPr>
        <w:t>dashboards</w:t>
      </w:r>
      <w:r w:rsidRPr="007461D2">
        <w:rPr>
          <w:rFonts w:ascii="Segoe UI" w:eastAsia="Times New Roman" w:hAnsi="Segoe UI" w:cs="Segoe UI"/>
          <w:color w:val="1E2124"/>
          <w:sz w:val="27"/>
          <w:szCs w:val="27"/>
          <w:lang w:eastAsia="en-IN"/>
        </w:rPr>
        <w:t xml:space="preserve">. These object views, templated analyses, and dashboards can be plugged </w:t>
      </w:r>
      <w:r w:rsidRPr="007461D2">
        <w:rPr>
          <w:rFonts w:ascii="Segoe UI" w:eastAsia="Times New Roman" w:hAnsi="Segoe UI" w:cs="Segoe UI"/>
          <w:color w:val="1E2124"/>
          <w:sz w:val="27"/>
          <w:szCs w:val="27"/>
          <w:lang w:eastAsia="en-IN"/>
        </w:rPr>
        <w:lastRenderedPageBreak/>
        <w:t>into operational apps to provide at-a-glance insights to guide decision-making, while providing avenues for further ad-hoc exploration.</w:t>
      </w:r>
    </w:p>
    <w:p w14:paraId="61038D5A"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Taken together, these three facets of logic - models, business logic, and templated analyses and reports - provide a toolkit or palette from which users can mix-and-match to provide decision makers with all of the context needed at the critical moment.</w:t>
      </w:r>
    </w:p>
    <w:p w14:paraId="6052A45D"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Actions</w:t>
      </w:r>
    </w:p>
    <w:p w14:paraId="5D78687D"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noProof/>
          <w:color w:val="1E2124"/>
          <w:sz w:val="27"/>
          <w:szCs w:val="27"/>
          <w:lang w:eastAsia="en-IN"/>
        </w:rPr>
        <w:drawing>
          <wp:inline distT="0" distB="0" distL="0" distR="0" wp14:anchorId="6899E4F0" wp14:editId="72F0AC71">
            <wp:extent cx="5721985" cy="3730519"/>
            <wp:effectExtent l="0" t="0" r="0" b="3810"/>
            <wp:docPr id="1" name="Picture 1" descr="Diagram of action connectivity for human+AI t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of action connectivity for human+AI team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678" cy="3734883"/>
                    </a:xfrm>
                    <a:prstGeom prst="rect">
                      <a:avLst/>
                    </a:prstGeom>
                    <a:noFill/>
                    <a:ln>
                      <a:noFill/>
                    </a:ln>
                  </pic:spPr>
                </pic:pic>
              </a:graphicData>
            </a:graphic>
          </wp:inline>
        </w:drawing>
      </w:r>
    </w:p>
    <w:p w14:paraId="6F4D620B"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For any decision to have an impact, the decision must propagate into the world. This is where Actions define the "verbs" of the enterprise - the things that are done - and control how human operators or AI agents can ensure that their decision persists, either within the Ontology data model or through interaction with </w:t>
      </w:r>
      <w:r w:rsidRPr="00AB2A18">
        <w:rPr>
          <w:rFonts w:ascii="Segoe UI" w:eastAsia="Times New Roman" w:hAnsi="Segoe UI" w:cs="Segoe UI"/>
          <w:sz w:val="27"/>
          <w:szCs w:val="27"/>
          <w:lang w:eastAsia="en-IN"/>
        </w:rPr>
        <w:t>external systems</w:t>
      </w:r>
      <w:r w:rsidRPr="007461D2">
        <w:rPr>
          <w:rFonts w:ascii="Segoe UI" w:eastAsia="Times New Roman" w:hAnsi="Segoe UI" w:cs="Segoe UI"/>
          <w:color w:val="1E2124"/>
          <w:sz w:val="27"/>
          <w:szCs w:val="27"/>
          <w:lang w:eastAsia="en-IN"/>
        </w:rPr>
        <w:t>. In addition, capturing decision outcomes in the Ontology allows users to pair a particular decision with observations of the results in future data. This enables feedback loops that put future decisions in the context of past choices and can be used to retrain or fine-tune models, or simply support operators with a clearer picture of the past.</w:t>
      </w:r>
    </w:p>
    <w:p w14:paraId="06B729A6"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lastRenderedPageBreak/>
        <w:t>The atomic unit for representing these "kinetics" in the Ontology is an </w:t>
      </w:r>
      <w:r w:rsidRPr="00AB2A18">
        <w:rPr>
          <w:rFonts w:ascii="Segoe UI" w:eastAsia="Times New Roman" w:hAnsi="Segoe UI" w:cs="Segoe UI"/>
          <w:sz w:val="27"/>
          <w:szCs w:val="27"/>
          <w:lang w:eastAsia="en-IN"/>
        </w:rPr>
        <w:t>Action</w:t>
      </w:r>
      <w:r w:rsidRPr="007461D2">
        <w:rPr>
          <w:rFonts w:ascii="Segoe UI" w:eastAsia="Times New Roman" w:hAnsi="Segoe UI" w:cs="Segoe UI"/>
          <w:color w:val="1E2124"/>
          <w:sz w:val="27"/>
          <w:szCs w:val="27"/>
          <w:lang w:eastAsia="en-IN"/>
        </w:rPr>
        <w:t>, which provides specific, granular control for changing or creating data, as well as for orchestrating changes in external systems. Basic actions are simple to define with a point-and-click form configuration interface. Actions of arbitrary complexity can be specified with </w:t>
      </w:r>
      <w:r w:rsidRPr="00AB2A18">
        <w:rPr>
          <w:rFonts w:ascii="Segoe UI" w:eastAsia="Times New Roman" w:hAnsi="Segoe UI" w:cs="Segoe UI"/>
          <w:sz w:val="27"/>
          <w:szCs w:val="27"/>
          <w:lang w:eastAsia="en-IN"/>
        </w:rPr>
        <w:t>Function-backed Actions</w:t>
      </w:r>
      <w:r w:rsidRPr="007461D2">
        <w:rPr>
          <w:rFonts w:ascii="Segoe UI" w:eastAsia="Times New Roman" w:hAnsi="Segoe UI" w:cs="Segoe UI"/>
          <w:color w:val="1E2124"/>
          <w:sz w:val="27"/>
          <w:szCs w:val="27"/>
          <w:lang w:eastAsia="en-IN"/>
        </w:rPr>
        <w:t> and the </w:t>
      </w:r>
      <w:r w:rsidRPr="00AB2A18">
        <w:rPr>
          <w:rFonts w:ascii="Segoe UI" w:eastAsia="Times New Roman" w:hAnsi="Segoe UI" w:cs="Segoe UI"/>
          <w:sz w:val="27"/>
          <w:szCs w:val="27"/>
          <w:lang w:eastAsia="en-IN"/>
        </w:rPr>
        <w:t>Ontology Edits Typescript API</w:t>
      </w:r>
      <w:r w:rsidRPr="007461D2">
        <w:rPr>
          <w:rFonts w:ascii="Segoe UI" w:eastAsia="Times New Roman" w:hAnsi="Segoe UI" w:cs="Segoe UI"/>
          <w:color w:val="1E2124"/>
          <w:sz w:val="27"/>
          <w:szCs w:val="27"/>
          <w:lang w:eastAsia="en-IN"/>
        </w:rPr>
        <w:t>. Actions are also available to package within the </w:t>
      </w:r>
      <w:r w:rsidRPr="00AB2A18">
        <w:rPr>
          <w:rFonts w:ascii="Segoe UI" w:eastAsia="Times New Roman" w:hAnsi="Segoe UI" w:cs="Segoe UI"/>
          <w:sz w:val="27"/>
          <w:szCs w:val="27"/>
          <w:lang w:eastAsia="en-IN"/>
        </w:rPr>
        <w:t>Ontology Software Development Kit </w:t>
      </w:r>
      <w:r w:rsidRPr="007461D2">
        <w:rPr>
          <w:rFonts w:ascii="Segoe UI" w:eastAsia="Times New Roman" w:hAnsi="Segoe UI" w:cs="Segoe UI"/>
          <w:color w:val="1E2124"/>
          <w:sz w:val="27"/>
          <w:szCs w:val="27"/>
          <w:lang w:eastAsia="en-IN"/>
        </w:rPr>
        <w:t>(OSDK) and within the </w:t>
      </w:r>
      <w:r w:rsidRPr="00AB2A18">
        <w:rPr>
          <w:rFonts w:ascii="Segoe UI" w:eastAsia="Times New Roman" w:hAnsi="Segoe UI" w:cs="Segoe UI"/>
          <w:sz w:val="27"/>
          <w:szCs w:val="27"/>
          <w:lang w:eastAsia="en-IN"/>
        </w:rPr>
        <w:t>platform AP</w:t>
      </w:r>
      <w:r w:rsidRPr="007461D2">
        <w:rPr>
          <w:rFonts w:ascii="Segoe UI" w:eastAsia="Times New Roman" w:hAnsi="Segoe UI" w:cs="Segoe UI"/>
          <w:color w:val="0000FF"/>
          <w:sz w:val="27"/>
          <w:szCs w:val="27"/>
          <w:u w:val="single"/>
          <w:lang w:eastAsia="en-IN"/>
        </w:rPr>
        <w:t>I</w:t>
      </w:r>
      <w:r w:rsidRPr="007461D2">
        <w:rPr>
          <w:rFonts w:ascii="Segoe UI" w:eastAsia="Times New Roman" w:hAnsi="Segoe UI" w:cs="Segoe UI"/>
          <w:color w:val="1E2124"/>
          <w:sz w:val="27"/>
          <w:szCs w:val="27"/>
          <w:lang w:eastAsia="en-IN"/>
        </w:rPr>
        <w:t> so that custom application development and existing third-party tools can easily and securely write back to the Ontology.</w:t>
      </w:r>
    </w:p>
    <w:p w14:paraId="3BC57D47"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AB2A18">
        <w:rPr>
          <w:rFonts w:ascii="Segoe UI" w:eastAsia="Times New Roman" w:hAnsi="Segoe UI" w:cs="Segoe UI"/>
          <w:sz w:val="27"/>
          <w:szCs w:val="27"/>
          <w:lang w:eastAsia="en-IN"/>
        </w:rPr>
        <w:t>Permissions</w:t>
      </w:r>
      <w:r w:rsidRPr="007461D2">
        <w:rPr>
          <w:rFonts w:ascii="Segoe UI" w:eastAsia="Times New Roman" w:hAnsi="Segoe UI" w:cs="Segoe UI"/>
          <w:color w:val="1E2124"/>
          <w:sz w:val="27"/>
          <w:szCs w:val="27"/>
          <w:lang w:eastAsia="en-IN"/>
        </w:rPr>
        <w:t> for each Action determine which user or agent, under what conditions, is able to execute the action laying the foundation at the lowest level for secure, auditable, and transparent control.</w:t>
      </w:r>
    </w:p>
    <w:p w14:paraId="2263DA92"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In complex, tightly-coupled environments, such as a supply chain or a manufacturing floor, a small change can cause cascading effects with unexpected or unintended outcomes. The </w:t>
      </w:r>
      <w:r w:rsidRPr="00AB2A18">
        <w:rPr>
          <w:rFonts w:ascii="Segoe UI" w:eastAsia="Times New Roman" w:hAnsi="Segoe UI" w:cs="Segoe UI"/>
          <w:sz w:val="27"/>
          <w:szCs w:val="27"/>
          <w:lang w:eastAsia="en-IN"/>
        </w:rPr>
        <w:t>Scenario</w:t>
      </w:r>
      <w:r w:rsidRPr="007461D2">
        <w:rPr>
          <w:rFonts w:ascii="Segoe UI" w:eastAsia="Times New Roman" w:hAnsi="Segoe UI" w:cs="Segoe UI"/>
          <w:color w:val="1E2124"/>
          <w:sz w:val="27"/>
          <w:szCs w:val="27"/>
          <w:lang w:eastAsia="en-IN"/>
        </w:rPr>
        <w:t> primitive allows users to project these consequences by making changes to a branch of the ontology, effectively creating a sandbox universe in which forecasts, business process models, and other analyses can be made on top of (and downstream of) the potential change. The </w:t>
      </w:r>
      <w:r w:rsidRPr="00AB2A18">
        <w:rPr>
          <w:rFonts w:ascii="Segoe UI" w:eastAsia="Times New Roman" w:hAnsi="Segoe UI" w:cs="Segoe UI"/>
          <w:sz w:val="27"/>
          <w:szCs w:val="27"/>
          <w:lang w:eastAsia="en-IN"/>
        </w:rPr>
        <w:t>Vertex</w:t>
      </w:r>
      <w:r w:rsidRPr="007461D2">
        <w:rPr>
          <w:rFonts w:ascii="Segoe UI" w:eastAsia="Times New Roman" w:hAnsi="Segoe UI" w:cs="Segoe UI"/>
          <w:color w:val="1E2124"/>
          <w:sz w:val="27"/>
          <w:szCs w:val="27"/>
          <w:lang w:eastAsia="en-IN"/>
        </w:rPr>
        <w:t> application specializes in this kind of process visualization and scenario testing; the </w:t>
      </w:r>
      <w:r w:rsidRPr="00AB2A18">
        <w:rPr>
          <w:rFonts w:ascii="Segoe UI" w:eastAsia="Times New Roman" w:hAnsi="Segoe UI" w:cs="Segoe UI"/>
          <w:sz w:val="27"/>
          <w:szCs w:val="27"/>
          <w:lang w:eastAsia="en-IN"/>
        </w:rPr>
        <w:t>Workshop</w:t>
      </w:r>
      <w:r w:rsidRPr="007461D2">
        <w:rPr>
          <w:rFonts w:ascii="Segoe UI" w:eastAsia="Times New Roman" w:hAnsi="Segoe UI" w:cs="Segoe UI"/>
          <w:color w:val="1E2124"/>
          <w:sz w:val="27"/>
          <w:szCs w:val="27"/>
          <w:lang w:eastAsia="en-IN"/>
        </w:rPr>
        <w:t> application builder natively supports scenarios for developing operational applications that incorporate “What if...” workflows.</w:t>
      </w:r>
    </w:p>
    <w:p w14:paraId="6BC4DB58"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 xml:space="preserve">These primitives create an environment for safe development of </w:t>
      </w:r>
      <w:proofErr w:type="spellStart"/>
      <w:r w:rsidRPr="007461D2">
        <w:rPr>
          <w:rFonts w:ascii="Segoe UI" w:eastAsia="Times New Roman" w:hAnsi="Segoe UI" w:cs="Segoe UI"/>
          <w:color w:val="1E2124"/>
          <w:sz w:val="27"/>
          <w:szCs w:val="27"/>
          <w:lang w:eastAsia="en-IN"/>
        </w:rPr>
        <w:t>Human+AI</w:t>
      </w:r>
      <w:proofErr w:type="spellEnd"/>
      <w:r w:rsidRPr="007461D2">
        <w:rPr>
          <w:rFonts w:ascii="Segoe UI" w:eastAsia="Times New Roman" w:hAnsi="Segoe UI" w:cs="Segoe UI"/>
          <w:color w:val="1E2124"/>
          <w:sz w:val="27"/>
          <w:szCs w:val="27"/>
          <w:lang w:eastAsia="en-IN"/>
        </w:rPr>
        <w:t xml:space="preserve"> teams operating in production workflows. The granular permissions and access control from Actions provide a "control plane" in which agents are sandboxed with specific limitations on the data and tools they can wield. In most patterns, rather than directly make changes, AI agents create proposals either synchronously through direct integration with </w:t>
      </w:r>
      <w:r w:rsidRPr="00AB2A18">
        <w:rPr>
          <w:rFonts w:ascii="Segoe UI" w:eastAsia="Times New Roman" w:hAnsi="Segoe UI" w:cs="Segoe UI"/>
          <w:sz w:val="27"/>
          <w:szCs w:val="27"/>
          <w:lang w:eastAsia="en-IN"/>
        </w:rPr>
        <w:t>AIP Logic</w:t>
      </w:r>
      <w:r w:rsidRPr="007461D2">
        <w:rPr>
          <w:rFonts w:ascii="Segoe UI" w:eastAsia="Times New Roman" w:hAnsi="Segoe UI" w:cs="Segoe UI"/>
          <w:color w:val="1E2124"/>
          <w:sz w:val="27"/>
          <w:szCs w:val="27"/>
          <w:lang w:eastAsia="en-IN"/>
        </w:rPr>
        <w:t> functions integrated into Workshop, or asynchronously through </w:t>
      </w:r>
      <w:r w:rsidRPr="00AB2A18">
        <w:rPr>
          <w:rFonts w:ascii="Segoe UI" w:eastAsia="Times New Roman" w:hAnsi="Segoe UI" w:cs="Segoe UI"/>
          <w:sz w:val="27"/>
          <w:szCs w:val="27"/>
          <w:lang w:eastAsia="en-IN"/>
        </w:rPr>
        <w:t>Automate</w:t>
      </w:r>
      <w:r w:rsidRPr="007461D2">
        <w:rPr>
          <w:rFonts w:ascii="Segoe UI" w:eastAsia="Times New Roman" w:hAnsi="Segoe UI" w:cs="Segoe UI"/>
          <w:color w:val="1E2124"/>
          <w:sz w:val="27"/>
          <w:szCs w:val="27"/>
          <w:lang w:eastAsia="en-IN"/>
        </w:rPr>
        <w:t> or the </w:t>
      </w:r>
      <w:r w:rsidRPr="00AB2A18">
        <w:rPr>
          <w:rFonts w:ascii="Segoe UI" w:eastAsia="Times New Roman" w:hAnsi="Segoe UI" w:cs="Segoe UI"/>
          <w:sz w:val="27"/>
          <w:szCs w:val="27"/>
          <w:lang w:eastAsia="en-IN"/>
        </w:rPr>
        <w:t>Use LLM</w:t>
      </w:r>
      <w:r w:rsidRPr="007461D2">
        <w:rPr>
          <w:rFonts w:ascii="Segoe UI" w:eastAsia="Times New Roman" w:hAnsi="Segoe UI" w:cs="Segoe UI"/>
          <w:color w:val="1E2124"/>
          <w:sz w:val="27"/>
          <w:szCs w:val="27"/>
          <w:lang w:eastAsia="en-IN"/>
        </w:rPr>
        <w:t> node in Pipeline Builder. The resulting proposal can then be surfaced to an operator for refinement, feedback, and a resulting decision. This proposal-based pattern, in addition to reinforcing the “human in the loop” paradigm, also generates valuable metadata that enables a positive cycle where the Agent can learn and evolve with continuous feedback.</w:t>
      </w:r>
    </w:p>
    <w:p w14:paraId="7A1FA3AB" w14:textId="77777777" w:rsidR="007461D2" w:rsidRPr="007461D2" w:rsidRDefault="007461D2" w:rsidP="007461D2">
      <w:pPr>
        <w:shd w:val="clear" w:color="auto" w:fill="FFFFFF"/>
        <w:spacing w:before="100" w:beforeAutospacing="1" w:after="100" w:afterAutospacing="1" w:line="240" w:lineRule="auto"/>
        <w:outlineLvl w:val="1"/>
        <w:rPr>
          <w:rFonts w:ascii="Segoe UI" w:eastAsia="Times New Roman" w:hAnsi="Segoe UI" w:cs="Segoe UI"/>
          <w:b/>
          <w:bCs/>
          <w:color w:val="1E2124"/>
          <w:sz w:val="36"/>
          <w:szCs w:val="36"/>
          <w:lang w:eastAsia="en-IN"/>
        </w:rPr>
      </w:pPr>
      <w:r w:rsidRPr="007461D2">
        <w:rPr>
          <w:rFonts w:ascii="Segoe UI" w:eastAsia="Times New Roman" w:hAnsi="Segoe UI" w:cs="Segoe UI"/>
          <w:b/>
          <w:bCs/>
          <w:color w:val="1E2124"/>
          <w:sz w:val="36"/>
          <w:szCs w:val="36"/>
          <w:lang w:eastAsia="en-IN"/>
        </w:rPr>
        <w:lastRenderedPageBreak/>
        <w:t>Platform capabilities</w:t>
      </w:r>
    </w:p>
    <w:p w14:paraId="0FC754A0"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Data connectivity &amp; integration</w:t>
      </w:r>
    </w:p>
    <w:p w14:paraId="6D063CEA"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Palantir provides an extensible, multimodal data connection framework that connects to enterprise data systems out-of-the-box and provides:</w:t>
      </w:r>
    </w:p>
    <w:p w14:paraId="235BBF17" w14:textId="77777777" w:rsidR="007461D2" w:rsidRPr="007461D2" w:rsidRDefault="007461D2" w:rsidP="007461D2">
      <w:pPr>
        <w:numPr>
          <w:ilvl w:val="0"/>
          <w:numId w:val="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In-place, zero-copy access to existing data lakes and platforms;</w:t>
      </w:r>
    </w:p>
    <w:p w14:paraId="11BEA65B" w14:textId="77777777" w:rsidR="007461D2" w:rsidRPr="007461D2" w:rsidRDefault="007461D2" w:rsidP="007461D2">
      <w:pPr>
        <w:numPr>
          <w:ilvl w:val="0"/>
          <w:numId w:val="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An auto-scaling, Kubernetes-based build system for data that works across batch and streaming pipelines;</w:t>
      </w:r>
    </w:p>
    <w:p w14:paraId="5A00B218" w14:textId="77777777" w:rsidR="007461D2" w:rsidRPr="007461D2" w:rsidRDefault="007461D2" w:rsidP="007461D2">
      <w:pPr>
        <w:numPr>
          <w:ilvl w:val="0"/>
          <w:numId w:val="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Integrated pipeline scheduling and orchestration;</w:t>
      </w:r>
    </w:p>
    <w:p w14:paraId="67BD3608" w14:textId="77777777" w:rsidR="007461D2" w:rsidRPr="007461D2" w:rsidRDefault="007461D2" w:rsidP="007461D2">
      <w:pPr>
        <w:numPr>
          <w:ilvl w:val="0"/>
          <w:numId w:val="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Native health checks for all data flows; and</w:t>
      </w:r>
    </w:p>
    <w:p w14:paraId="60CEBFA6" w14:textId="77777777" w:rsidR="007461D2" w:rsidRPr="007461D2" w:rsidRDefault="007461D2" w:rsidP="007461D2">
      <w:pPr>
        <w:numPr>
          <w:ilvl w:val="0"/>
          <w:numId w:val="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Comprehensive security functionality that spans role-, classification-, and purpose-based access controls.</w:t>
      </w:r>
    </w:p>
    <w:p w14:paraId="769B2EF9"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Model connectivity &amp; development</w:t>
      </w:r>
    </w:p>
    <w:p w14:paraId="3A660756"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 xml:space="preserve">Palantir offers an integrated, end-to-end environment for model development (e.g., in Python and R); flexible integration of external models built using industry-standard toolsets; governed paths to production for all developed or integrated models; and a “mission control” for continuous evaluation of deployed models. The architectural goal is to provide a connection path for all business logic and </w:t>
      </w:r>
      <w:proofErr w:type="spellStart"/>
      <w:r w:rsidRPr="007461D2">
        <w:rPr>
          <w:rFonts w:ascii="Segoe UI" w:eastAsia="Times New Roman" w:hAnsi="Segoe UI" w:cs="Segoe UI"/>
          <w:color w:val="1E2124"/>
          <w:sz w:val="27"/>
          <w:szCs w:val="27"/>
          <w:lang w:eastAsia="en-IN"/>
        </w:rPr>
        <w:t>modeling</w:t>
      </w:r>
      <w:proofErr w:type="spellEnd"/>
      <w:r w:rsidRPr="007461D2">
        <w:rPr>
          <w:rFonts w:ascii="Segoe UI" w:eastAsia="Times New Roman" w:hAnsi="Segoe UI" w:cs="Segoe UI"/>
          <w:color w:val="1E2124"/>
          <w:sz w:val="27"/>
          <w:szCs w:val="27"/>
          <w:lang w:eastAsia="en-IN"/>
        </w:rPr>
        <w:t xml:space="preserve"> in the enterprise, regardless of where the given asset was trained, tested, and/or hosted.</w:t>
      </w:r>
    </w:p>
    <w:p w14:paraId="773431E6"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Ontology building</w:t>
      </w:r>
    </w:p>
    <w:p w14:paraId="286B4595"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As mentioned above, to create a comprehensive decision-centric model of the enterprise, the Ontology integrates:</w:t>
      </w:r>
    </w:p>
    <w:p w14:paraId="365936E0" w14:textId="77777777" w:rsidR="007461D2" w:rsidRPr="007461D2" w:rsidRDefault="007461D2" w:rsidP="007461D2">
      <w:pPr>
        <w:numPr>
          <w:ilvl w:val="0"/>
          <w:numId w:val="7"/>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i/>
          <w:iCs/>
          <w:color w:val="1E2124"/>
          <w:sz w:val="27"/>
          <w:szCs w:val="27"/>
          <w:lang w:eastAsia="en-IN"/>
        </w:rPr>
        <w:t>Data</w:t>
      </w:r>
      <w:r w:rsidRPr="007461D2">
        <w:rPr>
          <w:rFonts w:ascii="Segoe UI" w:eastAsia="Times New Roman" w:hAnsi="Segoe UI" w:cs="Segoe UI"/>
          <w:color w:val="1E2124"/>
          <w:sz w:val="27"/>
          <w:szCs w:val="27"/>
          <w:lang w:eastAsia="en-IN"/>
        </w:rPr>
        <w:t>, as </w:t>
      </w:r>
      <w:r w:rsidRPr="00AB2A18">
        <w:rPr>
          <w:rFonts w:ascii="Segoe UI" w:eastAsia="Times New Roman" w:hAnsi="Segoe UI" w:cs="Segoe UI"/>
          <w:sz w:val="27"/>
          <w:szCs w:val="27"/>
          <w:lang w:eastAsia="en-IN"/>
        </w:rPr>
        <w:t xml:space="preserve">objects and </w:t>
      </w:r>
      <w:proofErr w:type="gramStart"/>
      <w:r w:rsidRPr="00AB2A18">
        <w:rPr>
          <w:rFonts w:ascii="Segoe UI" w:eastAsia="Times New Roman" w:hAnsi="Segoe UI" w:cs="Segoe UI"/>
          <w:sz w:val="27"/>
          <w:szCs w:val="27"/>
          <w:lang w:eastAsia="en-IN"/>
        </w:rPr>
        <w:t>links</w:t>
      </w:r>
      <w:r w:rsidRPr="007461D2">
        <w:rPr>
          <w:rFonts w:ascii="Segoe UI" w:eastAsia="Times New Roman" w:hAnsi="Segoe UI" w:cs="Segoe UI"/>
          <w:color w:val="1E2124"/>
          <w:sz w:val="27"/>
          <w:szCs w:val="27"/>
          <w:lang w:eastAsia="en-IN"/>
        </w:rPr>
        <w:t>;</w:t>
      </w:r>
      <w:proofErr w:type="gramEnd"/>
    </w:p>
    <w:p w14:paraId="179B0FBC" w14:textId="77777777" w:rsidR="007461D2" w:rsidRPr="007461D2" w:rsidRDefault="007461D2" w:rsidP="007461D2">
      <w:pPr>
        <w:numPr>
          <w:ilvl w:val="0"/>
          <w:numId w:val="7"/>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i/>
          <w:iCs/>
          <w:color w:val="1E2124"/>
          <w:sz w:val="27"/>
          <w:szCs w:val="27"/>
          <w:lang w:eastAsia="en-IN"/>
        </w:rPr>
        <w:t>Logic</w:t>
      </w:r>
      <w:r w:rsidRPr="007461D2">
        <w:rPr>
          <w:rFonts w:ascii="Segoe UI" w:eastAsia="Times New Roman" w:hAnsi="Segoe UI" w:cs="Segoe UI"/>
          <w:color w:val="1E2124"/>
          <w:sz w:val="27"/>
          <w:szCs w:val="27"/>
          <w:lang w:eastAsia="en-IN"/>
        </w:rPr>
        <w:t>, as </w:t>
      </w:r>
      <w:r w:rsidRPr="00AB2A18">
        <w:rPr>
          <w:rFonts w:ascii="Segoe UI" w:eastAsia="Times New Roman" w:hAnsi="Segoe UI" w:cs="Segoe UI"/>
          <w:sz w:val="27"/>
          <w:szCs w:val="27"/>
          <w:lang w:eastAsia="en-IN"/>
        </w:rPr>
        <w:t>models</w:t>
      </w:r>
      <w:r w:rsidRPr="007461D2">
        <w:rPr>
          <w:rFonts w:ascii="Segoe UI" w:eastAsia="Times New Roman" w:hAnsi="Segoe UI" w:cs="Segoe UI"/>
          <w:color w:val="1E2124"/>
          <w:sz w:val="27"/>
          <w:szCs w:val="27"/>
          <w:lang w:eastAsia="en-IN"/>
        </w:rPr>
        <w:t> and </w:t>
      </w:r>
      <w:r w:rsidRPr="00AB2A18">
        <w:rPr>
          <w:rFonts w:ascii="Segoe UI" w:eastAsia="Times New Roman" w:hAnsi="Segoe UI" w:cs="Segoe UI"/>
          <w:sz w:val="27"/>
          <w:szCs w:val="27"/>
          <w:lang w:eastAsia="en-IN"/>
        </w:rPr>
        <w:t>functions</w:t>
      </w:r>
      <w:r w:rsidRPr="007461D2">
        <w:rPr>
          <w:rFonts w:ascii="Segoe UI" w:eastAsia="Times New Roman" w:hAnsi="Segoe UI" w:cs="Segoe UI"/>
          <w:color w:val="1E2124"/>
          <w:sz w:val="27"/>
          <w:szCs w:val="27"/>
          <w:lang w:eastAsia="en-IN"/>
        </w:rPr>
        <w:t>; and</w:t>
      </w:r>
    </w:p>
    <w:p w14:paraId="32B76967" w14:textId="77777777" w:rsidR="007461D2" w:rsidRPr="007461D2" w:rsidRDefault="007461D2" w:rsidP="007461D2">
      <w:pPr>
        <w:numPr>
          <w:ilvl w:val="0"/>
          <w:numId w:val="7"/>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i/>
          <w:iCs/>
          <w:color w:val="1E2124"/>
          <w:sz w:val="27"/>
          <w:szCs w:val="27"/>
          <w:lang w:eastAsia="en-IN"/>
        </w:rPr>
        <w:t>Actions</w:t>
      </w:r>
      <w:r w:rsidRPr="007461D2">
        <w:rPr>
          <w:rFonts w:ascii="Segoe UI" w:eastAsia="Times New Roman" w:hAnsi="Segoe UI" w:cs="Segoe UI"/>
          <w:color w:val="1E2124"/>
          <w:sz w:val="27"/>
          <w:szCs w:val="27"/>
          <w:lang w:eastAsia="en-IN"/>
        </w:rPr>
        <w:t>, as platform </w:t>
      </w:r>
      <w:r w:rsidRPr="00AB2A18">
        <w:rPr>
          <w:rFonts w:ascii="Segoe UI" w:eastAsia="Times New Roman" w:hAnsi="Segoe UI" w:cs="Segoe UI"/>
          <w:sz w:val="27"/>
          <w:szCs w:val="27"/>
          <w:lang w:eastAsia="en-IN"/>
        </w:rPr>
        <w:t>actions</w:t>
      </w:r>
      <w:r w:rsidRPr="007461D2">
        <w:rPr>
          <w:rFonts w:ascii="Segoe UI" w:eastAsia="Times New Roman" w:hAnsi="Segoe UI" w:cs="Segoe UI"/>
          <w:color w:val="1E2124"/>
          <w:sz w:val="27"/>
          <w:szCs w:val="27"/>
          <w:lang w:eastAsia="en-IN"/>
        </w:rPr>
        <w:t>.</w:t>
      </w:r>
    </w:p>
    <w:p w14:paraId="4153608C"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These building blocks of the Ontology make the real-world complexity of operations understandable to both operators and AI, unlocking the ability to build hybrid human-AI workflows. Additional capabilities include:</w:t>
      </w:r>
    </w:p>
    <w:p w14:paraId="36ABA351" w14:textId="77777777" w:rsidR="007461D2" w:rsidRPr="007461D2" w:rsidRDefault="007461D2" w:rsidP="007461D2">
      <w:pPr>
        <w:numPr>
          <w:ilvl w:val="0"/>
          <w:numId w:val="8"/>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Structured mechanisms for capturing data from end users back into the semantic foundation;</w:t>
      </w:r>
    </w:p>
    <w:p w14:paraId="71A526B3" w14:textId="77777777" w:rsidR="007461D2" w:rsidRPr="007461D2" w:rsidRDefault="007461D2" w:rsidP="007461D2">
      <w:pPr>
        <w:numPr>
          <w:ilvl w:val="0"/>
          <w:numId w:val="8"/>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lastRenderedPageBreak/>
        <w:t>Out-of-the-box applications for exploring the Ontology in structured, unstructured, geospatial, temporal, simulated, and other paradigms; and</w:t>
      </w:r>
    </w:p>
    <w:p w14:paraId="67CA9DC8" w14:textId="77777777" w:rsidR="007461D2" w:rsidRPr="007461D2" w:rsidRDefault="007461D2" w:rsidP="007461D2">
      <w:pPr>
        <w:numPr>
          <w:ilvl w:val="0"/>
          <w:numId w:val="8"/>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 Ontology Software Developer Kit (OSDK) for leveraging the Ontology as an “operational bus” throughout all parts of the enterprise.</w:t>
      </w:r>
    </w:p>
    <w:p w14:paraId="6313EC21"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Use case development</w:t>
      </w:r>
    </w:p>
    <w:p w14:paraId="0E568C1A"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Palantir's application development framework enables enterprises to build operational workflows and develop use cases that leverage user actions, alerting, and other end-user frontline functions in collaboration with tool-wielding, data-aware AIP Agents.</w:t>
      </w:r>
    </w:p>
    <w:p w14:paraId="29497A51"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Use case development capabilities include:</w:t>
      </w:r>
    </w:p>
    <w:p w14:paraId="02E64A19" w14:textId="77777777" w:rsidR="007461D2" w:rsidRPr="007461D2" w:rsidRDefault="007461D2" w:rsidP="007461D2">
      <w:pPr>
        <w:numPr>
          <w:ilvl w:val="0"/>
          <w:numId w:val="10"/>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Integration with AIP Logic for building custom workflow agents;</w:t>
      </w:r>
    </w:p>
    <w:p w14:paraId="57B55E4C" w14:textId="77777777" w:rsidR="007461D2" w:rsidRPr="007461D2" w:rsidRDefault="007461D2" w:rsidP="007461D2">
      <w:pPr>
        <w:numPr>
          <w:ilvl w:val="0"/>
          <w:numId w:val="10"/>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AI-assisted, low-code / no-code application building that automates security enforcement and the management of underlying storage and compute as well as data and model bindings;</w:t>
      </w:r>
    </w:p>
    <w:p w14:paraId="63EF72CF" w14:textId="77777777" w:rsidR="007461D2" w:rsidRPr="007461D2" w:rsidRDefault="007461D2" w:rsidP="007461D2">
      <w:pPr>
        <w:numPr>
          <w:ilvl w:val="0"/>
          <w:numId w:val="10"/>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An application development framework with live preview; and</w:t>
      </w:r>
    </w:p>
    <w:p w14:paraId="741460F0" w14:textId="77777777" w:rsidR="007461D2" w:rsidRPr="007461D2" w:rsidRDefault="007461D2" w:rsidP="007461D2">
      <w:pPr>
        <w:numPr>
          <w:ilvl w:val="0"/>
          <w:numId w:val="10"/>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APIs, webhooks, and other interfaces that allow for full-spectrum integration with the enterprise.</w:t>
      </w:r>
    </w:p>
    <w:p w14:paraId="4CD7CD0D"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Analytics</w:t>
      </w:r>
    </w:p>
    <w:p w14:paraId="0DE23AED"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 platform provides analytical capabilities for every type of user, whether they can code or not. Capabilities include both point-and-click and code-based tools that enable table-based analysis, top-down visual analysis, geospatial analysis, time series analysis, scenario simulation, and more.</w:t>
      </w:r>
    </w:p>
    <w:p w14:paraId="3AFB4959"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Palantir's Analytics suite goes beyond conventional “read-only” paradigms to write data back into the Ontology, producing valuable new insights within unified security, lineage, and governance models.</w:t>
      </w:r>
    </w:p>
    <w:p w14:paraId="5539BE76"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 xml:space="preserve">The platform also interoperates with common </w:t>
      </w:r>
      <w:proofErr w:type="spellStart"/>
      <w:r w:rsidRPr="007461D2">
        <w:rPr>
          <w:rFonts w:ascii="Segoe UI" w:eastAsia="Times New Roman" w:hAnsi="Segoe UI" w:cs="Segoe UI"/>
          <w:color w:val="1E2124"/>
          <w:sz w:val="27"/>
          <w:szCs w:val="27"/>
          <w:lang w:eastAsia="en-IN"/>
        </w:rPr>
        <w:t>modeling</w:t>
      </w:r>
      <w:proofErr w:type="spellEnd"/>
      <w:r w:rsidRPr="007461D2">
        <w:rPr>
          <w:rFonts w:ascii="Segoe UI" w:eastAsia="Times New Roman" w:hAnsi="Segoe UI" w:cs="Segoe UI"/>
          <w:color w:val="1E2124"/>
          <w:sz w:val="27"/>
          <w:szCs w:val="27"/>
          <w:lang w:eastAsia="en-IN"/>
        </w:rPr>
        <w:t xml:space="preserve"> environments (supporting native usage of </w:t>
      </w:r>
      <w:proofErr w:type="spellStart"/>
      <w:r w:rsidRPr="007461D2">
        <w:rPr>
          <w:rFonts w:ascii="Segoe UI" w:eastAsia="Times New Roman" w:hAnsi="Segoe UI" w:cs="Segoe UI"/>
          <w:color w:val="1E2124"/>
          <w:sz w:val="27"/>
          <w:szCs w:val="27"/>
          <w:lang w:eastAsia="en-IN"/>
        </w:rPr>
        <w:t>JupyterLab</w:t>
      </w:r>
      <w:proofErr w:type="spellEnd"/>
      <w:r w:rsidRPr="007461D2">
        <w:rPr>
          <w:rFonts w:ascii="Segoe UI" w:eastAsia="Times New Roman" w:hAnsi="Segoe UI" w:cs="Segoe UI"/>
          <w:color w:val="1E2124"/>
          <w:sz w:val="27"/>
          <w:szCs w:val="27"/>
          <w:lang w:eastAsia="en-IN"/>
        </w:rPr>
        <w:t>® and RStudio® Workbench with </w:t>
      </w:r>
      <w:r w:rsidRPr="008C5B20">
        <w:rPr>
          <w:rFonts w:ascii="Segoe UI" w:eastAsia="Times New Roman" w:hAnsi="Segoe UI" w:cs="Segoe UI"/>
          <w:sz w:val="27"/>
          <w:szCs w:val="27"/>
          <w:lang w:eastAsia="en-IN"/>
        </w:rPr>
        <w:t>Code Workspaces</w:t>
      </w:r>
      <w:r w:rsidRPr="007461D2">
        <w:rPr>
          <w:rFonts w:ascii="Segoe UI" w:eastAsia="Times New Roman" w:hAnsi="Segoe UI" w:cs="Segoe UI"/>
          <w:color w:val="1E2124"/>
          <w:sz w:val="27"/>
          <w:szCs w:val="27"/>
          <w:lang w:eastAsia="en-IN"/>
        </w:rPr>
        <w:t>) and business intelligence platforms (including </w:t>
      </w:r>
      <w:r w:rsidRPr="008C5B20">
        <w:rPr>
          <w:rFonts w:ascii="Segoe UI" w:eastAsia="Times New Roman" w:hAnsi="Segoe UI" w:cs="Segoe UI"/>
          <w:sz w:val="27"/>
          <w:szCs w:val="27"/>
          <w:lang w:eastAsia="en-IN"/>
        </w:rPr>
        <w:t>dedicated connectors</w:t>
      </w:r>
      <w:r w:rsidRPr="007461D2">
        <w:rPr>
          <w:rFonts w:ascii="Segoe UI" w:eastAsia="Times New Roman" w:hAnsi="Segoe UI" w:cs="Segoe UI"/>
          <w:color w:val="1E2124"/>
          <w:sz w:val="27"/>
          <w:szCs w:val="27"/>
          <w:lang w:eastAsia="en-IN"/>
        </w:rPr>
        <w:t xml:space="preserve"> for Tableau® and </w:t>
      </w:r>
      <w:proofErr w:type="spellStart"/>
      <w:r w:rsidRPr="007461D2">
        <w:rPr>
          <w:rFonts w:ascii="Segoe UI" w:eastAsia="Times New Roman" w:hAnsi="Segoe UI" w:cs="Segoe UI"/>
          <w:color w:val="1E2124"/>
          <w:sz w:val="27"/>
          <w:szCs w:val="27"/>
          <w:lang w:eastAsia="en-IN"/>
        </w:rPr>
        <w:t>PowerBI</w:t>
      </w:r>
      <w:proofErr w:type="spellEnd"/>
      <w:r w:rsidRPr="007461D2">
        <w:rPr>
          <w:rFonts w:ascii="Segoe UI" w:eastAsia="Times New Roman" w:hAnsi="Segoe UI" w:cs="Segoe UI"/>
          <w:color w:val="1E2124"/>
          <w:sz w:val="27"/>
          <w:szCs w:val="27"/>
          <w:lang w:eastAsia="en-IN"/>
        </w:rPr>
        <w:t>®).</w:t>
      </w:r>
    </w:p>
    <w:p w14:paraId="234C9A9F"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lastRenderedPageBreak/>
        <w:t>Product delivery</w:t>
      </w:r>
    </w:p>
    <w:p w14:paraId="4CD492DD" w14:textId="77777777" w:rsidR="007461D2" w:rsidRPr="007461D2" w:rsidRDefault="007461D2" w:rsidP="007461D2">
      <w:pPr>
        <w:shd w:val="clear" w:color="auto" w:fill="FFFFFF"/>
        <w:spacing w:after="0"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Beta</w:t>
      </w:r>
    </w:p>
    <w:p w14:paraId="1212FE9B" w14:textId="3DBFDB62" w:rsidR="007461D2" w:rsidRPr="007461D2" w:rsidRDefault="007461D2" w:rsidP="007461D2">
      <w:pPr>
        <w:shd w:val="clear" w:color="auto" w:fill="FFFFFF"/>
        <w:spacing w:after="0"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Foundry DevOps is in the </w:t>
      </w:r>
      <w:r w:rsidRPr="008C5B20">
        <w:rPr>
          <w:rFonts w:ascii="Segoe UI" w:eastAsia="Times New Roman" w:hAnsi="Segoe UI" w:cs="Segoe UI"/>
          <w:sz w:val="27"/>
          <w:szCs w:val="27"/>
          <w:lang w:eastAsia="en-IN"/>
        </w:rPr>
        <w:t>beta</w:t>
      </w:r>
      <w:r w:rsidRPr="007461D2">
        <w:rPr>
          <w:rFonts w:ascii="Segoe UI" w:eastAsia="Times New Roman" w:hAnsi="Segoe UI" w:cs="Segoe UI"/>
          <w:color w:val="1E2124"/>
          <w:sz w:val="27"/>
          <w:szCs w:val="27"/>
          <w:lang w:eastAsia="en-IN"/>
        </w:rPr>
        <w:t xml:space="preserve"> phase of development and may not be available on your </w:t>
      </w:r>
      <w:proofErr w:type="spellStart"/>
      <w:r w:rsidRPr="007461D2">
        <w:rPr>
          <w:rFonts w:ascii="Segoe UI" w:eastAsia="Times New Roman" w:hAnsi="Segoe UI" w:cs="Segoe UI"/>
          <w:color w:val="1E2124"/>
          <w:sz w:val="27"/>
          <w:szCs w:val="27"/>
          <w:lang w:eastAsia="en-IN"/>
        </w:rPr>
        <w:t>enrollment</w:t>
      </w:r>
      <w:proofErr w:type="spellEnd"/>
      <w:r w:rsidRPr="007461D2">
        <w:rPr>
          <w:rFonts w:ascii="Segoe UI" w:eastAsia="Times New Roman" w:hAnsi="Segoe UI" w:cs="Segoe UI"/>
          <w:color w:val="1E2124"/>
          <w:sz w:val="27"/>
          <w:szCs w:val="27"/>
          <w:lang w:eastAsia="en-IN"/>
        </w:rPr>
        <w:t>. Functionality may change during active development</w:t>
      </w:r>
      <w:r w:rsidR="008C5B20">
        <w:rPr>
          <w:rFonts w:ascii="Segoe UI" w:eastAsia="Times New Roman" w:hAnsi="Segoe UI" w:cs="Segoe UI"/>
          <w:color w:val="1E2124"/>
          <w:sz w:val="27"/>
          <w:szCs w:val="27"/>
          <w:lang w:eastAsia="en-IN"/>
        </w:rPr>
        <w:t>.</w:t>
      </w:r>
    </w:p>
    <w:p w14:paraId="7DBE3D5F"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 Palantir platform provides DevOps tooling to package, deploy, and maintain data products built in the platform. These product delivery capabilities include a packaging interface to create "products" consisting of collections of platform resources (pipelines, Ontologies, applications, models, etc.); a Marketplace storefront for product discovery and installation; and the ability to manage product installations with automatic upgrades, maintenance windows, and more.</w:t>
      </w:r>
    </w:p>
    <w:p w14:paraId="06456724"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Security &amp; governance</w:t>
      </w:r>
    </w:p>
    <w:p w14:paraId="2F928CD9"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The Palantir platform features a comprehensive, best-in-class security model that propagates across the entire platform and, by default, remains with information wherever it travels. Capabilities include:</w:t>
      </w:r>
    </w:p>
    <w:p w14:paraId="24322039" w14:textId="77777777" w:rsidR="007461D2" w:rsidRPr="007461D2" w:rsidRDefault="007461D2" w:rsidP="007461D2">
      <w:pPr>
        <w:numPr>
          <w:ilvl w:val="0"/>
          <w:numId w:val="1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8C5B20">
        <w:rPr>
          <w:rFonts w:ascii="Segoe UI" w:eastAsia="Times New Roman" w:hAnsi="Segoe UI" w:cs="Segoe UI"/>
          <w:sz w:val="27"/>
          <w:szCs w:val="27"/>
          <w:lang w:eastAsia="en-IN"/>
        </w:rPr>
        <w:t>Encryption of all data</w:t>
      </w:r>
      <w:r w:rsidRPr="007461D2">
        <w:rPr>
          <w:rFonts w:ascii="Segoe UI" w:eastAsia="Times New Roman" w:hAnsi="Segoe UI" w:cs="Segoe UI"/>
          <w:color w:val="1E2124"/>
          <w:sz w:val="27"/>
          <w:szCs w:val="27"/>
          <w:lang w:eastAsia="en-IN"/>
        </w:rPr>
        <w:t xml:space="preserve">, both in transit and at </w:t>
      </w:r>
      <w:proofErr w:type="gramStart"/>
      <w:r w:rsidRPr="007461D2">
        <w:rPr>
          <w:rFonts w:ascii="Segoe UI" w:eastAsia="Times New Roman" w:hAnsi="Segoe UI" w:cs="Segoe UI"/>
          <w:color w:val="1E2124"/>
          <w:sz w:val="27"/>
          <w:szCs w:val="27"/>
          <w:lang w:eastAsia="en-IN"/>
        </w:rPr>
        <w:t>rest;</w:t>
      </w:r>
      <w:proofErr w:type="gramEnd"/>
    </w:p>
    <w:p w14:paraId="320AF7CF" w14:textId="77777777" w:rsidR="007461D2" w:rsidRPr="007461D2" w:rsidRDefault="007461D2" w:rsidP="007461D2">
      <w:pPr>
        <w:numPr>
          <w:ilvl w:val="0"/>
          <w:numId w:val="1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Authentication and identity protection controls;</w:t>
      </w:r>
    </w:p>
    <w:p w14:paraId="69D19684" w14:textId="77777777" w:rsidR="007461D2" w:rsidRPr="007461D2" w:rsidRDefault="007461D2" w:rsidP="007461D2">
      <w:pPr>
        <w:numPr>
          <w:ilvl w:val="0"/>
          <w:numId w:val="1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Authorization controls that can blend role-, marking-, and purpose-driven paradigms;</w:t>
      </w:r>
    </w:p>
    <w:p w14:paraId="28882962" w14:textId="77777777" w:rsidR="007461D2" w:rsidRPr="007461D2" w:rsidRDefault="007461D2" w:rsidP="007461D2">
      <w:pPr>
        <w:numPr>
          <w:ilvl w:val="0"/>
          <w:numId w:val="1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Robust security </w:t>
      </w:r>
      <w:r w:rsidRPr="008C5B20">
        <w:rPr>
          <w:rFonts w:ascii="Segoe UI" w:eastAsia="Times New Roman" w:hAnsi="Segoe UI" w:cs="Segoe UI"/>
          <w:sz w:val="27"/>
          <w:szCs w:val="27"/>
          <w:lang w:eastAsia="en-IN"/>
        </w:rPr>
        <w:t>audit logging</w:t>
      </w:r>
      <w:r w:rsidRPr="007461D2">
        <w:rPr>
          <w:rFonts w:ascii="Segoe UI" w:eastAsia="Times New Roman" w:hAnsi="Segoe UI" w:cs="Segoe UI"/>
          <w:color w:val="1E2124"/>
          <w:sz w:val="27"/>
          <w:szCs w:val="27"/>
          <w:lang w:eastAsia="en-IN"/>
        </w:rPr>
        <w:t>; and</w:t>
      </w:r>
    </w:p>
    <w:p w14:paraId="0AA86FDE" w14:textId="77777777" w:rsidR="007461D2" w:rsidRPr="007461D2" w:rsidRDefault="007461D2" w:rsidP="007461D2">
      <w:pPr>
        <w:numPr>
          <w:ilvl w:val="0"/>
          <w:numId w:val="14"/>
        </w:num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Highly extensible information governance, management, and </w:t>
      </w:r>
      <w:r w:rsidRPr="008C5B20">
        <w:rPr>
          <w:rFonts w:ascii="Segoe UI" w:eastAsia="Times New Roman" w:hAnsi="Segoe UI" w:cs="Segoe UI"/>
          <w:sz w:val="27"/>
          <w:szCs w:val="27"/>
          <w:lang w:eastAsia="en-IN"/>
        </w:rPr>
        <w:t>privacy controls</w:t>
      </w:r>
      <w:r w:rsidRPr="007461D2">
        <w:rPr>
          <w:rFonts w:ascii="Segoe UI" w:eastAsia="Times New Roman" w:hAnsi="Segoe UI" w:cs="Segoe UI"/>
          <w:color w:val="1E2124"/>
          <w:sz w:val="27"/>
          <w:szCs w:val="27"/>
          <w:lang w:eastAsia="en-IN"/>
        </w:rPr>
        <w:t>.</w:t>
      </w:r>
    </w:p>
    <w:p w14:paraId="7AD85443" w14:textId="77777777" w:rsidR="007461D2" w:rsidRPr="007461D2" w:rsidRDefault="007461D2" w:rsidP="007461D2">
      <w:pPr>
        <w:shd w:val="clear" w:color="auto" w:fill="FFFFFF"/>
        <w:spacing w:before="100" w:beforeAutospacing="1" w:after="100" w:afterAutospacing="1" w:line="240" w:lineRule="auto"/>
        <w:outlineLvl w:val="2"/>
        <w:rPr>
          <w:rFonts w:ascii="Segoe UI" w:eastAsia="Times New Roman" w:hAnsi="Segoe UI" w:cs="Segoe UI"/>
          <w:b/>
          <w:bCs/>
          <w:color w:val="1E2124"/>
          <w:sz w:val="27"/>
          <w:szCs w:val="27"/>
          <w:lang w:eastAsia="en-IN"/>
        </w:rPr>
      </w:pPr>
      <w:r w:rsidRPr="007461D2">
        <w:rPr>
          <w:rFonts w:ascii="Segoe UI" w:eastAsia="Times New Roman" w:hAnsi="Segoe UI" w:cs="Segoe UI"/>
          <w:b/>
          <w:bCs/>
          <w:color w:val="1E2124"/>
          <w:sz w:val="27"/>
          <w:szCs w:val="27"/>
          <w:lang w:eastAsia="en-IN"/>
        </w:rPr>
        <w:t>Management &amp; enablement</w:t>
      </w:r>
    </w:p>
    <w:p w14:paraId="58258C85" w14:textId="77777777"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Platform administrators have access to a robust set of tools for managing the Palantir platform. The core applications for platform management are:</w:t>
      </w:r>
    </w:p>
    <w:p w14:paraId="338C9FA9" w14:textId="0D3EA1A2" w:rsidR="007461D2" w:rsidRPr="005027EC" w:rsidRDefault="007461D2" w:rsidP="007461D2">
      <w:pPr>
        <w:numPr>
          <w:ilvl w:val="0"/>
          <w:numId w:val="16"/>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5027EC">
        <w:rPr>
          <w:rFonts w:ascii="Segoe UI" w:eastAsia="Times New Roman" w:hAnsi="Segoe UI" w:cs="Segoe UI"/>
          <w:sz w:val="27"/>
          <w:szCs w:val="27"/>
          <w:lang w:eastAsia="en-IN"/>
        </w:rPr>
        <w:t>Control Panel</w:t>
      </w:r>
    </w:p>
    <w:p w14:paraId="34D5EBF7" w14:textId="392046FF" w:rsidR="007461D2" w:rsidRPr="005027EC" w:rsidRDefault="007461D2" w:rsidP="007461D2">
      <w:pPr>
        <w:numPr>
          <w:ilvl w:val="0"/>
          <w:numId w:val="16"/>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5027EC">
        <w:rPr>
          <w:rFonts w:ascii="Segoe UI" w:eastAsia="Times New Roman" w:hAnsi="Segoe UI" w:cs="Segoe UI"/>
          <w:sz w:val="27"/>
          <w:szCs w:val="27"/>
          <w:lang w:eastAsia="en-IN"/>
        </w:rPr>
        <w:t>Resource Management</w:t>
      </w:r>
    </w:p>
    <w:p w14:paraId="0DCA26D8" w14:textId="76987C71" w:rsidR="007461D2" w:rsidRPr="005027EC" w:rsidRDefault="007461D2" w:rsidP="007461D2">
      <w:pPr>
        <w:numPr>
          <w:ilvl w:val="0"/>
          <w:numId w:val="16"/>
        </w:numPr>
        <w:shd w:val="clear" w:color="auto" w:fill="FFFFFF"/>
        <w:spacing w:before="100" w:beforeAutospacing="1" w:after="100" w:afterAutospacing="1" w:line="240" w:lineRule="auto"/>
        <w:rPr>
          <w:rFonts w:ascii="Segoe UI" w:eastAsia="Times New Roman" w:hAnsi="Segoe UI" w:cs="Segoe UI"/>
          <w:sz w:val="27"/>
          <w:szCs w:val="27"/>
          <w:lang w:eastAsia="en-IN"/>
        </w:rPr>
      </w:pPr>
      <w:r w:rsidRPr="005027EC">
        <w:rPr>
          <w:rFonts w:ascii="Segoe UI" w:eastAsia="Times New Roman" w:hAnsi="Segoe UI" w:cs="Segoe UI"/>
          <w:sz w:val="27"/>
          <w:szCs w:val="27"/>
          <w:lang w:eastAsia="en-IN"/>
        </w:rPr>
        <w:t>Upgrade Assistant</w:t>
      </w:r>
    </w:p>
    <w:p w14:paraId="1F40E438" w14:textId="0F68B5CC" w:rsidR="007461D2" w:rsidRPr="007461D2" w:rsidRDefault="007461D2" w:rsidP="007461D2">
      <w:pPr>
        <w:shd w:val="clear" w:color="auto" w:fill="FFFFFF"/>
        <w:spacing w:before="100" w:beforeAutospacing="1" w:after="100" w:afterAutospacing="1" w:line="240" w:lineRule="auto"/>
        <w:rPr>
          <w:rFonts w:ascii="Segoe UI" w:eastAsia="Times New Roman" w:hAnsi="Segoe UI" w:cs="Segoe UI"/>
          <w:color w:val="1E2124"/>
          <w:sz w:val="27"/>
          <w:szCs w:val="27"/>
          <w:lang w:eastAsia="en-IN"/>
        </w:rPr>
      </w:pPr>
      <w:r w:rsidRPr="007461D2">
        <w:rPr>
          <w:rFonts w:ascii="Segoe UI" w:eastAsia="Times New Roman" w:hAnsi="Segoe UI" w:cs="Segoe UI"/>
          <w:color w:val="1E2124"/>
          <w:sz w:val="27"/>
          <w:szCs w:val="27"/>
          <w:lang w:eastAsia="en-IN"/>
        </w:rPr>
        <w:t>Platform administrators and program managers also have access to resources to facilitate user enablement, such as </w:t>
      </w:r>
      <w:r w:rsidRPr="005027EC">
        <w:rPr>
          <w:rFonts w:ascii="Segoe UI" w:eastAsia="Times New Roman" w:hAnsi="Segoe UI" w:cs="Segoe UI"/>
          <w:sz w:val="27"/>
          <w:szCs w:val="27"/>
          <w:lang w:eastAsia="en-IN"/>
        </w:rPr>
        <w:t>AIP Assist</w:t>
      </w:r>
      <w:r w:rsidRPr="007461D2">
        <w:rPr>
          <w:rFonts w:ascii="Segoe UI" w:eastAsia="Times New Roman" w:hAnsi="Segoe UI" w:cs="Segoe UI"/>
          <w:color w:val="1E2124"/>
          <w:sz w:val="27"/>
          <w:szCs w:val="27"/>
          <w:lang w:eastAsia="en-IN"/>
        </w:rPr>
        <w:t>.</w:t>
      </w:r>
    </w:p>
    <w:sectPr w:rsidR="007461D2" w:rsidRPr="00746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BBB"/>
    <w:multiLevelType w:val="multilevel"/>
    <w:tmpl w:val="2A1C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4162"/>
    <w:multiLevelType w:val="multilevel"/>
    <w:tmpl w:val="1D2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B2FDD"/>
    <w:multiLevelType w:val="multilevel"/>
    <w:tmpl w:val="F1E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D37B9"/>
    <w:multiLevelType w:val="multilevel"/>
    <w:tmpl w:val="F4CCC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A4663"/>
    <w:multiLevelType w:val="multilevel"/>
    <w:tmpl w:val="22FC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C0915"/>
    <w:multiLevelType w:val="multilevel"/>
    <w:tmpl w:val="20D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A2C5C"/>
    <w:multiLevelType w:val="multilevel"/>
    <w:tmpl w:val="0A1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32C65"/>
    <w:multiLevelType w:val="multilevel"/>
    <w:tmpl w:val="907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60D83"/>
    <w:multiLevelType w:val="multilevel"/>
    <w:tmpl w:val="176A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F6CEB"/>
    <w:multiLevelType w:val="multilevel"/>
    <w:tmpl w:val="88C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3564D"/>
    <w:multiLevelType w:val="multilevel"/>
    <w:tmpl w:val="43F6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007C6"/>
    <w:multiLevelType w:val="multilevel"/>
    <w:tmpl w:val="D17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71C87"/>
    <w:multiLevelType w:val="multilevel"/>
    <w:tmpl w:val="5E28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F32DF"/>
    <w:multiLevelType w:val="multilevel"/>
    <w:tmpl w:val="ACF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23443"/>
    <w:multiLevelType w:val="multilevel"/>
    <w:tmpl w:val="464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952E8"/>
    <w:multiLevelType w:val="multilevel"/>
    <w:tmpl w:val="B60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C13E2"/>
    <w:multiLevelType w:val="multilevel"/>
    <w:tmpl w:val="D3C4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B51B4"/>
    <w:multiLevelType w:val="multilevel"/>
    <w:tmpl w:val="7E18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755997">
    <w:abstractNumId w:val="0"/>
  </w:num>
  <w:num w:numId="2" w16cid:durableId="248467167">
    <w:abstractNumId w:val="5"/>
  </w:num>
  <w:num w:numId="3" w16cid:durableId="1958489749">
    <w:abstractNumId w:val="9"/>
  </w:num>
  <w:num w:numId="4" w16cid:durableId="545070348">
    <w:abstractNumId w:val="1"/>
  </w:num>
  <w:num w:numId="5" w16cid:durableId="1978803087">
    <w:abstractNumId w:val="7"/>
  </w:num>
  <w:num w:numId="6" w16cid:durableId="1460107475">
    <w:abstractNumId w:val="2"/>
  </w:num>
  <w:num w:numId="7" w16cid:durableId="1187139359">
    <w:abstractNumId w:val="4"/>
  </w:num>
  <w:num w:numId="8" w16cid:durableId="1688170347">
    <w:abstractNumId w:val="15"/>
  </w:num>
  <w:num w:numId="9" w16cid:durableId="2125532614">
    <w:abstractNumId w:val="8"/>
  </w:num>
  <w:num w:numId="10" w16cid:durableId="665325252">
    <w:abstractNumId w:val="6"/>
  </w:num>
  <w:num w:numId="11" w16cid:durableId="1564176459">
    <w:abstractNumId w:val="13"/>
  </w:num>
  <w:num w:numId="12" w16cid:durableId="2061244909">
    <w:abstractNumId w:val="17"/>
  </w:num>
  <w:num w:numId="13" w16cid:durableId="54476498">
    <w:abstractNumId w:val="12"/>
  </w:num>
  <w:num w:numId="14" w16cid:durableId="908151199">
    <w:abstractNumId w:val="14"/>
  </w:num>
  <w:num w:numId="15" w16cid:durableId="1820147523">
    <w:abstractNumId w:val="16"/>
  </w:num>
  <w:num w:numId="16" w16cid:durableId="1551847365">
    <w:abstractNumId w:val="11"/>
  </w:num>
  <w:num w:numId="17" w16cid:durableId="1938439336">
    <w:abstractNumId w:val="10"/>
  </w:num>
  <w:num w:numId="18" w16cid:durableId="679162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1D2"/>
    <w:rsid w:val="00080E30"/>
    <w:rsid w:val="00081C65"/>
    <w:rsid w:val="00141907"/>
    <w:rsid w:val="002859EE"/>
    <w:rsid w:val="002D2A45"/>
    <w:rsid w:val="002E2FD2"/>
    <w:rsid w:val="005027EC"/>
    <w:rsid w:val="00504CAA"/>
    <w:rsid w:val="00574078"/>
    <w:rsid w:val="006F10B8"/>
    <w:rsid w:val="0073426A"/>
    <w:rsid w:val="007461D2"/>
    <w:rsid w:val="00777674"/>
    <w:rsid w:val="008C5B20"/>
    <w:rsid w:val="00AB2A18"/>
    <w:rsid w:val="00C9762A"/>
    <w:rsid w:val="00D61A4A"/>
    <w:rsid w:val="00D8624E"/>
    <w:rsid w:val="00DF4A3B"/>
    <w:rsid w:val="00E62623"/>
    <w:rsid w:val="00F274AD"/>
    <w:rsid w:val="00F7181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A8DD6"/>
  <w15:chartTrackingRefBased/>
  <w15:docId w15:val="{3D71A7AC-003A-4D00-AEC3-3B1578DA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1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461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461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461D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1D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61D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461D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461D2"/>
    <w:rPr>
      <w:rFonts w:ascii="Times New Roman" w:eastAsia="Times New Roman" w:hAnsi="Times New Roman" w:cs="Times New Roman"/>
      <w:b/>
      <w:bCs/>
      <w:sz w:val="24"/>
      <w:szCs w:val="24"/>
      <w:lang w:eastAsia="en-IN"/>
    </w:rPr>
  </w:style>
  <w:style w:type="character" w:customStyle="1" w:styleId="ptcom-designcrumbqq0wfv">
    <w:name w:val="ptcom-design__crumb__qq0wfv"/>
    <w:basedOn w:val="DefaultParagraphFont"/>
    <w:rsid w:val="007461D2"/>
  </w:style>
  <w:style w:type="character" w:styleId="Hyperlink">
    <w:name w:val="Hyperlink"/>
    <w:basedOn w:val="DefaultParagraphFont"/>
    <w:uiPriority w:val="99"/>
    <w:semiHidden/>
    <w:unhideWhenUsed/>
    <w:rsid w:val="007461D2"/>
    <w:rPr>
      <w:color w:val="0000FF"/>
      <w:u w:val="single"/>
    </w:rPr>
  </w:style>
  <w:style w:type="paragraph" w:styleId="NormalWeb">
    <w:name w:val="Normal (Web)"/>
    <w:basedOn w:val="Normal"/>
    <w:uiPriority w:val="99"/>
    <w:semiHidden/>
    <w:unhideWhenUsed/>
    <w:rsid w:val="007461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461D2"/>
    <w:rPr>
      <w:i/>
      <w:iCs/>
    </w:rPr>
  </w:style>
  <w:style w:type="character" w:styleId="Strong">
    <w:name w:val="Strong"/>
    <w:basedOn w:val="DefaultParagraphFont"/>
    <w:uiPriority w:val="22"/>
    <w:qFormat/>
    <w:rsid w:val="007461D2"/>
    <w:rPr>
      <w:b/>
      <w:bCs/>
    </w:rPr>
  </w:style>
  <w:style w:type="character" w:customStyle="1" w:styleId="ptcom-designneighbours-link-hint11r5f1e">
    <w:name w:val="ptcom-design__neighbours-link-hint__11r5f1e"/>
    <w:basedOn w:val="DefaultParagraphFont"/>
    <w:rsid w:val="007461D2"/>
  </w:style>
  <w:style w:type="character" w:customStyle="1" w:styleId="ptcom-designneighbours-link-title11r5f1e">
    <w:name w:val="ptcom-design__neighbours-link-title__11r5f1e"/>
    <w:basedOn w:val="DefaultParagraphFont"/>
    <w:rsid w:val="007461D2"/>
  </w:style>
  <w:style w:type="character" w:customStyle="1" w:styleId="ptcom-designneighbours-link-arrow11r5f1e">
    <w:name w:val="ptcom-design__neighbours-link-arrow__11r5f1e"/>
    <w:basedOn w:val="DefaultParagraphFont"/>
    <w:rsid w:val="00746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276381">
      <w:bodyDiv w:val="1"/>
      <w:marLeft w:val="0"/>
      <w:marRight w:val="0"/>
      <w:marTop w:val="0"/>
      <w:marBottom w:val="0"/>
      <w:divBdr>
        <w:top w:val="none" w:sz="0" w:space="0" w:color="auto"/>
        <w:left w:val="none" w:sz="0" w:space="0" w:color="auto"/>
        <w:bottom w:val="none" w:sz="0" w:space="0" w:color="auto"/>
        <w:right w:val="none" w:sz="0" w:space="0" w:color="auto"/>
      </w:divBdr>
      <w:divsChild>
        <w:div w:id="257521822">
          <w:marLeft w:val="0"/>
          <w:marRight w:val="0"/>
          <w:marTop w:val="0"/>
          <w:marBottom w:val="0"/>
          <w:divBdr>
            <w:top w:val="none" w:sz="0" w:space="0" w:color="auto"/>
            <w:left w:val="none" w:sz="0" w:space="0" w:color="auto"/>
            <w:bottom w:val="none" w:sz="0" w:space="0" w:color="auto"/>
            <w:right w:val="none" w:sz="0" w:space="0" w:color="auto"/>
          </w:divBdr>
          <w:divsChild>
            <w:div w:id="582763752">
              <w:marLeft w:val="0"/>
              <w:marRight w:val="0"/>
              <w:marTop w:val="0"/>
              <w:marBottom w:val="0"/>
              <w:divBdr>
                <w:top w:val="none" w:sz="0" w:space="0" w:color="auto"/>
                <w:left w:val="none" w:sz="0" w:space="0" w:color="auto"/>
                <w:bottom w:val="none" w:sz="0" w:space="0" w:color="auto"/>
                <w:right w:val="none" w:sz="0" w:space="0" w:color="auto"/>
              </w:divBdr>
              <w:divsChild>
                <w:div w:id="439228017">
                  <w:marLeft w:val="0"/>
                  <w:marRight w:val="0"/>
                  <w:marTop w:val="0"/>
                  <w:marBottom w:val="0"/>
                  <w:divBdr>
                    <w:top w:val="none" w:sz="0" w:space="0" w:color="auto"/>
                    <w:left w:val="none" w:sz="0" w:space="0" w:color="auto"/>
                    <w:bottom w:val="none" w:sz="0" w:space="0" w:color="auto"/>
                    <w:right w:val="none" w:sz="0" w:space="0" w:color="auto"/>
                  </w:divBdr>
                </w:div>
                <w:div w:id="742144640">
                  <w:marLeft w:val="0"/>
                  <w:marRight w:val="0"/>
                  <w:marTop w:val="0"/>
                  <w:marBottom w:val="0"/>
                  <w:divBdr>
                    <w:top w:val="none" w:sz="0" w:space="0" w:color="auto"/>
                    <w:left w:val="none" w:sz="0" w:space="0" w:color="auto"/>
                    <w:bottom w:val="none" w:sz="0" w:space="0" w:color="auto"/>
                    <w:right w:val="none" w:sz="0" w:space="0" w:color="auto"/>
                  </w:divBdr>
                  <w:divsChild>
                    <w:div w:id="1092580218">
                      <w:marLeft w:val="0"/>
                      <w:marRight w:val="0"/>
                      <w:marTop w:val="0"/>
                      <w:marBottom w:val="0"/>
                      <w:divBdr>
                        <w:top w:val="none" w:sz="0" w:space="0" w:color="auto"/>
                        <w:left w:val="none" w:sz="0" w:space="0" w:color="auto"/>
                        <w:bottom w:val="none" w:sz="0" w:space="0" w:color="auto"/>
                        <w:right w:val="none" w:sz="0" w:space="0" w:color="auto"/>
                      </w:divBdr>
                      <w:divsChild>
                        <w:div w:id="999843918">
                          <w:marLeft w:val="0"/>
                          <w:marRight w:val="0"/>
                          <w:marTop w:val="0"/>
                          <w:marBottom w:val="0"/>
                          <w:divBdr>
                            <w:top w:val="single" w:sz="6" w:space="0" w:color="2B5945"/>
                            <w:left w:val="single" w:sz="6" w:space="0" w:color="2B5945"/>
                            <w:bottom w:val="single" w:sz="6" w:space="0" w:color="2B5945"/>
                            <w:right w:val="single" w:sz="6" w:space="0" w:color="2B5945"/>
                          </w:divBdr>
                          <w:divsChild>
                            <w:div w:id="1350258401">
                              <w:marLeft w:val="0"/>
                              <w:marRight w:val="0"/>
                              <w:marTop w:val="0"/>
                              <w:marBottom w:val="0"/>
                              <w:divBdr>
                                <w:top w:val="none" w:sz="0" w:space="0" w:color="auto"/>
                                <w:left w:val="none" w:sz="0" w:space="0" w:color="auto"/>
                                <w:bottom w:val="none" w:sz="0" w:space="0" w:color="auto"/>
                                <w:right w:val="none" w:sz="0" w:space="0" w:color="auto"/>
                              </w:divBdr>
                            </w:div>
                          </w:divsChild>
                        </w:div>
                        <w:div w:id="1614752506">
                          <w:marLeft w:val="0"/>
                          <w:marRight w:val="0"/>
                          <w:marTop w:val="0"/>
                          <w:marBottom w:val="0"/>
                          <w:divBdr>
                            <w:top w:val="single" w:sz="6" w:space="0" w:color="2B5945"/>
                            <w:left w:val="single" w:sz="6" w:space="0" w:color="2B5945"/>
                            <w:bottom w:val="single" w:sz="6" w:space="0" w:color="2B5945"/>
                            <w:right w:val="single" w:sz="6" w:space="0" w:color="2B5945"/>
                          </w:divBdr>
                          <w:divsChild>
                            <w:div w:id="1524897708">
                              <w:marLeft w:val="0"/>
                              <w:marRight w:val="0"/>
                              <w:marTop w:val="0"/>
                              <w:marBottom w:val="0"/>
                              <w:divBdr>
                                <w:top w:val="none" w:sz="0" w:space="0" w:color="auto"/>
                                <w:left w:val="none" w:sz="0" w:space="0" w:color="auto"/>
                                <w:bottom w:val="none" w:sz="0" w:space="0" w:color="auto"/>
                                <w:right w:val="none" w:sz="0" w:space="0" w:color="auto"/>
                              </w:divBdr>
                            </w:div>
                          </w:divsChild>
                        </w:div>
                        <w:div w:id="1725712086">
                          <w:marLeft w:val="0"/>
                          <w:marRight w:val="0"/>
                          <w:marTop w:val="0"/>
                          <w:marBottom w:val="0"/>
                          <w:divBdr>
                            <w:top w:val="single" w:sz="6" w:space="0" w:color="2B5945"/>
                            <w:left w:val="single" w:sz="6" w:space="0" w:color="2B5945"/>
                            <w:bottom w:val="single" w:sz="6" w:space="0" w:color="2B5945"/>
                            <w:right w:val="single" w:sz="6" w:space="0" w:color="2B5945"/>
                          </w:divBdr>
                          <w:divsChild>
                            <w:div w:id="1500925651">
                              <w:marLeft w:val="0"/>
                              <w:marRight w:val="0"/>
                              <w:marTop w:val="0"/>
                              <w:marBottom w:val="0"/>
                              <w:divBdr>
                                <w:top w:val="none" w:sz="0" w:space="0" w:color="auto"/>
                                <w:left w:val="none" w:sz="0" w:space="0" w:color="auto"/>
                                <w:bottom w:val="none" w:sz="0" w:space="0" w:color="auto"/>
                                <w:right w:val="none" w:sz="0" w:space="0" w:color="auto"/>
                              </w:divBdr>
                            </w:div>
                          </w:divsChild>
                        </w:div>
                        <w:div w:id="1532374754">
                          <w:marLeft w:val="0"/>
                          <w:marRight w:val="0"/>
                          <w:marTop w:val="0"/>
                          <w:marBottom w:val="0"/>
                          <w:divBdr>
                            <w:top w:val="single" w:sz="6" w:space="0" w:color="2B5945"/>
                            <w:left w:val="single" w:sz="6" w:space="0" w:color="2B5945"/>
                            <w:bottom w:val="single" w:sz="6" w:space="0" w:color="2B5945"/>
                            <w:right w:val="single" w:sz="6" w:space="0" w:color="2B5945"/>
                          </w:divBdr>
                          <w:divsChild>
                            <w:div w:id="1000356452">
                              <w:marLeft w:val="0"/>
                              <w:marRight w:val="0"/>
                              <w:marTop w:val="0"/>
                              <w:marBottom w:val="0"/>
                              <w:divBdr>
                                <w:top w:val="none" w:sz="0" w:space="0" w:color="auto"/>
                                <w:left w:val="none" w:sz="0" w:space="0" w:color="auto"/>
                                <w:bottom w:val="none" w:sz="0" w:space="0" w:color="auto"/>
                                <w:right w:val="none" w:sz="0" w:space="0" w:color="auto"/>
                              </w:divBdr>
                            </w:div>
                          </w:divsChild>
                        </w:div>
                        <w:div w:id="840582355">
                          <w:marLeft w:val="0"/>
                          <w:marRight w:val="0"/>
                          <w:marTop w:val="0"/>
                          <w:marBottom w:val="0"/>
                          <w:divBdr>
                            <w:top w:val="single" w:sz="6" w:space="0" w:color="2B5945"/>
                            <w:left w:val="single" w:sz="6" w:space="0" w:color="2B5945"/>
                            <w:bottom w:val="single" w:sz="6" w:space="0" w:color="2B5945"/>
                            <w:right w:val="single" w:sz="6" w:space="0" w:color="2B5945"/>
                          </w:divBdr>
                          <w:divsChild>
                            <w:div w:id="725493051">
                              <w:marLeft w:val="0"/>
                              <w:marRight w:val="0"/>
                              <w:marTop w:val="0"/>
                              <w:marBottom w:val="0"/>
                              <w:divBdr>
                                <w:top w:val="none" w:sz="0" w:space="0" w:color="auto"/>
                                <w:left w:val="none" w:sz="0" w:space="0" w:color="auto"/>
                                <w:bottom w:val="none" w:sz="0" w:space="0" w:color="auto"/>
                                <w:right w:val="none" w:sz="0" w:space="0" w:color="auto"/>
                              </w:divBdr>
                            </w:div>
                          </w:divsChild>
                        </w:div>
                        <w:div w:id="1483305712">
                          <w:marLeft w:val="0"/>
                          <w:marRight w:val="0"/>
                          <w:marTop w:val="0"/>
                          <w:marBottom w:val="0"/>
                          <w:divBdr>
                            <w:top w:val="single" w:sz="6" w:space="0" w:color="2B5945"/>
                            <w:left w:val="single" w:sz="6" w:space="0" w:color="2B5945"/>
                            <w:bottom w:val="single" w:sz="6" w:space="0" w:color="2B5945"/>
                            <w:right w:val="single" w:sz="6" w:space="0" w:color="2B5945"/>
                          </w:divBdr>
                          <w:divsChild>
                            <w:div w:id="1748380578">
                              <w:marLeft w:val="0"/>
                              <w:marRight w:val="0"/>
                              <w:marTop w:val="0"/>
                              <w:marBottom w:val="0"/>
                              <w:divBdr>
                                <w:top w:val="none" w:sz="0" w:space="0" w:color="auto"/>
                                <w:left w:val="none" w:sz="0" w:space="0" w:color="auto"/>
                                <w:bottom w:val="none" w:sz="0" w:space="0" w:color="auto"/>
                                <w:right w:val="none" w:sz="0" w:space="0" w:color="auto"/>
                              </w:divBdr>
                            </w:div>
                          </w:divsChild>
                        </w:div>
                        <w:div w:id="1235774611">
                          <w:marLeft w:val="0"/>
                          <w:marRight w:val="0"/>
                          <w:marTop w:val="0"/>
                          <w:marBottom w:val="0"/>
                          <w:divBdr>
                            <w:top w:val="single" w:sz="6" w:space="0" w:color="CCAA11"/>
                            <w:left w:val="single" w:sz="6" w:space="0" w:color="CCAA11"/>
                            <w:bottom w:val="single" w:sz="6" w:space="0" w:color="CCAA11"/>
                            <w:right w:val="single" w:sz="6" w:space="0" w:color="CCAA11"/>
                          </w:divBdr>
                          <w:divsChild>
                            <w:div w:id="18707339">
                              <w:marLeft w:val="0"/>
                              <w:marRight w:val="0"/>
                              <w:marTop w:val="0"/>
                              <w:marBottom w:val="0"/>
                              <w:divBdr>
                                <w:top w:val="none" w:sz="0" w:space="0" w:color="auto"/>
                                <w:left w:val="none" w:sz="0" w:space="0" w:color="auto"/>
                                <w:bottom w:val="none" w:sz="0" w:space="0" w:color="auto"/>
                                <w:right w:val="none" w:sz="0" w:space="0" w:color="auto"/>
                              </w:divBdr>
                            </w:div>
                          </w:divsChild>
                        </w:div>
                        <w:div w:id="653602695">
                          <w:marLeft w:val="0"/>
                          <w:marRight w:val="0"/>
                          <w:marTop w:val="0"/>
                          <w:marBottom w:val="0"/>
                          <w:divBdr>
                            <w:top w:val="single" w:sz="6" w:space="0" w:color="2B5945"/>
                            <w:left w:val="single" w:sz="6" w:space="0" w:color="2B5945"/>
                            <w:bottom w:val="single" w:sz="6" w:space="0" w:color="2B5945"/>
                            <w:right w:val="single" w:sz="6" w:space="0" w:color="2B5945"/>
                          </w:divBdr>
                          <w:divsChild>
                            <w:div w:id="1775711882">
                              <w:marLeft w:val="0"/>
                              <w:marRight w:val="0"/>
                              <w:marTop w:val="0"/>
                              <w:marBottom w:val="0"/>
                              <w:divBdr>
                                <w:top w:val="none" w:sz="0" w:space="0" w:color="auto"/>
                                <w:left w:val="none" w:sz="0" w:space="0" w:color="auto"/>
                                <w:bottom w:val="none" w:sz="0" w:space="0" w:color="auto"/>
                                <w:right w:val="none" w:sz="0" w:space="0" w:color="auto"/>
                              </w:divBdr>
                            </w:div>
                          </w:divsChild>
                        </w:div>
                        <w:div w:id="1775445037">
                          <w:marLeft w:val="0"/>
                          <w:marRight w:val="0"/>
                          <w:marTop w:val="0"/>
                          <w:marBottom w:val="0"/>
                          <w:divBdr>
                            <w:top w:val="single" w:sz="6" w:space="0" w:color="2B5945"/>
                            <w:left w:val="single" w:sz="6" w:space="0" w:color="2B5945"/>
                            <w:bottom w:val="single" w:sz="6" w:space="0" w:color="2B5945"/>
                            <w:right w:val="single" w:sz="6" w:space="0" w:color="2B5945"/>
                          </w:divBdr>
                          <w:divsChild>
                            <w:div w:id="1758863302">
                              <w:marLeft w:val="0"/>
                              <w:marRight w:val="0"/>
                              <w:marTop w:val="0"/>
                              <w:marBottom w:val="0"/>
                              <w:divBdr>
                                <w:top w:val="none" w:sz="0" w:space="0" w:color="auto"/>
                                <w:left w:val="none" w:sz="0" w:space="0" w:color="auto"/>
                                <w:bottom w:val="none" w:sz="0" w:space="0" w:color="auto"/>
                                <w:right w:val="none" w:sz="0" w:space="0" w:color="auto"/>
                              </w:divBdr>
                            </w:div>
                          </w:divsChild>
                        </w:div>
                        <w:div w:id="1371566653">
                          <w:marLeft w:val="0"/>
                          <w:marRight w:val="0"/>
                          <w:marTop w:val="0"/>
                          <w:marBottom w:val="0"/>
                          <w:divBdr>
                            <w:top w:val="single" w:sz="6" w:space="0" w:color="2B5945"/>
                            <w:left w:val="single" w:sz="6" w:space="0" w:color="2B5945"/>
                            <w:bottom w:val="single" w:sz="6" w:space="0" w:color="2B5945"/>
                            <w:right w:val="single" w:sz="6" w:space="0" w:color="2B5945"/>
                          </w:divBdr>
                          <w:divsChild>
                            <w:div w:id="211000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27572">
                  <w:marLeft w:val="0"/>
                  <w:marRight w:val="0"/>
                  <w:marTop w:val="0"/>
                  <w:marBottom w:val="0"/>
                  <w:divBdr>
                    <w:top w:val="none" w:sz="0" w:space="0" w:color="auto"/>
                    <w:left w:val="none" w:sz="0" w:space="0" w:color="auto"/>
                    <w:bottom w:val="none" w:sz="0" w:space="0" w:color="auto"/>
                    <w:right w:val="none" w:sz="0" w:space="0" w:color="auto"/>
                  </w:divBdr>
                  <w:divsChild>
                    <w:div w:id="19175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479800">
          <w:marLeft w:val="0"/>
          <w:marRight w:val="0"/>
          <w:marTop w:val="0"/>
          <w:marBottom w:val="0"/>
          <w:divBdr>
            <w:top w:val="none" w:sz="0" w:space="0" w:color="auto"/>
            <w:left w:val="none" w:sz="0" w:space="0" w:color="auto"/>
            <w:bottom w:val="none" w:sz="0" w:space="0" w:color="auto"/>
            <w:right w:val="none" w:sz="0" w:space="0" w:color="auto"/>
          </w:divBdr>
        </w:div>
        <w:div w:id="8629425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2477</Words>
  <Characters>14122</Characters>
  <Application>Microsoft Office Word</Application>
  <DocSecurity>0</DocSecurity>
  <Lines>117</Lines>
  <Paragraphs>33</Paragraphs>
  <ScaleCrop>false</ScaleCrop>
  <Company/>
  <LinksUpToDate>false</LinksUpToDate>
  <CharactersWithSpaces>16566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Pashum rajessh</cp:lastModifiedBy>
  <cp:revision>21</cp:revision>
  <dcterms:created xsi:type="dcterms:W3CDTF">2025-03-21T08:36:00Z</dcterms:created>
  <dcterms:modified xsi:type="dcterms:W3CDTF">2025-04-05T05:07:00Z</dcterms:modified>
</cp:coreProperties>
</file>