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4DE8A" w14:textId="77777777" w:rsidR="00310BF6" w:rsidRPr="009361EA" w:rsidRDefault="007C3574">
      <w:pPr>
        <w:pStyle w:val="Ttulo1"/>
        <w:rPr>
          <w:lang w:val="en-US"/>
        </w:rPr>
      </w:pPr>
      <w:r w:rsidRPr="009361EA">
        <w:rPr>
          <w:lang w:val="en-US"/>
        </w:rPr>
        <w:t>Exergy</w:t>
      </w:r>
      <w:r w:rsidR="00AE34B4" w:rsidRPr="009361EA">
        <w:rPr>
          <w:lang w:val="en-US"/>
        </w:rPr>
        <w:t xml:space="preserve"> efficiency</w:t>
      </w:r>
      <w:r w:rsidRPr="009361EA">
        <w:rPr>
          <w:lang w:val="en-US"/>
        </w:rPr>
        <w:t xml:space="preserve"> of marine biofuel production </w:t>
      </w:r>
      <w:r w:rsidR="00AE34B4" w:rsidRPr="009361EA">
        <w:rPr>
          <w:lang w:val="en-US"/>
        </w:rPr>
        <w:t>from</w:t>
      </w:r>
      <w:r w:rsidRPr="009361EA">
        <w:rPr>
          <w:lang w:val="en-US"/>
        </w:rPr>
        <w:t xml:space="preserve"> residual lignocellulosic biomass </w:t>
      </w:r>
      <w:r w:rsidR="00AE34B4" w:rsidRPr="009361EA">
        <w:rPr>
          <w:lang w:val="en-US"/>
        </w:rPr>
        <w:t>using</w:t>
      </w:r>
      <w:r w:rsidRPr="009361EA">
        <w:rPr>
          <w:lang w:val="en-US"/>
        </w:rPr>
        <w:t xml:space="preserve"> thermochemical conversion technologies</w:t>
      </w:r>
    </w:p>
    <w:p w14:paraId="134A5649" w14:textId="77777777" w:rsidR="00310BF6" w:rsidRPr="009361EA" w:rsidRDefault="00310BF6">
      <w:pPr>
        <w:jc w:val="center"/>
        <w:rPr>
          <w:sz w:val="26"/>
          <w:szCs w:val="26"/>
          <w:lang w:val="en-US"/>
        </w:rPr>
      </w:pPr>
    </w:p>
    <w:p w14:paraId="25DCF5A1" w14:textId="77777777" w:rsidR="007C3574" w:rsidRPr="009361EA" w:rsidRDefault="007C3574" w:rsidP="007C3574">
      <w:pPr>
        <w:spacing w:line="220" w:lineRule="exact"/>
        <w:jc w:val="center"/>
        <w:rPr>
          <w:lang w:val="pt-BR"/>
        </w:rPr>
      </w:pPr>
      <w:bookmarkStart w:id="0" w:name="_Hlk59572882"/>
      <w:r w:rsidRPr="009361EA">
        <w:rPr>
          <w:lang w:val="pt-BR"/>
        </w:rPr>
        <w:t xml:space="preserve">Pablo Silva Ortiz*, </w:t>
      </w:r>
      <w:r w:rsidR="00430991" w:rsidRPr="009361EA">
        <w:rPr>
          <w:lang w:val="pt-BR"/>
        </w:rPr>
        <w:t xml:space="preserve">Adriano Pinto Mariano, </w:t>
      </w:r>
      <w:r w:rsidRPr="009361EA">
        <w:rPr>
          <w:lang w:val="pt-BR"/>
        </w:rPr>
        <w:t>Rubens Maciel Filho</w:t>
      </w:r>
    </w:p>
    <w:p w14:paraId="176CA072" w14:textId="0F2B0A84" w:rsidR="007C3574" w:rsidRDefault="007C3574" w:rsidP="007C3574">
      <w:pPr>
        <w:spacing w:line="220" w:lineRule="exact"/>
        <w:jc w:val="center"/>
        <w:rPr>
          <w:lang w:val="en-US"/>
        </w:rPr>
      </w:pPr>
      <w:r w:rsidRPr="009361EA">
        <w:rPr>
          <w:lang w:val="en-US"/>
        </w:rPr>
        <w:t xml:space="preserve">School of Chemical Engineering, University of Campinas, </w:t>
      </w:r>
      <w:r w:rsidR="005061D8">
        <w:rPr>
          <w:lang w:val="en-US"/>
        </w:rPr>
        <w:t xml:space="preserve">Campinas, </w:t>
      </w:r>
      <w:r w:rsidRPr="009361EA">
        <w:rPr>
          <w:lang w:val="en-US"/>
        </w:rPr>
        <w:t>Brazil</w:t>
      </w:r>
    </w:p>
    <w:p w14:paraId="161EE66E" w14:textId="4DFEA98B" w:rsidR="005061D8" w:rsidRPr="009361EA" w:rsidRDefault="005061D8" w:rsidP="005061D8">
      <w:pPr>
        <w:spacing w:line="220" w:lineRule="exact"/>
        <w:jc w:val="center"/>
        <w:rPr>
          <w:lang w:val="en-US"/>
        </w:rPr>
      </w:pPr>
      <w:r w:rsidRPr="009361EA">
        <w:rPr>
          <w:lang w:val="en-US"/>
        </w:rPr>
        <w:t>Laboratory of Optimization, Design and Advanced Control</w:t>
      </w:r>
      <w:r>
        <w:rPr>
          <w:lang w:val="en-US"/>
        </w:rPr>
        <w:t xml:space="preserve"> (LOPCA)</w:t>
      </w:r>
    </w:p>
    <w:p w14:paraId="14F43D4C" w14:textId="16B20456" w:rsidR="005061D8" w:rsidRPr="009361EA" w:rsidRDefault="007C3574" w:rsidP="005061D8">
      <w:pPr>
        <w:spacing w:line="220" w:lineRule="exact"/>
        <w:jc w:val="center"/>
        <w:rPr>
          <w:lang w:val="pt-BR"/>
        </w:rPr>
      </w:pPr>
      <w:r w:rsidRPr="009361EA">
        <w:rPr>
          <w:lang w:val="pt-BR"/>
        </w:rPr>
        <w:t xml:space="preserve">e-mail: </w:t>
      </w:r>
      <w:hyperlink r:id="rId8" w:history="1">
        <w:r w:rsidR="005061D8" w:rsidRPr="00D64012">
          <w:rPr>
            <w:rStyle w:val="Hyperlink"/>
            <w:lang w:val="pt-BR"/>
          </w:rPr>
          <w:t>pabloaso@unicamp.br</w:t>
        </w:r>
      </w:hyperlink>
      <w:r w:rsidR="005061D8">
        <w:rPr>
          <w:lang w:val="pt-BR"/>
        </w:rPr>
        <w:t xml:space="preserve">, </w:t>
      </w:r>
      <w:hyperlink r:id="rId9" w:history="1">
        <w:r w:rsidR="005061D8" w:rsidRPr="00D64012">
          <w:rPr>
            <w:rStyle w:val="Hyperlink"/>
            <w:lang w:val="pt-BR"/>
          </w:rPr>
          <w:t>adpm@unicamp.br</w:t>
        </w:r>
      </w:hyperlink>
      <w:r w:rsidR="005061D8">
        <w:rPr>
          <w:lang w:val="pt-BR"/>
        </w:rPr>
        <w:t>,</w:t>
      </w:r>
      <w:r w:rsidR="00430991" w:rsidRPr="009361EA">
        <w:rPr>
          <w:lang w:val="pt-BR"/>
        </w:rPr>
        <w:t xml:space="preserve"> </w:t>
      </w:r>
      <w:hyperlink r:id="rId10" w:history="1">
        <w:r w:rsidR="005061D8" w:rsidRPr="00D64012">
          <w:rPr>
            <w:rStyle w:val="Hyperlink"/>
            <w:lang w:val="pt-BR"/>
          </w:rPr>
          <w:t>rmaciel@unicamp.br</w:t>
        </w:r>
      </w:hyperlink>
    </w:p>
    <w:p w14:paraId="5892D38F" w14:textId="77777777" w:rsidR="007C3574" w:rsidRPr="009361EA" w:rsidRDefault="007C3574" w:rsidP="007C3574">
      <w:pPr>
        <w:spacing w:line="220" w:lineRule="exact"/>
        <w:jc w:val="center"/>
        <w:rPr>
          <w:lang w:val="pt-BR"/>
        </w:rPr>
      </w:pPr>
    </w:p>
    <w:p w14:paraId="13CAEB92" w14:textId="77777777" w:rsidR="007C3574" w:rsidRPr="009361EA" w:rsidRDefault="007C3574" w:rsidP="007C3574">
      <w:pPr>
        <w:spacing w:line="220" w:lineRule="exact"/>
        <w:jc w:val="center"/>
        <w:rPr>
          <w:lang w:val="en-US"/>
        </w:rPr>
      </w:pPr>
      <w:r w:rsidRPr="009361EA">
        <w:rPr>
          <w:lang w:val="en-US"/>
        </w:rPr>
        <w:t>Patricia Osseweijer, John Posada</w:t>
      </w:r>
    </w:p>
    <w:p w14:paraId="6ABBF29D" w14:textId="288D1951" w:rsidR="007C3574" w:rsidRPr="009361EA" w:rsidRDefault="007C3574" w:rsidP="007C3574">
      <w:pPr>
        <w:spacing w:line="220" w:lineRule="exact"/>
        <w:jc w:val="center"/>
        <w:rPr>
          <w:lang w:val="en-US"/>
        </w:rPr>
      </w:pPr>
      <w:r w:rsidRPr="009361EA">
        <w:rPr>
          <w:lang w:val="en-US"/>
        </w:rPr>
        <w:t>Faculty of Applied Scienc</w:t>
      </w:r>
      <w:r w:rsidR="005061D8">
        <w:rPr>
          <w:lang w:val="en-US"/>
        </w:rPr>
        <w:t>es, Department of Biotechnology</w:t>
      </w:r>
    </w:p>
    <w:p w14:paraId="4757622D" w14:textId="77777777" w:rsidR="007C3574" w:rsidRPr="009361EA" w:rsidRDefault="007C3574" w:rsidP="007C3574">
      <w:pPr>
        <w:spacing w:line="220" w:lineRule="exact"/>
        <w:jc w:val="center"/>
        <w:rPr>
          <w:lang w:val="en-US"/>
        </w:rPr>
      </w:pPr>
      <w:r w:rsidRPr="009361EA">
        <w:rPr>
          <w:lang w:val="en-US"/>
        </w:rPr>
        <w:t>Delft University of Technology, Delft, the Netherlands</w:t>
      </w:r>
    </w:p>
    <w:p w14:paraId="7E5E3CD3" w14:textId="0B068167" w:rsidR="00310BF6" w:rsidRPr="009361EA" w:rsidRDefault="007C3574" w:rsidP="007C3574">
      <w:pPr>
        <w:spacing w:line="220" w:lineRule="exact"/>
        <w:jc w:val="center"/>
        <w:rPr>
          <w:lang w:val="pt-BR"/>
        </w:rPr>
      </w:pPr>
      <w:r w:rsidRPr="009361EA">
        <w:rPr>
          <w:lang w:val="pt-BR"/>
        </w:rPr>
        <w:t xml:space="preserve">e-mail: </w:t>
      </w:r>
      <w:hyperlink r:id="rId11" w:history="1">
        <w:r w:rsidR="005061D8" w:rsidRPr="00D64012">
          <w:rPr>
            <w:rStyle w:val="Hyperlink"/>
            <w:lang w:val="pt-BR"/>
          </w:rPr>
          <w:t>p.osseweijer@tudelft.nl</w:t>
        </w:r>
      </w:hyperlink>
      <w:r w:rsidR="00A30742" w:rsidRPr="009361EA">
        <w:rPr>
          <w:lang w:val="pt-BR"/>
        </w:rPr>
        <w:t>,</w:t>
      </w:r>
      <w:r w:rsidRPr="009361EA">
        <w:rPr>
          <w:lang w:val="pt-BR"/>
        </w:rPr>
        <w:t xml:space="preserve"> </w:t>
      </w:r>
      <w:hyperlink r:id="rId12" w:history="1">
        <w:r w:rsidR="005061D8" w:rsidRPr="00D64012">
          <w:rPr>
            <w:rStyle w:val="Hyperlink"/>
            <w:lang w:val="pt-BR"/>
          </w:rPr>
          <w:t>j.a.posadaduque@tudelft.nl</w:t>
        </w:r>
      </w:hyperlink>
    </w:p>
    <w:bookmarkEnd w:id="0"/>
    <w:p w14:paraId="00505AC0" w14:textId="77777777" w:rsidR="00310BF6" w:rsidRPr="009361EA" w:rsidRDefault="00310BF6">
      <w:pPr>
        <w:spacing w:line="220" w:lineRule="exact"/>
        <w:jc w:val="center"/>
        <w:rPr>
          <w:lang w:val="pt-BR"/>
        </w:rPr>
      </w:pPr>
    </w:p>
    <w:p w14:paraId="25B6210A" w14:textId="77777777" w:rsidR="00310BF6" w:rsidRPr="009361EA" w:rsidRDefault="00310BF6">
      <w:pPr>
        <w:pStyle w:val="Ttulo2"/>
        <w:rPr>
          <w:lang w:val="en-US"/>
        </w:rPr>
      </w:pPr>
      <w:r w:rsidRPr="009361EA">
        <w:rPr>
          <w:lang w:val="en-US"/>
        </w:rPr>
        <w:t>ABSTRACT</w:t>
      </w:r>
    </w:p>
    <w:p w14:paraId="571E3355" w14:textId="23EFC139" w:rsidR="00310BF6" w:rsidRPr="00AE536D" w:rsidRDefault="007C3574" w:rsidP="008E74FB">
      <w:pPr>
        <w:spacing w:line="360" w:lineRule="auto"/>
        <w:rPr>
          <w:lang w:val="en-US"/>
        </w:rPr>
      </w:pPr>
      <w:r w:rsidRPr="00AE536D">
        <w:rPr>
          <w:lang w:val="en-US"/>
        </w:rPr>
        <w:t xml:space="preserve">Current </w:t>
      </w:r>
      <w:r w:rsidR="00B328D6" w:rsidRPr="00AE536D">
        <w:rPr>
          <w:lang w:val="en-US"/>
        </w:rPr>
        <w:t xml:space="preserve">limits </w:t>
      </w:r>
      <w:r w:rsidRPr="00AE536D">
        <w:rPr>
          <w:lang w:val="en-US"/>
        </w:rPr>
        <w:t>on the sul</w:t>
      </w:r>
      <w:r w:rsidR="00AE34B4" w:rsidRPr="00AE536D">
        <w:rPr>
          <w:lang w:val="en-US"/>
        </w:rPr>
        <w:t>f</w:t>
      </w:r>
      <w:r w:rsidRPr="00AE536D">
        <w:rPr>
          <w:lang w:val="en-US"/>
        </w:rPr>
        <w:t xml:space="preserve">ur content and </w:t>
      </w:r>
      <w:r w:rsidR="00B328D6" w:rsidRPr="00AE536D">
        <w:rPr>
          <w:lang w:val="en-US"/>
        </w:rPr>
        <w:t>Greenhouse Gas (GHG)</w:t>
      </w:r>
      <w:r w:rsidRPr="00AE536D">
        <w:rPr>
          <w:lang w:val="en-US"/>
        </w:rPr>
        <w:t xml:space="preserve"> emissions of marine fuels </w:t>
      </w:r>
      <w:r w:rsidR="00B328D6" w:rsidRPr="00AE536D">
        <w:rPr>
          <w:lang w:val="en-US"/>
        </w:rPr>
        <w:t>are</w:t>
      </w:r>
      <w:r w:rsidRPr="00AE536D">
        <w:rPr>
          <w:lang w:val="en-US"/>
        </w:rPr>
        <w:t xml:space="preserve"> a challenge for the maritime shipping industry and an opportunity for alternative fuels in the transition to a low-carbon economy. This work presents an integrated assessment model to compare the </w:t>
      </w:r>
      <w:r w:rsidR="00AE34B4" w:rsidRPr="00AE536D">
        <w:rPr>
          <w:lang w:val="en-US"/>
        </w:rPr>
        <w:t>exergy efficiency</w:t>
      </w:r>
      <w:r w:rsidRPr="00AE536D">
        <w:rPr>
          <w:lang w:val="en-US"/>
        </w:rPr>
        <w:t xml:space="preserve"> of marine biofuel blendstock supply chains, considering </w:t>
      </w:r>
      <w:r w:rsidR="00E6230C" w:rsidRPr="00AE536D">
        <w:rPr>
          <w:lang w:val="en-US"/>
        </w:rPr>
        <w:t>seven agroforestry residues feedstocks</w:t>
      </w:r>
      <w:r w:rsidRPr="00AE536D">
        <w:rPr>
          <w:lang w:val="en-US"/>
        </w:rPr>
        <w:t xml:space="preserve"> </w:t>
      </w:r>
      <w:r w:rsidR="000024A6" w:rsidRPr="00AE536D">
        <w:rPr>
          <w:lang w:val="en-US"/>
        </w:rPr>
        <w:t xml:space="preserve">(e.g., </w:t>
      </w:r>
      <w:r w:rsidR="008E74FB" w:rsidRPr="008E74FB">
        <w:rPr>
          <w:i/>
          <w:iCs/>
          <w:lang w:val="en-US"/>
        </w:rPr>
        <w:t>Eucalyptus Residues, Pine Residues, Corn Stover, Rice Straw, Wheat Straw, Sugarcane Bagasse, and Sorghum Bagasse</w:t>
      </w:r>
      <w:r w:rsidR="000024A6" w:rsidRPr="00AE536D">
        <w:rPr>
          <w:lang w:val="en-US"/>
        </w:rPr>
        <w:t xml:space="preserve">) </w:t>
      </w:r>
      <w:r w:rsidRPr="00AE536D">
        <w:rPr>
          <w:lang w:val="en-US"/>
        </w:rPr>
        <w:t xml:space="preserve">and </w:t>
      </w:r>
      <w:r w:rsidR="000024A6" w:rsidRPr="00AE536D">
        <w:rPr>
          <w:lang w:val="en-US"/>
        </w:rPr>
        <w:t xml:space="preserve">three </w:t>
      </w:r>
      <w:r w:rsidRPr="00AE536D">
        <w:rPr>
          <w:lang w:val="en-US"/>
        </w:rPr>
        <w:t xml:space="preserve">thermochemical </w:t>
      </w:r>
      <w:r w:rsidR="00B328D6" w:rsidRPr="00AE536D">
        <w:rPr>
          <w:lang w:val="en-US"/>
        </w:rPr>
        <w:t>pathways</w:t>
      </w:r>
      <w:r w:rsidRPr="00AE536D">
        <w:rPr>
          <w:lang w:val="en-US"/>
        </w:rPr>
        <w:t xml:space="preserve"> </w:t>
      </w:r>
      <w:r w:rsidR="00942B2A" w:rsidRPr="00AE536D">
        <w:rPr>
          <w:lang w:val="en-US"/>
        </w:rPr>
        <w:t xml:space="preserve">(e.g., </w:t>
      </w:r>
      <w:r w:rsidR="00942B2A" w:rsidRPr="00AE536D">
        <w:rPr>
          <w:i/>
          <w:lang w:val="en-US"/>
        </w:rPr>
        <w:t xml:space="preserve">Hydrothermal liquefaction, </w:t>
      </w:r>
      <w:r w:rsidRPr="00AE536D">
        <w:rPr>
          <w:i/>
          <w:lang w:val="en-US"/>
        </w:rPr>
        <w:t>HTL</w:t>
      </w:r>
      <w:r w:rsidR="00942B2A" w:rsidRPr="00AE536D">
        <w:rPr>
          <w:i/>
          <w:lang w:val="en-US"/>
        </w:rPr>
        <w:t>, Fast pyrolysis, FP</w:t>
      </w:r>
      <w:r w:rsidRPr="00AE536D">
        <w:rPr>
          <w:i/>
          <w:lang w:val="en-US"/>
        </w:rPr>
        <w:t xml:space="preserve">, and </w:t>
      </w:r>
      <w:r w:rsidR="00942B2A" w:rsidRPr="00AE536D">
        <w:rPr>
          <w:i/>
          <w:lang w:val="en-US"/>
        </w:rPr>
        <w:t>G</w:t>
      </w:r>
      <w:r w:rsidRPr="00AE536D">
        <w:rPr>
          <w:i/>
          <w:lang w:val="en-US"/>
        </w:rPr>
        <w:t xml:space="preserve">asification </w:t>
      </w:r>
      <w:r w:rsidR="00942B2A" w:rsidRPr="00AE536D">
        <w:rPr>
          <w:i/>
          <w:lang w:val="en-US"/>
        </w:rPr>
        <w:t xml:space="preserve">with Fischer-Tropsch synthesis, </w:t>
      </w:r>
      <w:r w:rsidRPr="00AE536D">
        <w:rPr>
          <w:i/>
          <w:lang w:val="en-US"/>
        </w:rPr>
        <w:t>GFT</w:t>
      </w:r>
      <w:r w:rsidRPr="00AE536D">
        <w:rPr>
          <w:lang w:val="en-US"/>
        </w:rPr>
        <w:t xml:space="preserve">). The biorefineries were modeled for a scale of 500 </w:t>
      </w:r>
      <w:proofErr w:type="spellStart"/>
      <w:r w:rsidRPr="00AE536D">
        <w:rPr>
          <w:lang w:val="en-US"/>
        </w:rPr>
        <w:t>tonnes</w:t>
      </w:r>
      <w:proofErr w:type="spellEnd"/>
      <w:r w:rsidRPr="00AE536D">
        <w:rPr>
          <w:lang w:val="en-US"/>
        </w:rPr>
        <w:t xml:space="preserve"> per day of biofuel production, with ele</w:t>
      </w:r>
      <w:r w:rsidR="006859D1" w:rsidRPr="00AE536D">
        <w:rPr>
          <w:lang w:val="en-US"/>
        </w:rPr>
        <w:t>ctricity</w:t>
      </w:r>
      <w:r w:rsidRPr="00AE536D">
        <w:rPr>
          <w:lang w:val="en-US"/>
        </w:rPr>
        <w:t xml:space="preserve"> and heat cogeneration. </w:t>
      </w:r>
      <w:r w:rsidR="00CB0C96" w:rsidRPr="00AE536D">
        <w:rPr>
          <w:lang w:val="en-US"/>
        </w:rPr>
        <w:t xml:space="preserve">The results </w:t>
      </w:r>
      <w:r w:rsidR="00267AAA" w:rsidRPr="00AE536D">
        <w:rPr>
          <w:lang w:val="en-US"/>
        </w:rPr>
        <w:t>were</w:t>
      </w:r>
      <w:r w:rsidR="00CB0C96" w:rsidRPr="00AE536D">
        <w:rPr>
          <w:lang w:val="en-US"/>
        </w:rPr>
        <w:t xml:space="preserve"> used to rank the marine systems through a trade-off linking the exergy efficiency</w:t>
      </w:r>
      <w:r w:rsidR="000024A6" w:rsidRPr="00AE536D">
        <w:rPr>
          <w:lang w:val="en-US"/>
        </w:rPr>
        <w:t>, the λ renewability performance, the Average unitary exergy cost (AUEC),</w:t>
      </w:r>
      <w:r w:rsidR="00CB0C96" w:rsidRPr="00AE536D">
        <w:rPr>
          <w:lang w:val="en-US"/>
        </w:rPr>
        <w:t xml:space="preserve"> and the irreversibilities. In particular, HTL and GFT systems have the highest biofuel yields. Thus, when wheat straw</w:t>
      </w:r>
      <w:r w:rsidR="00267AAA" w:rsidRPr="00AE536D">
        <w:rPr>
          <w:lang w:val="en-US"/>
        </w:rPr>
        <w:t xml:space="preserve"> was used</w:t>
      </w:r>
      <w:r w:rsidR="00CB0C96" w:rsidRPr="00AE536D">
        <w:rPr>
          <w:lang w:val="en-US"/>
        </w:rPr>
        <w:t xml:space="preserve"> as an input in these configurations, </w:t>
      </w:r>
      <w:r w:rsidR="00267AAA" w:rsidRPr="00AE536D">
        <w:rPr>
          <w:lang w:val="en-US"/>
        </w:rPr>
        <w:t>they</w:t>
      </w:r>
      <w:r w:rsidR="00CB0C96" w:rsidRPr="00AE536D">
        <w:rPr>
          <w:lang w:val="en-US"/>
        </w:rPr>
        <w:t xml:space="preserve"> presented the highest exergetic efficiency and, consequently, the lowest destructed exergy rate</w:t>
      </w:r>
      <w:r w:rsidR="000024A6" w:rsidRPr="00AE536D">
        <w:rPr>
          <w:lang w:val="en-US"/>
        </w:rPr>
        <w:t xml:space="preserve"> and AUEC</w:t>
      </w:r>
      <w:r w:rsidR="00CB0C96" w:rsidRPr="00AE536D">
        <w:rPr>
          <w:lang w:val="en-US"/>
        </w:rPr>
        <w:t xml:space="preserve"> of the feedstock-technology combinations.</w:t>
      </w:r>
    </w:p>
    <w:p w14:paraId="3CA41CAB" w14:textId="77777777" w:rsidR="00CD29D2" w:rsidRPr="00AE536D" w:rsidRDefault="00CD29D2" w:rsidP="00B90787">
      <w:pPr>
        <w:pStyle w:val="Ttulo2"/>
        <w:rPr>
          <w:bCs w:val="0"/>
          <w:lang w:val="en-US"/>
        </w:rPr>
      </w:pPr>
      <w:r w:rsidRPr="00AE536D">
        <w:rPr>
          <w:bCs w:val="0"/>
          <w:lang w:val="en-US"/>
        </w:rPr>
        <w:t>KEYWORDS</w:t>
      </w:r>
    </w:p>
    <w:p w14:paraId="7EECAF53" w14:textId="3FD45C02" w:rsidR="00CD29D2" w:rsidRDefault="00A30742" w:rsidP="008E74FB">
      <w:pPr>
        <w:tabs>
          <w:tab w:val="center" w:pos="4819"/>
        </w:tabs>
        <w:suppressAutoHyphens/>
        <w:spacing w:line="360" w:lineRule="auto"/>
        <w:rPr>
          <w:lang w:val="en-US"/>
        </w:rPr>
      </w:pPr>
      <w:r w:rsidRPr="00AE536D">
        <w:rPr>
          <w:lang w:val="en-US"/>
        </w:rPr>
        <w:t xml:space="preserve">Exergy analysis, Marine fuel, Lignocellulosic feedstock, </w:t>
      </w:r>
      <w:r w:rsidR="009361EA" w:rsidRPr="00AE536D">
        <w:rPr>
          <w:lang w:val="en-US"/>
        </w:rPr>
        <w:t>Thermochemical conversion technologies</w:t>
      </w:r>
    </w:p>
    <w:p w14:paraId="50DA8A53" w14:textId="6AF96492" w:rsidR="008E74FB" w:rsidRDefault="008E74FB" w:rsidP="00CD29D2">
      <w:pPr>
        <w:tabs>
          <w:tab w:val="center" w:pos="4819"/>
        </w:tabs>
        <w:suppressAutoHyphens/>
        <w:rPr>
          <w:lang w:val="en-US"/>
        </w:rPr>
      </w:pPr>
    </w:p>
    <w:p w14:paraId="7C942DBF" w14:textId="7D3EAB4B" w:rsidR="008E74FB" w:rsidRDefault="008E74FB" w:rsidP="00CD29D2">
      <w:pPr>
        <w:tabs>
          <w:tab w:val="center" w:pos="4819"/>
        </w:tabs>
        <w:suppressAutoHyphens/>
        <w:rPr>
          <w:lang w:val="en-US"/>
        </w:rPr>
      </w:pPr>
    </w:p>
    <w:p w14:paraId="683E51A8" w14:textId="39CF8C26" w:rsidR="008E74FB" w:rsidRDefault="008E74FB">
      <w:pPr>
        <w:autoSpaceDE/>
        <w:autoSpaceDN/>
        <w:jc w:val="left"/>
        <w:rPr>
          <w:lang w:val="en-US"/>
        </w:rPr>
      </w:pPr>
      <w:r>
        <w:rPr>
          <w:lang w:val="en-US"/>
        </w:rPr>
        <w:br w:type="page"/>
      </w:r>
    </w:p>
    <w:p w14:paraId="2D152D6E" w14:textId="77777777" w:rsidR="00C720E9" w:rsidRPr="00AE536D" w:rsidRDefault="00C720E9" w:rsidP="007B7863">
      <w:pPr>
        <w:pStyle w:val="Ttulo2"/>
        <w:numPr>
          <w:ilvl w:val="0"/>
          <w:numId w:val="9"/>
        </w:numPr>
        <w:rPr>
          <w:lang w:val="en-US" w:eastAsia="ja-JP"/>
        </w:rPr>
      </w:pPr>
      <w:r w:rsidRPr="00AE536D">
        <w:rPr>
          <w:lang w:val="en-US" w:eastAsia="ja-JP"/>
        </w:rPr>
        <w:lastRenderedPageBreak/>
        <w:t>INTRODUCTION</w:t>
      </w:r>
    </w:p>
    <w:p w14:paraId="207CB2A0" w14:textId="318A30BB" w:rsidR="006F18A4" w:rsidRPr="00AE536D" w:rsidRDefault="005061D8" w:rsidP="008E74FB">
      <w:pPr>
        <w:spacing w:line="360" w:lineRule="auto"/>
        <w:rPr>
          <w:lang w:val="en-US" w:eastAsia="ja-JP"/>
        </w:rPr>
      </w:pPr>
      <w:r w:rsidRPr="00AE536D">
        <w:rPr>
          <w:lang w:val="en-US" w:eastAsia="ja-JP"/>
        </w:rPr>
        <w:t xml:space="preserve">According to the International Maritime Organization (IMO), a restriction of the maximum sulfur content (from 3.5 </w:t>
      </w:r>
      <w:proofErr w:type="spellStart"/>
      <w:r w:rsidRPr="00AE536D">
        <w:rPr>
          <w:lang w:val="en-US" w:eastAsia="ja-JP"/>
        </w:rPr>
        <w:t>wt</w:t>
      </w:r>
      <w:proofErr w:type="spellEnd"/>
      <w:r w:rsidRPr="00AE536D">
        <w:rPr>
          <w:lang w:val="en-US" w:eastAsia="ja-JP"/>
        </w:rPr>
        <w:t xml:space="preserve">% to 0.5 </w:t>
      </w:r>
      <w:proofErr w:type="spellStart"/>
      <w:r w:rsidRPr="00AE536D">
        <w:rPr>
          <w:lang w:val="en-US" w:eastAsia="ja-JP"/>
        </w:rPr>
        <w:t>wt</w:t>
      </w:r>
      <w:proofErr w:type="spellEnd"/>
      <w:r w:rsidRPr="00AE536D">
        <w:rPr>
          <w:lang w:val="en-US" w:eastAsia="ja-JP"/>
        </w:rPr>
        <w:t xml:space="preserve">%, percent weight) in marine fuel will be achieved from 2020 to 2025. </w:t>
      </w:r>
      <w:r w:rsidR="006F18A4" w:rsidRPr="00AE536D">
        <w:rPr>
          <w:lang w:val="en-US" w:eastAsia="ja-JP"/>
        </w:rPr>
        <w:t xml:space="preserve">The IMO also estimated a 40% carbon intensity reduction of shipping, relative to 2008 levels, by 2030 and 70% by 2050. Furthermore, IMO regulations on energy efficiency support the demand for greener and cleaner shipping focus on emits less air pollution </w:t>
      </w:r>
      <w:r w:rsidR="0016583A" w:rsidRPr="00AE536D">
        <w:rPr>
          <w:lang w:val="en-US" w:eastAsia="ja-JP"/>
        </w:rPr>
        <w:t xml:space="preserve">(reducing greenhouse gas emissions, GHG) </w:t>
      </w:r>
      <w:r w:rsidR="00FE3F5C" w:rsidRPr="00AE536D">
        <w:rPr>
          <w:lang w:val="en-US" w:eastAsia="ja-JP"/>
        </w:rPr>
        <w:t>due to</w:t>
      </w:r>
      <w:r w:rsidR="006F18A4" w:rsidRPr="00AE536D">
        <w:rPr>
          <w:lang w:val="en-US" w:eastAsia="ja-JP"/>
        </w:rPr>
        <w:t xml:space="preserve"> increasingly becoming energy-efficient systems </w:t>
      </w:r>
      <w:r w:rsidR="003C090D" w:rsidRPr="00AE536D">
        <w:rPr>
          <w:lang w:val="en-US" w:eastAsia="ja-JP"/>
        </w:rPr>
        <w:fldChar w:fldCharType="begin"/>
      </w:r>
      <w:r w:rsidR="003C090D" w:rsidRPr="00AE536D">
        <w:rPr>
          <w:lang w:val="en-US" w:eastAsia="ja-JP"/>
        </w:rPr>
        <w:instrText xml:space="preserve"> ADDIN ZOTERO_ITEM CSL_CITATION {"citationID":"6ICTCzDG","properties":{"formattedCitation":"[1]","plainCitation":"[1]","noteIndex":0},"citationItems":[{"id":859,"uris":["http://zotero.org/users/5217225/items/PKHCMPD6"],"uri":["http://zotero.org/users/5217225/items/PKHCMPD6"],"itemData":{"id":859,"type":"report","language":"English","title":"Sulphur 2020 – cutting sulphur oxide emissions.","URL":"http://www.imo.org/en/MediaCentre/HotTopics/Pages/Sulphur-2020.aspx","author":[{"family":"International Maritime Organization (IMO)","given":""}],"accessed":{"date-parts":[["2020",2,2]]},"issued":{"date-parts":[["2020"]]}}}],"schema":"https://github.com/citation-style-language/schema/raw/master/csl-citation.json"} </w:instrText>
      </w:r>
      <w:r w:rsidR="003C090D" w:rsidRPr="00AE536D">
        <w:rPr>
          <w:lang w:val="en-US" w:eastAsia="ja-JP"/>
        </w:rPr>
        <w:fldChar w:fldCharType="separate"/>
      </w:r>
      <w:r w:rsidR="003C090D" w:rsidRPr="00AE536D">
        <w:rPr>
          <w:lang w:val="en-US"/>
        </w:rPr>
        <w:t>[1]</w:t>
      </w:r>
      <w:r w:rsidR="003C090D" w:rsidRPr="00AE536D">
        <w:rPr>
          <w:lang w:val="en-US" w:eastAsia="ja-JP"/>
        </w:rPr>
        <w:fldChar w:fldCharType="end"/>
      </w:r>
      <w:r w:rsidR="006F18A4" w:rsidRPr="00AE536D">
        <w:rPr>
          <w:lang w:val="en-US" w:eastAsia="ja-JP"/>
        </w:rPr>
        <w:t>. Hence, it is expected to consolidate a sustainable way to transport commodities and goods.</w:t>
      </w:r>
    </w:p>
    <w:p w14:paraId="6ADD598C" w14:textId="77777777" w:rsidR="006F18A4" w:rsidRPr="00AE536D" w:rsidRDefault="006F18A4" w:rsidP="008E74FB">
      <w:pPr>
        <w:spacing w:line="360" w:lineRule="auto"/>
        <w:rPr>
          <w:lang w:val="en-US" w:eastAsia="ja-JP"/>
        </w:rPr>
      </w:pPr>
    </w:p>
    <w:p w14:paraId="3857C7F2" w14:textId="2AF0DC9F" w:rsidR="00BE1F8C" w:rsidRPr="00AE536D" w:rsidRDefault="006F18A4" w:rsidP="008E74FB">
      <w:pPr>
        <w:spacing w:line="360" w:lineRule="auto"/>
        <w:rPr>
          <w:lang w:val="en-US" w:eastAsia="ja-JP"/>
        </w:rPr>
      </w:pPr>
      <w:r w:rsidRPr="00AE536D">
        <w:rPr>
          <w:lang w:val="en-US" w:eastAsia="ja-JP"/>
        </w:rPr>
        <w:t xml:space="preserve">Almost all large ships use residual fuels </w:t>
      </w:r>
      <w:r w:rsidR="00DB463A" w:rsidRPr="00AE536D">
        <w:rPr>
          <w:lang w:val="en-US" w:eastAsia="ja-JP"/>
        </w:rPr>
        <w:t xml:space="preserve">called </w:t>
      </w:r>
      <w:r w:rsidRPr="00AE536D">
        <w:rPr>
          <w:lang w:val="en-US" w:eastAsia="ja-JP"/>
        </w:rPr>
        <w:t xml:space="preserve">heavy fuel oil </w:t>
      </w:r>
      <w:r w:rsidR="00DB463A" w:rsidRPr="00AE536D">
        <w:rPr>
          <w:lang w:val="en-US" w:eastAsia="ja-JP"/>
        </w:rPr>
        <w:t>(</w:t>
      </w:r>
      <w:r w:rsidRPr="00AE536D">
        <w:rPr>
          <w:lang w:val="en-US" w:eastAsia="ja-JP"/>
        </w:rPr>
        <w:t xml:space="preserve">HFO) as their primary fuel. Distillate fuels such as marine diesel oil (MDO) and marine gasoil (MGO) are used by small ships and in some auxiliary engines </w:t>
      </w:r>
      <w:r w:rsidR="003C090D" w:rsidRPr="00AE536D">
        <w:rPr>
          <w:lang w:val="en-US" w:eastAsia="ja-JP"/>
        </w:rPr>
        <w:t>on</w:t>
      </w:r>
      <w:r w:rsidR="00FE3F5C" w:rsidRPr="00AE536D">
        <w:rPr>
          <w:lang w:val="en-US" w:eastAsia="ja-JP"/>
        </w:rPr>
        <w:t xml:space="preserve"> </w:t>
      </w:r>
      <w:r w:rsidR="003C090D" w:rsidRPr="00AE536D">
        <w:rPr>
          <w:lang w:val="en-US" w:eastAsia="ja-JP"/>
        </w:rPr>
        <w:t>board</w:t>
      </w:r>
      <w:r w:rsidRPr="00AE536D">
        <w:rPr>
          <w:lang w:val="en-US" w:eastAsia="ja-JP"/>
        </w:rPr>
        <w:t xml:space="preserve"> ships. A small number of ships are using LNG as their </w:t>
      </w:r>
      <w:r w:rsidR="00B706DE" w:rsidRPr="00AE536D">
        <w:rPr>
          <w:lang w:val="en-US" w:eastAsia="ja-JP"/>
        </w:rPr>
        <w:t>primary</w:t>
      </w:r>
      <w:r w:rsidRPr="00AE536D">
        <w:rPr>
          <w:lang w:val="en-US" w:eastAsia="ja-JP"/>
        </w:rPr>
        <w:t xml:space="preserve"> fuel </w:t>
      </w:r>
      <w:r w:rsidR="003C090D" w:rsidRPr="00AE536D">
        <w:rPr>
          <w:lang w:val="en-US" w:eastAsia="ja-JP"/>
        </w:rPr>
        <w:fldChar w:fldCharType="begin"/>
      </w:r>
      <w:r w:rsidR="003C090D" w:rsidRPr="00AE536D">
        <w:rPr>
          <w:lang w:val="en-US" w:eastAsia="ja-JP"/>
        </w:rPr>
        <w:instrText xml:space="preserve"> ADDIN ZOTERO_ITEM CSL_CITATION {"citationID":"UlqZELzA","properties":{"formattedCitation":"[2]","plainCitation":"[2]","noteIndex":0},"citationItems":[{"id":860,"uris":["http://zotero.org/users/5217225/items/P6JFLE2N"],"uri":["http://zotero.org/users/5217225/items/P6JFLE2N"],"itemData":{"id":860,"type":"report","language":"English","publisher":"Concawe","title":"Marine fuel facts","URL":"https://www.concawe.eu/","author":[{"family":"Concawe","given":""}],"accessed":{"date-parts":[["2020",3,3]]}}}],"schema":"https://github.com/citation-style-language/schema/raw/master/csl-citation.json"} </w:instrText>
      </w:r>
      <w:r w:rsidR="003C090D" w:rsidRPr="00AE536D">
        <w:rPr>
          <w:lang w:val="en-US" w:eastAsia="ja-JP"/>
        </w:rPr>
        <w:fldChar w:fldCharType="separate"/>
      </w:r>
      <w:r w:rsidR="003C090D" w:rsidRPr="00AE536D">
        <w:rPr>
          <w:lang w:val="en-US"/>
        </w:rPr>
        <w:t>[2]</w:t>
      </w:r>
      <w:r w:rsidR="003C090D" w:rsidRPr="00AE536D">
        <w:rPr>
          <w:lang w:val="en-US" w:eastAsia="ja-JP"/>
        </w:rPr>
        <w:fldChar w:fldCharType="end"/>
      </w:r>
      <w:r w:rsidRPr="00AE536D">
        <w:rPr>
          <w:lang w:val="en-US" w:eastAsia="ja-JP"/>
        </w:rPr>
        <w:t xml:space="preserve">. For instance, the global demand for marine fuel is mainly met by fuel oil (76%), while gasoil only represents 24% of the market in 2017, equivalent to 271,414 thousand </w:t>
      </w:r>
      <w:proofErr w:type="spellStart"/>
      <w:r w:rsidRPr="00AE536D">
        <w:rPr>
          <w:lang w:val="en-US" w:eastAsia="ja-JP"/>
        </w:rPr>
        <w:t>tonnes</w:t>
      </w:r>
      <w:proofErr w:type="spellEnd"/>
      <w:r w:rsidR="003C090D" w:rsidRPr="00AE536D">
        <w:rPr>
          <w:lang w:val="en-US" w:eastAsia="ja-JP"/>
        </w:rPr>
        <w:t xml:space="preserve"> </w:t>
      </w:r>
      <w:r w:rsidR="003C090D" w:rsidRPr="00AE536D">
        <w:rPr>
          <w:lang w:val="en-US" w:eastAsia="ja-JP"/>
        </w:rPr>
        <w:fldChar w:fldCharType="begin"/>
      </w:r>
      <w:r w:rsidR="003C090D" w:rsidRPr="00AE536D">
        <w:rPr>
          <w:lang w:val="en-US" w:eastAsia="ja-JP"/>
        </w:rPr>
        <w:instrText xml:space="preserve"> ADDIN ZOTERO_ITEM CSL_CITATION {"citationID":"4DNME9zT","properties":{"formattedCitation":"[3]","plainCitation":"[3]","noteIndex":0},"citationItems":[{"id":861,"uris":["http://zotero.org/users/5217225/items/F6EAUWSD"],"uri":["http://zotero.org/users/5217225/items/F6EAUWSD"],"itemData":{"id":861,"type":"report","event-place":"Belgium","language":"English","publisher":"FuelsEurope","publisher-place":"Belgium","title":"STATISTICAL REPORT 2018","URL":"https://www.fuelseurope.eu/","author":[{"family":"FuelsEurope","given":""}],"accessed":{"date-parts":[["2020",10,1]]},"issued":{"date-parts":[["2018"]]}}}],"schema":"https://github.com/citation-style-language/schema/raw/master/csl-citation.json"} </w:instrText>
      </w:r>
      <w:r w:rsidR="003C090D" w:rsidRPr="00AE536D">
        <w:rPr>
          <w:lang w:val="en-US" w:eastAsia="ja-JP"/>
        </w:rPr>
        <w:fldChar w:fldCharType="separate"/>
      </w:r>
      <w:r w:rsidR="003C090D" w:rsidRPr="00AE536D">
        <w:rPr>
          <w:lang w:val="en-US"/>
        </w:rPr>
        <w:t>[3]</w:t>
      </w:r>
      <w:r w:rsidR="003C090D" w:rsidRPr="00AE536D">
        <w:rPr>
          <w:lang w:val="en-US" w:eastAsia="ja-JP"/>
        </w:rPr>
        <w:fldChar w:fldCharType="end"/>
      </w:r>
      <w:r w:rsidRPr="00AE536D">
        <w:rPr>
          <w:lang w:val="en-US" w:eastAsia="ja-JP"/>
        </w:rPr>
        <w:t>.</w:t>
      </w:r>
      <w:r w:rsidR="00593F7F" w:rsidRPr="00AE536D">
        <w:rPr>
          <w:lang w:val="en-US" w:eastAsia="ja-JP"/>
        </w:rPr>
        <w:t xml:space="preserve"> </w:t>
      </w:r>
      <w:r w:rsidR="00FE3F5C" w:rsidRPr="00AE536D">
        <w:rPr>
          <w:lang w:val="en-US" w:eastAsia="ja-JP"/>
        </w:rPr>
        <w:t xml:space="preserve">This sector consumes more than 330 </w:t>
      </w:r>
      <w:r w:rsidR="007C0F8C" w:rsidRPr="00AE536D">
        <w:rPr>
          <w:lang w:val="en-US" w:eastAsia="ja-JP"/>
        </w:rPr>
        <w:t xml:space="preserve">million </w:t>
      </w:r>
      <w:proofErr w:type="spellStart"/>
      <w:r w:rsidR="007C0F8C" w:rsidRPr="00AE536D">
        <w:rPr>
          <w:lang w:val="en-US" w:eastAsia="ja-JP"/>
        </w:rPr>
        <w:t>tonnes</w:t>
      </w:r>
      <w:proofErr w:type="spellEnd"/>
      <w:r w:rsidR="007C0F8C" w:rsidRPr="00AE536D">
        <w:rPr>
          <w:lang w:val="en-US" w:eastAsia="ja-JP"/>
        </w:rPr>
        <w:t xml:space="preserve"> </w:t>
      </w:r>
      <w:r w:rsidR="00FE3F5C" w:rsidRPr="00AE536D">
        <w:rPr>
          <w:lang w:val="en-US" w:eastAsia="ja-JP"/>
        </w:rPr>
        <w:t xml:space="preserve">of fuel a year and accounts for </w:t>
      </w:r>
      <w:r w:rsidR="007C0F8C" w:rsidRPr="00AE536D">
        <w:rPr>
          <w:lang w:val="en-US" w:eastAsia="ja-JP"/>
        </w:rPr>
        <w:t xml:space="preserve">more than 900 million </w:t>
      </w:r>
      <w:proofErr w:type="spellStart"/>
      <w:r w:rsidR="007C0F8C" w:rsidRPr="00AE536D">
        <w:rPr>
          <w:lang w:val="en-US" w:eastAsia="ja-JP"/>
        </w:rPr>
        <w:t>tonnes</w:t>
      </w:r>
      <w:proofErr w:type="spellEnd"/>
      <w:r w:rsidR="007C0F8C" w:rsidRPr="00AE536D">
        <w:rPr>
          <w:lang w:val="en-US" w:eastAsia="ja-JP"/>
        </w:rPr>
        <w:t xml:space="preserve"> </w:t>
      </w:r>
      <w:r w:rsidR="00FE3F5C" w:rsidRPr="00AE536D">
        <w:rPr>
          <w:lang w:val="en-US" w:eastAsia="ja-JP"/>
        </w:rPr>
        <w:t>of the global CO</w:t>
      </w:r>
      <w:r w:rsidR="00FE3F5C" w:rsidRPr="00AE536D">
        <w:rPr>
          <w:vertAlign w:val="subscript"/>
          <w:lang w:val="en-US" w:eastAsia="ja-JP"/>
        </w:rPr>
        <w:t>2</w:t>
      </w:r>
      <w:r w:rsidR="007C0F8C" w:rsidRPr="00AE536D">
        <w:rPr>
          <w:vertAlign w:val="subscript"/>
          <w:lang w:val="en-US" w:eastAsia="ja-JP"/>
        </w:rPr>
        <w:t xml:space="preserve"> </w:t>
      </w:r>
      <w:r w:rsidR="007C0F8C" w:rsidRPr="00AE536D">
        <w:rPr>
          <w:lang w:val="en-US" w:eastAsia="ja-JP"/>
        </w:rPr>
        <w:t>(2-3%)</w:t>
      </w:r>
      <w:r w:rsidR="00FE3F5C" w:rsidRPr="00AE536D">
        <w:rPr>
          <w:lang w:val="en-US" w:eastAsia="ja-JP"/>
        </w:rPr>
        <w:t>, SOx</w:t>
      </w:r>
      <w:r w:rsidR="007C0F8C" w:rsidRPr="00AE536D">
        <w:rPr>
          <w:lang w:val="en-US" w:eastAsia="ja-JP"/>
        </w:rPr>
        <w:t xml:space="preserve"> (4-9%)</w:t>
      </w:r>
      <w:r w:rsidR="00FE3F5C" w:rsidRPr="00AE536D">
        <w:rPr>
          <w:lang w:val="en-US" w:eastAsia="ja-JP"/>
        </w:rPr>
        <w:t>, and NOx emissions</w:t>
      </w:r>
      <w:r w:rsidR="007C0F8C" w:rsidRPr="00AE536D">
        <w:rPr>
          <w:lang w:val="en-US" w:eastAsia="ja-JP"/>
        </w:rPr>
        <w:t xml:space="preserve"> (10-15%)</w:t>
      </w:r>
      <w:r w:rsidR="00FE3F5C" w:rsidRPr="00AE536D">
        <w:rPr>
          <w:lang w:val="en-US" w:eastAsia="ja-JP"/>
        </w:rPr>
        <w:t xml:space="preserve"> </w:t>
      </w:r>
      <w:r w:rsidR="00FE3F5C" w:rsidRPr="00AE536D">
        <w:rPr>
          <w:lang w:val="en-US" w:eastAsia="ja-JP"/>
        </w:rPr>
        <w:fldChar w:fldCharType="begin"/>
      </w:r>
      <w:r w:rsidR="00FE3F5C" w:rsidRPr="00AE536D">
        <w:rPr>
          <w:lang w:val="en-US" w:eastAsia="ja-JP"/>
        </w:rPr>
        <w:instrText xml:space="preserve"> ADDIN ZOTERO_ITEM CSL_CITATION {"citationID":"a6CxXvQ1","properties":{"formattedCitation":"[4]","plainCitation":"[4]","noteIndex":0},"citationItems":[{"id":867,"uris":["http://zotero.org/users/5217225/items/MEZMSEV6"],"uri":["http://zotero.org/users/5217225/items/MEZMSEV6"],"itemData":{"id":867,"type":"report","collection-title":"Bioenergy Task 39","event-place":"Copenhagen, Denmark","language":"English","publisher":"International Energy Agency (IEA)","publisher-place":"Copenhagen, Denmark","title":"Biofuels for the marine shipping sector. An overview and analysis of sector infrastructure, fuel technologies and regulations.","URL":"https://task39.sites.olt.ubc.ca/files/2013/05/Marine-biofuel-report-final-Oct-2017.pdf","author":[{"family":"Hsieh","given":"C."},{"family":"Felby","given":"C."}],"accessed":{"date-parts":[["2020",5,3]]},"issued":{"date-parts":[["2017"]]}}}],"schema":"https://github.com/citation-style-language/schema/raw/master/csl-citation.json"} </w:instrText>
      </w:r>
      <w:r w:rsidR="00FE3F5C" w:rsidRPr="00AE536D">
        <w:rPr>
          <w:lang w:val="en-US" w:eastAsia="ja-JP"/>
        </w:rPr>
        <w:fldChar w:fldCharType="separate"/>
      </w:r>
      <w:r w:rsidR="00FE3F5C" w:rsidRPr="00AE536D">
        <w:t>[4]</w:t>
      </w:r>
      <w:r w:rsidR="00FE3F5C" w:rsidRPr="00AE536D">
        <w:rPr>
          <w:lang w:val="en-US" w:eastAsia="ja-JP"/>
        </w:rPr>
        <w:fldChar w:fldCharType="end"/>
      </w:r>
      <w:r w:rsidR="00FE3F5C" w:rsidRPr="00AE536D">
        <w:rPr>
          <w:lang w:val="en-US" w:eastAsia="ja-JP"/>
        </w:rPr>
        <w:t>.</w:t>
      </w:r>
      <w:r w:rsidR="000024A6" w:rsidRPr="00AE536D">
        <w:rPr>
          <w:lang w:val="en-US" w:eastAsia="ja-JP"/>
        </w:rPr>
        <w:t xml:space="preserve"> </w:t>
      </w:r>
      <w:r w:rsidRPr="00AE536D">
        <w:rPr>
          <w:lang w:val="en-US" w:eastAsia="ja-JP"/>
        </w:rPr>
        <w:t xml:space="preserve">In this context, </w:t>
      </w:r>
      <w:r w:rsidR="00C3663F" w:rsidRPr="00AE536D">
        <w:rPr>
          <w:lang w:val="en-US" w:eastAsia="ja-JP"/>
        </w:rPr>
        <w:t xml:space="preserve">the </w:t>
      </w:r>
      <w:r w:rsidRPr="00AE536D">
        <w:rPr>
          <w:lang w:val="en-US" w:eastAsia="ja-JP"/>
        </w:rPr>
        <w:t xml:space="preserve">marine industry </w:t>
      </w:r>
      <w:r w:rsidR="000024A6" w:rsidRPr="00AE536D">
        <w:rPr>
          <w:lang w:val="en-US" w:eastAsia="ja-JP"/>
        </w:rPr>
        <w:t>faces</w:t>
      </w:r>
      <w:r w:rsidRPr="00AE536D">
        <w:rPr>
          <w:lang w:val="en-US" w:eastAsia="ja-JP"/>
        </w:rPr>
        <w:t xml:space="preserve"> several challenges related to emission regulations</w:t>
      </w:r>
      <w:r w:rsidR="00BA779F" w:rsidRPr="00AE536D">
        <w:rPr>
          <w:lang w:val="en-US" w:eastAsia="ja-JP"/>
        </w:rPr>
        <w:t xml:space="preserve"> and energy efficiency targets.</w:t>
      </w:r>
      <w:r w:rsidR="00FE3F5C" w:rsidRPr="00AE536D">
        <w:rPr>
          <w:lang w:val="en-US" w:eastAsia="ja-JP"/>
        </w:rPr>
        <w:t xml:space="preserve"> </w:t>
      </w:r>
      <w:r w:rsidRPr="00AE536D">
        <w:rPr>
          <w:lang w:val="en-US" w:eastAsia="ja-JP"/>
        </w:rPr>
        <w:t xml:space="preserve">Therefore, a new area of research is identifying </w:t>
      </w:r>
      <w:r w:rsidR="00C3663F" w:rsidRPr="00AE536D">
        <w:rPr>
          <w:lang w:val="en-US" w:eastAsia="ja-JP"/>
        </w:rPr>
        <w:t xml:space="preserve">an </w:t>
      </w:r>
      <w:r w:rsidRPr="00AE536D">
        <w:rPr>
          <w:lang w:val="en-US" w:eastAsia="ja-JP"/>
        </w:rPr>
        <w:t xml:space="preserve">alternative to marine residual fuels. </w:t>
      </w:r>
      <w:r w:rsidR="00FE3F5C" w:rsidRPr="00AE536D">
        <w:rPr>
          <w:lang w:val="en-US" w:eastAsia="ja-JP"/>
        </w:rPr>
        <w:t>This reality has expanded interest in</w:t>
      </w:r>
      <w:r w:rsidRPr="00AE536D">
        <w:rPr>
          <w:lang w:val="en-US" w:eastAsia="ja-JP"/>
        </w:rPr>
        <w:t xml:space="preserve"> alternative fuel options, such as liquid natural gas and </w:t>
      </w:r>
      <w:r w:rsidR="00FE3F5C" w:rsidRPr="00AE536D">
        <w:rPr>
          <w:lang w:val="en-US" w:eastAsia="ja-JP"/>
        </w:rPr>
        <w:t xml:space="preserve">advanced </w:t>
      </w:r>
      <w:r w:rsidRPr="00AE536D">
        <w:rPr>
          <w:lang w:val="en-US" w:eastAsia="ja-JP"/>
        </w:rPr>
        <w:t xml:space="preserve">biofuels. For example, the potential for blends, especially bio-oil and bio-crude, are promising scenarios, where requirements for cetane number, oxygen, aromaticity, and other properties are much less rigorous than conventional marine fuels. Thus, </w:t>
      </w:r>
      <w:r w:rsidR="00FE3F5C" w:rsidRPr="00AE536D">
        <w:rPr>
          <w:lang w:val="en-US" w:eastAsia="ja-JP"/>
        </w:rPr>
        <w:t>when blended with HFO, biofuels offer potential synergistic advantages by reducing sulfur content,</w:t>
      </w:r>
      <w:r w:rsidRPr="00AE536D">
        <w:rPr>
          <w:lang w:val="en-US" w:eastAsia="ja-JP"/>
        </w:rPr>
        <w:t xml:space="preserve"> improving overall lubricity, and lower ash and emission profiles, </w:t>
      </w:r>
      <w:r w:rsidR="00FE3F5C" w:rsidRPr="00AE536D">
        <w:rPr>
          <w:lang w:val="en-US" w:eastAsia="ja-JP"/>
        </w:rPr>
        <w:t>notably</w:t>
      </w:r>
      <w:r w:rsidRPr="00AE536D">
        <w:rPr>
          <w:lang w:val="en-US" w:eastAsia="ja-JP"/>
        </w:rPr>
        <w:t xml:space="preserve"> for particular matters and SOx. As renewable fuels, they also offer the potential to reduce life-cycle CO</w:t>
      </w:r>
      <w:r w:rsidRPr="00AE536D">
        <w:rPr>
          <w:vertAlign w:val="subscript"/>
          <w:lang w:val="en-US" w:eastAsia="ja-JP"/>
        </w:rPr>
        <w:t>2</w:t>
      </w:r>
      <w:r w:rsidRPr="00AE536D">
        <w:rPr>
          <w:lang w:val="en-US" w:eastAsia="ja-JP"/>
        </w:rPr>
        <w:t xml:space="preserve"> for marine operations </w:t>
      </w:r>
      <w:r w:rsidR="00893194" w:rsidRPr="00AE536D">
        <w:rPr>
          <w:lang w:val="en-US" w:eastAsia="ja-JP"/>
        </w:rPr>
        <w:fldChar w:fldCharType="begin"/>
      </w:r>
      <w:r w:rsidR="00FE3F5C" w:rsidRPr="00AE536D">
        <w:rPr>
          <w:lang w:val="en-US" w:eastAsia="ja-JP"/>
        </w:rPr>
        <w:instrText xml:space="preserve"> ADDIN ZOTERO_ITEM CSL_CITATION {"citationID":"WkwySvi2","properties":{"formattedCitation":"[5]","plainCitation":"[5]","noteIndex":0},"citationItems":[{"id":862,"uris":["http://zotero.org/users/5217225/items/N9WJ8PLH"],"uri":["http://zotero.org/users/5217225/items/N9WJ8PLH"],"itemData":{"id":862,"type":"report","event-place":"United States","language":"English","number":"ORNL/TM-2018/1080","publisher":"Oak Ridge National Laboratory (ORNL)","publisher-place":"United States","title":"Understanding the Opportunities of Biofuels for Marine Shipping","URL":"https://info.ornl.gov/sites/publications/Files/Pub120597.pdf","author":[{"family":"Oak Ridge National Laboratory (ORNL)","given":""}],"accessed":{"date-parts":[["2020",3,15]]},"issued":{"date-parts":[["2018"]]}}}],"schema":"https://github.com/citation-style-language/schema/raw/master/csl-citation.json"} </w:instrText>
      </w:r>
      <w:r w:rsidR="00893194" w:rsidRPr="00AE536D">
        <w:rPr>
          <w:lang w:val="en-US" w:eastAsia="ja-JP"/>
        </w:rPr>
        <w:fldChar w:fldCharType="separate"/>
      </w:r>
      <w:r w:rsidR="00FE3F5C" w:rsidRPr="00AE536D">
        <w:t>[5]</w:t>
      </w:r>
      <w:r w:rsidR="00893194" w:rsidRPr="00AE536D">
        <w:rPr>
          <w:lang w:val="en-US" w:eastAsia="ja-JP"/>
        </w:rPr>
        <w:fldChar w:fldCharType="end"/>
      </w:r>
      <w:r w:rsidRPr="00AE536D">
        <w:rPr>
          <w:lang w:val="en-US" w:eastAsia="ja-JP"/>
        </w:rPr>
        <w:t>.</w:t>
      </w:r>
    </w:p>
    <w:p w14:paraId="1A9E66E2" w14:textId="77777777" w:rsidR="00BE1F8C" w:rsidRPr="00AE536D" w:rsidRDefault="00BE1F8C" w:rsidP="008E74FB">
      <w:pPr>
        <w:spacing w:line="360" w:lineRule="auto"/>
        <w:rPr>
          <w:lang w:val="en-US" w:eastAsia="ja-JP"/>
        </w:rPr>
      </w:pPr>
    </w:p>
    <w:p w14:paraId="49DDA905" w14:textId="21CACC2E" w:rsidR="00BA779F" w:rsidRPr="00AE536D" w:rsidRDefault="00743066" w:rsidP="008E74FB">
      <w:pPr>
        <w:tabs>
          <w:tab w:val="left" w:pos="-1134"/>
          <w:tab w:val="left" w:pos="-414"/>
        </w:tabs>
        <w:suppressAutoHyphens/>
        <w:spacing w:line="360" w:lineRule="auto"/>
        <w:rPr>
          <w:spacing w:val="-3"/>
          <w:lang w:val="en-US"/>
        </w:rPr>
      </w:pPr>
      <w:r w:rsidRPr="00AE536D">
        <w:rPr>
          <w:spacing w:val="-3"/>
          <w:lang w:val="en-US"/>
        </w:rPr>
        <w:t xml:space="preserve">The viability of a lignocellulosic marine biofuel </w:t>
      </w:r>
      <w:r w:rsidR="00FE3F5C" w:rsidRPr="00AE536D">
        <w:rPr>
          <w:spacing w:val="-3"/>
          <w:lang w:val="en-US"/>
        </w:rPr>
        <w:t>relies on</w:t>
      </w:r>
      <w:r w:rsidRPr="00AE536D">
        <w:rPr>
          <w:spacing w:val="-3"/>
          <w:lang w:val="en-US"/>
        </w:rPr>
        <w:t xml:space="preserve"> the characteristics and availability of the biomass feedstock</w:t>
      </w:r>
      <w:r w:rsidR="0016583A" w:rsidRPr="00AE536D">
        <w:rPr>
          <w:spacing w:val="-3"/>
          <w:lang w:val="en-US"/>
        </w:rPr>
        <w:t>,</w:t>
      </w:r>
      <w:r w:rsidRPr="00AE536D">
        <w:rPr>
          <w:spacing w:val="-3"/>
          <w:lang w:val="en-US"/>
        </w:rPr>
        <w:t xml:space="preserve"> </w:t>
      </w:r>
      <w:r w:rsidR="0016583A" w:rsidRPr="00AE536D">
        <w:rPr>
          <w:spacing w:val="-3"/>
          <w:lang w:val="en-US"/>
        </w:rPr>
        <w:t>as well as the performance of the</w:t>
      </w:r>
      <w:r w:rsidRPr="00AE536D">
        <w:rPr>
          <w:spacing w:val="-3"/>
          <w:lang w:val="en-US"/>
        </w:rPr>
        <w:t xml:space="preserve"> raw material in the specific biofuel conversion process. Research on drop-in marine biofuels has primarily </w:t>
      </w:r>
      <w:r w:rsidR="00FE3F5C" w:rsidRPr="00AE536D">
        <w:rPr>
          <w:spacing w:val="-3"/>
          <w:lang w:val="en-US"/>
        </w:rPr>
        <w:t xml:space="preserve">centered </w:t>
      </w:r>
      <w:r w:rsidRPr="00AE536D">
        <w:rPr>
          <w:spacing w:val="-3"/>
          <w:lang w:val="en-US"/>
        </w:rPr>
        <w:t xml:space="preserve">on blending with traditional marine diesel </w:t>
      </w:r>
      <w:r w:rsidR="00803FDC" w:rsidRPr="00AE536D">
        <w:rPr>
          <w:spacing w:val="-3"/>
          <w:lang w:val="en-US"/>
        </w:rPr>
        <w:fldChar w:fldCharType="begin"/>
      </w:r>
      <w:r w:rsidR="00FE3F5C" w:rsidRPr="00AE536D">
        <w:rPr>
          <w:spacing w:val="-3"/>
          <w:lang w:val="en-US"/>
        </w:rPr>
        <w:instrText xml:space="preserve"> ADDIN ZOTERO_ITEM CSL_CITATION {"citationID":"j7T1EZrr","properties":{"formattedCitation":"[6]","plainCitation":"[6]","noteIndex":0},"citationItems":[{"id":863,"uris":["http://zotero.org/users/5217225/items/7XJBTA2M"],"uri":["http://zotero.org/users/5217225/items/7XJBTA2M"],"itemData":{"id":863,"type":"article-journal","abstract":"Catalytic hydrothermal conversion diesel (CHCD-76), synthesized isoparaffin (SIP-76), and hydroprocessed renewable diesel (HRD-76) have been produced in sufficient quantity and supplied to the U.S. Navy for blending with traditional marine diesel NATO F-76. The present work investigates the storage and oxidation stabilities of DSH-76, CHCD-76, and their blends with F-76. Chemical composition and physicochemical properties of these two biofuels, including viscosity, density, peroxide value, heat of combustion, acid number, and phase behavior, were determined using required ASTM methods. ASTM D4625 and D5304 methods were employed to investigate the long-term storage stability of these two biofuels and theirs blends with F-76. ASTM D5304 method was also modified to investigate the oxidation process of these fuel samples. In addition, ASTM D2274 tests were conducted to investigate oxidation stability of the neat and blended fuel samples. The influence of long-term storage and oxidation on fuel physicochemical properties was investigated based on ASTM methods. SIP-76 and CHCD-76 were found have superior storage and oxidation stability in comparison with petroleum F-76. This is also the first report on storage and oxidation stability of SIP-76 and CHCD-76.","container-title":"Fuel","DOI":"10.1016/j.fuel.2018.09.042","ISSN":"0016-2361","journalAbbreviation":"Fuel","language":"en","page":"516-524","source":"ScienceDirect","title":"Characteristics and stability of biofuels used as drop-in replacement for NATO marine diesel","volume":"236","author":[{"family":"Fu","given":"Jinxia"},{"family":"Turn","given":"Scott Q."}],"issued":{"date-parts":[["2019",1,15]]}}}],"schema":"https://github.com/citation-style-language/schema/raw/master/csl-citation.json"} </w:instrText>
      </w:r>
      <w:r w:rsidR="00803FDC" w:rsidRPr="00AE536D">
        <w:rPr>
          <w:spacing w:val="-3"/>
          <w:lang w:val="en-US"/>
        </w:rPr>
        <w:fldChar w:fldCharType="separate"/>
      </w:r>
      <w:r w:rsidR="00FE3F5C" w:rsidRPr="00AE536D">
        <w:t>[6]</w:t>
      </w:r>
      <w:r w:rsidR="00803FDC" w:rsidRPr="00AE536D">
        <w:rPr>
          <w:spacing w:val="-3"/>
          <w:lang w:val="en-US"/>
        </w:rPr>
        <w:fldChar w:fldCharType="end"/>
      </w:r>
      <w:r w:rsidRPr="00AE536D">
        <w:rPr>
          <w:spacing w:val="-3"/>
          <w:lang w:val="en-US"/>
        </w:rPr>
        <w:t xml:space="preserve"> and marine engine testing</w:t>
      </w:r>
      <w:r w:rsidR="00803FDC" w:rsidRPr="00AE536D">
        <w:rPr>
          <w:spacing w:val="-3"/>
          <w:lang w:val="en-US"/>
        </w:rPr>
        <w:t xml:space="preserve"> </w:t>
      </w:r>
      <w:r w:rsidR="00803FDC" w:rsidRPr="00AE536D">
        <w:rPr>
          <w:spacing w:val="-3"/>
          <w:lang w:val="en-US"/>
        </w:rPr>
        <w:fldChar w:fldCharType="begin"/>
      </w:r>
      <w:r w:rsidR="00FE3F5C" w:rsidRPr="00AE536D">
        <w:rPr>
          <w:spacing w:val="-3"/>
          <w:lang w:val="en-US"/>
        </w:rPr>
        <w:instrText xml:space="preserve"> ADDIN ZOTERO_ITEM CSL_CITATION {"citationID":"0hpgA3tQ","properties":{"formattedCitation":"[7]","plainCitation":"[7]","noteIndex":0},"citationItems":[{"id":865,"uris":["http://zotero.org/users/5217225/items/2T7BUHUT"],"uri":["http://zotero.org/users/5217225/items/2T7BUHUT"],"itemData":{"id":865,"type":"article-journal","abstract":"This paper investigates diesel engine performance and exhaust emissions with marine gas oil (MGO) and a blend of MGO and synthetic diesel fuel. Ten per cent by volume of Fischer–Tropsch (FT), a synthetic diesel fuel, was added to MGO to investigate its influence on the diesel engine performance and emissions. The blended fuel was termed as FT10 fuel, while the neat (100 vol%) MGO was termed as MGO fuel. The experiments were conducted with a fourstroke, six-cylinder, turbocharged, direct injection, Scania DC 1102 diesel engine. It is interesting to note that all emissions including smoke (filter smoke number), total particulate matter (TPM), carbon monoxide (CO), total unburned hydrocarbon (THC), oxides of nitrogen (NOx) and engine noise were reduced with FT10 fuel compared with the MGO fuel. Diesel fine particle number and mass emissions were measured with an electrical low pressure impactor. Like other exhaust emissions, significant reductions in fine particles and mass emissions were observed with the FT10 fuel. The reduction was due to absence of sulphur and aromatic compounds in the FT fuel. In-cylinder gas pressure and engine thermal efficiency were identical for both FT10 and MGO fuels.","container-title":"Environmental Technology","DOI":"10.1080/09593330.2010.483599","ISSN":"0959-3330","issue":"1","note":"publisher: Taylor &amp; Francis\n_eprint: https://doi.org/10.1080/09593330.2010.483599\nPMID: 22519083","page":"9-15","source":"Taylor and Francis+NEJM","title":"Investigation of engine performance and emissions of a diesel engine with a blend of marine gas oil and synthetic diesel fuel","volume":"33","author":[{"family":"Nabi","given":"Md Nurun"},{"family":"Hustad","given":"Johan Einar"}],"issued":{"date-parts":[["2012",1,1]]}}}],"schema":"https://github.com/citation-style-language/schema/raw/master/csl-citation.json"} </w:instrText>
      </w:r>
      <w:r w:rsidR="00803FDC" w:rsidRPr="00AE536D">
        <w:rPr>
          <w:spacing w:val="-3"/>
          <w:lang w:val="en-US"/>
        </w:rPr>
        <w:fldChar w:fldCharType="separate"/>
      </w:r>
      <w:r w:rsidR="00FE3F5C" w:rsidRPr="00AE536D">
        <w:t>[7]</w:t>
      </w:r>
      <w:r w:rsidR="00803FDC" w:rsidRPr="00AE536D">
        <w:rPr>
          <w:spacing w:val="-3"/>
          <w:lang w:val="en-US"/>
        </w:rPr>
        <w:fldChar w:fldCharType="end"/>
      </w:r>
      <w:r w:rsidRPr="00AE536D">
        <w:rPr>
          <w:spacing w:val="-3"/>
          <w:lang w:val="en-US"/>
        </w:rPr>
        <w:t xml:space="preserve"> or overall comparisons taking into account the entire supply chain from field to ship </w:t>
      </w:r>
      <w:r w:rsidR="00DC54B8" w:rsidRPr="00AE536D">
        <w:rPr>
          <w:spacing w:val="-3"/>
          <w:lang w:val="en-US"/>
        </w:rPr>
        <w:fldChar w:fldCharType="begin"/>
      </w:r>
      <w:r w:rsidR="00FE3F5C" w:rsidRPr="00AE536D">
        <w:rPr>
          <w:spacing w:val="-3"/>
          <w:lang w:val="en-US"/>
        </w:rPr>
        <w:instrText xml:space="preserve"> ADDIN ZOTERO_ITEM CSL_CITATION {"citationID":"xZrUO91j","properties":{"formattedCitation":"[4]","plainCitation":"[4]","noteIndex":0},"citationItems":[{"id":867,"uris":["http://zotero.org/users/5217225/items/MEZMSEV6"],"uri":["http://zotero.org/users/5217225/items/MEZMSEV6"],"itemData":{"id":867,"type":"report","collection-title":"Bioenergy Task 39","event-place":"Copenhagen, Denmark","language":"English","publisher":"International Energy Agency (IEA)","publisher-place":"Copenhagen, Denmark","title":"Biofuels for the marine shipping sector. An overview and analysis of sector infrastructure, fuel technologies and regulations.","URL":"https://task39.sites.olt.ubc.ca/files/2013/05/Marine-biofuel-report-final-Oct-2017.pdf","author":[{"family":"Hsieh","given":"C."},{"family":"Felby","given":"C."}],"accessed":{"date-parts":[["2020",5,3]]},"issued":{"date-parts":[["2017"]]}}}],"schema":"https://github.com/citation-style-language/schema/raw/master/csl-citation.json"} </w:instrText>
      </w:r>
      <w:r w:rsidR="00DC54B8" w:rsidRPr="00AE536D">
        <w:rPr>
          <w:spacing w:val="-3"/>
          <w:lang w:val="en-US"/>
        </w:rPr>
        <w:fldChar w:fldCharType="separate"/>
      </w:r>
      <w:r w:rsidR="00FE3F5C" w:rsidRPr="00AE536D">
        <w:t>[4]</w:t>
      </w:r>
      <w:r w:rsidR="00DC54B8" w:rsidRPr="00AE536D">
        <w:rPr>
          <w:spacing w:val="-3"/>
          <w:lang w:val="en-US"/>
        </w:rPr>
        <w:fldChar w:fldCharType="end"/>
      </w:r>
      <w:r w:rsidRPr="00AE536D">
        <w:rPr>
          <w:spacing w:val="-3"/>
          <w:lang w:val="en-US"/>
        </w:rPr>
        <w:t xml:space="preserve">. </w:t>
      </w:r>
      <w:r w:rsidR="0016583A" w:rsidRPr="00AE536D">
        <w:rPr>
          <w:spacing w:val="-3"/>
          <w:lang w:val="en-US"/>
        </w:rPr>
        <w:t>In particular</w:t>
      </w:r>
      <w:r w:rsidRPr="00AE536D">
        <w:rPr>
          <w:spacing w:val="-3"/>
          <w:lang w:val="en-US"/>
        </w:rPr>
        <w:t>, a comparison of many lignocellulosic marine biofuel options for use as drop-in blendstock with marine HFO</w:t>
      </w:r>
      <w:r w:rsidR="00DC54B8" w:rsidRPr="00AE536D">
        <w:rPr>
          <w:spacing w:val="-3"/>
          <w:lang w:val="en-US"/>
        </w:rPr>
        <w:t xml:space="preserve"> </w:t>
      </w:r>
      <w:r w:rsidR="00DC54B8" w:rsidRPr="00AE536D">
        <w:rPr>
          <w:spacing w:val="-3"/>
          <w:lang w:val="en-US"/>
        </w:rPr>
        <w:fldChar w:fldCharType="begin"/>
      </w:r>
      <w:r w:rsidR="00DC54B8" w:rsidRPr="00AE536D">
        <w:rPr>
          <w:spacing w:val="-3"/>
          <w:lang w:val="en-US"/>
        </w:rPr>
        <w:instrText xml:space="preserve"> ADDIN ZOTERO_ITEM CSL_CITATION {"citationID":"OEU6H65f","properties":{"formattedCitation":"[8]","plainCitation":"[8]","noteIndex":0},"citationItems":[{"id":857,"uris":["http://zotero.org/users/5217225/items/LEPWVKW8"],"uri":["http://zotero.org/users/5217225/items/LEPWVKW8"],"itemData":{"id":857,"type":"article-journal","abstract":"The impending restrictions on the sulfur content and greenhouse gas emissions of marine fuels represent a challenge for the maritime shipping industry and an opportunity for alternative fuels that may have lower environmental impacts but are not currently economically competitive. This study developed an integrated screening model to compare the technological, economic, and environmental performance of 33 “drop-in” marine biofuel blendstock supply chains, considering nine agroforestry residues and three thermochemical technologies. The biofuel production was modeled for 500 tonne per day “first-of-a-kind” biorefineries to reflect near-term production. Supply chains were modeled for biofuel production in both Brazil and Sweden to explore the impact of regional differences on the biofuels’ break-even prices and their life cycle emissions of greenhouse gases, SO2, and NOX. This study indicates that in the immediate term, marine biofuels from lignocellulosic feedstocks may have a minimum fuel selling price three or more times higher than current fossil marine fuel prices. Biofuels made from agricultural residues saw a 40–100 kg/GJ decrease in life cycle GHG emissions, but forestry residue emissions depended highly on biogenic carbon dioxide accounting. SO2, and NOX emissions were dominated primarily by combustion, which for SO2 were estimated to be much lower than fossil fuels, due to the negligible sulfur content of the biomass. Overall, no single biofuel was a clear winner in terms of economic and environmental performance in the model, but space is opened for deeper research, as the new regulations come into effect.","container-title":"Journal of Cleaner Production","DOI":"10.1016/j.jclepro.2019.117845","ISSN":"0959-6526","journalAbbreviation":"Journal of Cleaner Production","language":"en","page":"117845","source":"ScienceDirect","title":"Lignocellulosic marine biofuel: Technoeconomic and environmental assessment for production in Brazil and Sweden","title-short":"Lignocellulosic marine biofuel","volume":"239","author":[{"family":"Tanzer","given":"Samantha Eleanor"},{"family":"Posada","given":"John"},{"family":"Geraedts","given":"Sjors"},{"family":"Ramírez","given":"Andrea"}],"issued":{"date-parts":[["2019",12,1]]}}}],"schema":"https://github.com/citation-style-language/schema/raw/master/csl-citation.json"} </w:instrText>
      </w:r>
      <w:r w:rsidR="00DC54B8" w:rsidRPr="00AE536D">
        <w:rPr>
          <w:spacing w:val="-3"/>
          <w:lang w:val="en-US"/>
        </w:rPr>
        <w:fldChar w:fldCharType="separate"/>
      </w:r>
      <w:r w:rsidR="00DC54B8" w:rsidRPr="00AE536D">
        <w:rPr>
          <w:lang w:val="en-US"/>
        </w:rPr>
        <w:t>[8]</w:t>
      </w:r>
      <w:r w:rsidR="00DC54B8" w:rsidRPr="00AE536D">
        <w:rPr>
          <w:spacing w:val="-3"/>
          <w:lang w:val="en-US"/>
        </w:rPr>
        <w:fldChar w:fldCharType="end"/>
      </w:r>
      <w:r w:rsidRPr="00AE536D">
        <w:rPr>
          <w:spacing w:val="-3"/>
          <w:lang w:val="en-US"/>
        </w:rPr>
        <w:t xml:space="preserve">. </w:t>
      </w:r>
      <w:r w:rsidR="00267AAA" w:rsidRPr="00AE536D">
        <w:rPr>
          <w:spacing w:val="-3"/>
          <w:lang w:val="en-US"/>
        </w:rPr>
        <w:t xml:space="preserve">The referred </w:t>
      </w:r>
      <w:r w:rsidRPr="00AE536D">
        <w:rPr>
          <w:spacing w:val="-3"/>
          <w:lang w:val="en-US"/>
        </w:rPr>
        <w:t xml:space="preserve">study </w:t>
      </w:r>
      <w:r w:rsidR="00AE34B4" w:rsidRPr="00AE536D">
        <w:rPr>
          <w:spacing w:val="-3"/>
          <w:lang w:val="en-US"/>
        </w:rPr>
        <w:t>conducted</w:t>
      </w:r>
      <w:r w:rsidRPr="00AE536D">
        <w:rPr>
          <w:spacing w:val="-3"/>
          <w:lang w:val="en-US"/>
        </w:rPr>
        <w:t xml:space="preserve"> a systematic screening of the possible economic and environmental performance of 33 </w:t>
      </w:r>
      <w:r w:rsidRPr="00AE536D">
        <w:rPr>
          <w:spacing w:val="-3"/>
          <w:lang w:val="en-US"/>
        </w:rPr>
        <w:lastRenderedPageBreak/>
        <w:t>supply chains producing lignocellulosic biofuels.</w:t>
      </w:r>
      <w:r w:rsidR="00593F7F" w:rsidRPr="00AE536D">
        <w:rPr>
          <w:spacing w:val="-3"/>
          <w:lang w:val="en-US"/>
        </w:rPr>
        <w:t xml:space="preserve"> </w:t>
      </w:r>
      <w:r w:rsidR="00455814" w:rsidRPr="00AE536D">
        <w:rPr>
          <w:spacing w:val="-3"/>
          <w:lang w:val="en-US"/>
        </w:rPr>
        <w:t xml:space="preserve">In recent years, several authors have studied the potential of improving </w:t>
      </w:r>
      <w:r w:rsidR="00942B2A" w:rsidRPr="00AE536D">
        <w:rPr>
          <w:spacing w:val="-3"/>
          <w:lang w:val="en-US"/>
        </w:rPr>
        <w:t xml:space="preserve">the </w:t>
      </w:r>
      <w:r w:rsidR="00455814" w:rsidRPr="00AE536D">
        <w:rPr>
          <w:spacing w:val="-3"/>
          <w:lang w:val="en-US"/>
        </w:rPr>
        <w:t>efficiency of a ship and marine fuel system (by recovering the waste heat f</w:t>
      </w:r>
      <w:r w:rsidR="00BA779F" w:rsidRPr="00AE536D">
        <w:rPr>
          <w:spacing w:val="-3"/>
          <w:lang w:val="en-US"/>
        </w:rPr>
        <w:t>rom the d</w:t>
      </w:r>
      <w:r w:rsidR="00455814" w:rsidRPr="00AE536D">
        <w:rPr>
          <w:spacing w:val="-3"/>
          <w:lang w:val="en-US"/>
        </w:rPr>
        <w:t xml:space="preserve">iesel engines or maximizing the power output of the </w:t>
      </w:r>
      <w:r w:rsidR="000024A6" w:rsidRPr="00AE536D">
        <w:rPr>
          <w:spacing w:val="-3"/>
          <w:lang w:val="en-US"/>
        </w:rPr>
        <w:t>configuration</w:t>
      </w:r>
      <w:r w:rsidR="00455814" w:rsidRPr="00AE536D">
        <w:rPr>
          <w:spacing w:val="-3"/>
          <w:lang w:val="en-US"/>
        </w:rPr>
        <w:t>)</w:t>
      </w:r>
      <w:r w:rsidR="00DC54B8" w:rsidRPr="00AE536D">
        <w:rPr>
          <w:spacing w:val="-3"/>
          <w:lang w:val="en-US"/>
        </w:rPr>
        <w:t>.</w:t>
      </w:r>
    </w:p>
    <w:p w14:paraId="57A9F224" w14:textId="77777777" w:rsidR="00BA779F" w:rsidRPr="00AE536D" w:rsidRDefault="00BA779F" w:rsidP="008E74FB">
      <w:pPr>
        <w:tabs>
          <w:tab w:val="left" w:pos="-1134"/>
          <w:tab w:val="left" w:pos="-414"/>
        </w:tabs>
        <w:suppressAutoHyphens/>
        <w:spacing w:line="360" w:lineRule="auto"/>
        <w:rPr>
          <w:spacing w:val="-3"/>
          <w:lang w:val="en-US"/>
        </w:rPr>
      </w:pPr>
    </w:p>
    <w:p w14:paraId="2DBB3A4D" w14:textId="7C07D394" w:rsidR="00DA5510" w:rsidRPr="00AE536D" w:rsidRDefault="0016583A" w:rsidP="008E74FB">
      <w:pPr>
        <w:tabs>
          <w:tab w:val="left" w:pos="-1134"/>
          <w:tab w:val="left" w:pos="-414"/>
        </w:tabs>
        <w:suppressAutoHyphens/>
        <w:spacing w:line="360" w:lineRule="auto"/>
        <w:rPr>
          <w:spacing w:val="-3"/>
          <w:lang w:val="en-US"/>
        </w:rPr>
      </w:pPr>
      <w:r w:rsidRPr="00AE536D">
        <w:rPr>
          <w:spacing w:val="-3"/>
          <w:lang w:val="en-US"/>
        </w:rPr>
        <w:t>More specifically</w:t>
      </w:r>
      <w:r w:rsidR="00DC54B8" w:rsidRPr="00AE536D">
        <w:rPr>
          <w:spacing w:val="-3"/>
          <w:lang w:val="en-US"/>
        </w:rPr>
        <w:t xml:space="preserve">, </w:t>
      </w:r>
      <w:proofErr w:type="spellStart"/>
      <w:r w:rsidR="00DC54B8" w:rsidRPr="00B849AD">
        <w:rPr>
          <w:spacing w:val="-3"/>
          <w:highlight w:val="cyan"/>
          <w:lang w:val="en-US"/>
        </w:rPr>
        <w:t>Koroglu</w:t>
      </w:r>
      <w:proofErr w:type="spellEnd"/>
      <w:r w:rsidR="00DC54B8" w:rsidRPr="00B849AD">
        <w:rPr>
          <w:spacing w:val="-3"/>
          <w:highlight w:val="cyan"/>
          <w:lang w:val="en-US"/>
        </w:rPr>
        <w:t xml:space="preserve"> and </w:t>
      </w:r>
      <w:proofErr w:type="spellStart"/>
      <w:r w:rsidR="00DC54B8" w:rsidRPr="00B849AD">
        <w:rPr>
          <w:spacing w:val="-3"/>
          <w:highlight w:val="cyan"/>
          <w:lang w:val="en-US"/>
        </w:rPr>
        <w:t>Sogut</w:t>
      </w:r>
      <w:proofErr w:type="spellEnd"/>
      <w:r w:rsidR="00DC54B8" w:rsidRPr="00B849AD">
        <w:rPr>
          <w:spacing w:val="-3"/>
          <w:highlight w:val="cyan"/>
          <w:lang w:val="en-US"/>
        </w:rPr>
        <w:t xml:space="preserve"> </w:t>
      </w:r>
      <w:r w:rsidR="00DC54B8" w:rsidRPr="00B849AD">
        <w:rPr>
          <w:spacing w:val="-3"/>
          <w:highlight w:val="cyan"/>
          <w:lang w:val="en-US"/>
        </w:rPr>
        <w:fldChar w:fldCharType="begin"/>
      </w:r>
      <w:r w:rsidR="00DC54B8" w:rsidRPr="00B849AD">
        <w:rPr>
          <w:spacing w:val="-3"/>
          <w:highlight w:val="cyan"/>
          <w:lang w:val="en-US"/>
        </w:rPr>
        <w:instrText xml:space="preserve"> ADDIN ZOTERO_ITEM CSL_CITATION {"citationID":"gwixLU2M","properties":{"formattedCitation":"[9]","plainCitation":"[9]","noteIndex":0},"citationItems":[{"id":834,"uris":["http://zotero.org/users/5217225/items/3QE84KTE"],"uri":["http://zotero.org/users/5217225/items/3QE84KTE"],"itemData":{"id":834,"type":"article-journal","abstract":"Stricter rules and regulations about emissions for marine vessels and escalating fuel prices have motivated researchers and engineers to study further on improving fuel efficiency. Thus, it has become crucial to estimate the improvement potential and the sources of irreversibilities within energy systems. In this paper conventional and advanced exergy analyses are applied to a marine steam power plant to reveal insights which may help designers to make decisions on component renewal issues. The results of the study showed that the highest exergy destruction is within the boiler due to chemical reactions. Moreover, it has the highest avoidable exergy destruction. Pumps in the system contribute to the destruction in small percentages. Turbines have more importance compared to the heat exchangers. The findings for avoidable endogenous exergy destructions indicated that the improvement efforts should be focused essentially on boiler, turbines, condenser and pump equipment respectively, and that feed water heaters could be improved externally by improving other components. It is also concluded that the overall system has a 10% improvement potential of the exergy efficiency, of which almost three out of four is due to two components namely, boiler (6%), and low pressure turbine (1.3%), other components have smaller room for improvement.","container-title":"Energy","DOI":"10.1016/j.energy.2018.08.119","ISSN":"0360-5442","journalAbbreviation":"Energy","language":"en","page":"392-403","source":"ScienceDirect","title":"Conventional and advanced exergy analyses of a marine steam power plant","volume":"163","author":[{"family":"Koroglu","given":"Turgay"},{"family":"Sogut","given":"Oguz Salim"}],"issued":{"date-parts":[["2018",11,15]]}}}],"schema":"https://github.com/citation-style-language/schema/raw/master/csl-citation.json"} </w:instrText>
      </w:r>
      <w:r w:rsidR="00DC54B8" w:rsidRPr="00B849AD">
        <w:rPr>
          <w:spacing w:val="-3"/>
          <w:highlight w:val="cyan"/>
          <w:lang w:val="en-US"/>
        </w:rPr>
        <w:fldChar w:fldCharType="separate"/>
      </w:r>
      <w:r w:rsidR="00DC54B8" w:rsidRPr="00B849AD">
        <w:rPr>
          <w:highlight w:val="cyan"/>
          <w:lang w:val="en-US"/>
        </w:rPr>
        <w:t>[9]</w:t>
      </w:r>
      <w:r w:rsidR="00DC54B8" w:rsidRPr="00B849AD">
        <w:rPr>
          <w:spacing w:val="-3"/>
          <w:highlight w:val="cyan"/>
          <w:lang w:val="en-US"/>
        </w:rPr>
        <w:fldChar w:fldCharType="end"/>
      </w:r>
      <w:r w:rsidR="00455814" w:rsidRPr="00B849AD">
        <w:rPr>
          <w:spacing w:val="-3"/>
          <w:highlight w:val="cyan"/>
          <w:lang w:val="en-US"/>
        </w:rPr>
        <w:t xml:space="preserve"> </w:t>
      </w:r>
      <w:r w:rsidR="00942B2A" w:rsidRPr="00B849AD">
        <w:rPr>
          <w:spacing w:val="-3"/>
          <w:highlight w:val="cyan"/>
          <w:lang w:val="en-US"/>
        </w:rPr>
        <w:t>carried out a conventional and advanced exergy analysis that is applied to a marine steam power plant</w:t>
      </w:r>
      <w:r w:rsidR="00455814" w:rsidRPr="00B849AD">
        <w:rPr>
          <w:spacing w:val="-3"/>
          <w:highlight w:val="cyan"/>
          <w:lang w:val="en-US"/>
        </w:rPr>
        <w:t>. The results showed that the highest exergy destruction is within the boiler due to chemical reactions</w:t>
      </w:r>
      <w:r w:rsidR="00455814" w:rsidRPr="00AE536D">
        <w:rPr>
          <w:spacing w:val="-3"/>
          <w:lang w:val="en-US"/>
        </w:rPr>
        <w:t>. Yao et al.</w:t>
      </w:r>
      <w:r w:rsidR="00DC54B8" w:rsidRPr="00AE536D">
        <w:rPr>
          <w:spacing w:val="-3"/>
          <w:lang w:val="en-US"/>
        </w:rPr>
        <w:t xml:space="preserve"> </w:t>
      </w:r>
      <w:r w:rsidR="00DC54B8" w:rsidRPr="00AE536D">
        <w:rPr>
          <w:spacing w:val="-3"/>
          <w:lang w:val="en-US"/>
        </w:rPr>
        <w:fldChar w:fldCharType="begin"/>
      </w:r>
      <w:r w:rsidR="00DC54B8" w:rsidRPr="00AE536D">
        <w:rPr>
          <w:spacing w:val="-3"/>
          <w:lang w:val="en-US"/>
        </w:rPr>
        <w:instrText xml:space="preserve"> ADDIN ZOTERO_ITEM CSL_CITATION {"citationID":"mdYvYcTe","properties":{"formattedCitation":"[10]","plainCitation":"[10]","noteIndex":0},"citationItems":[{"id":832,"uris":["http://zotero.org/users/5217225/items/VY45IT7Q"],"uri":["http://zotero.org/users/5217225/items/VY45IT7Q"],"itemData":{"id":832,"type":"article-journal","abstract":"High-powered, medium-speed diesel engines are widely used in merchant ships. Improving energy efficiency by using energy rationally is critical to reducing both environmental pollution and transport charges. In this paper, the energy efficiency of marine high-powered, medium-speed diesel engine is investigated. A new thermal cycle model of the marine engine is developed using AVL-Boost software. The thermodynamic data of the engine thermal cycle are obtained from the AVL-Boost software. The energy efficiency of the marine diesel engine is evaluated using both energy balance and exergy analysis. From the energy balance analysis, about 25% of the total energy is lost through exhaust heat. This forms the largest energy loss. However, using exergy analysis the largest energy loss originates from the irreversible exergy loss produced during the combustion process. This represents about 36% of the total energy loss. To explore ways to reduce energy loss and improve the energy efficiency, the effects of critical combustion parameters in the thermal cycle (combustion quality index, combustion starting angle and combustion duration angle) on energy distributions are discussed. The decrease in the combustion quality index, combustion starting angle and combustion duration angle (within a reasonable range) all contribute to reduce the total energy loss, increasing the indicated work and improving energy efficiency.","container-title":"Energy","DOI":"10.1016/j.energy.2019.04.027","ISSN":"0360-5442","journalAbbreviation":"Energy","language":"en","page":"991-1006","source":"ScienceDirect","title":"Energy efficiency analysis of marine high-powered medium-speed diesel engine base on energy balance and exergy","volume":"176","author":[{"family":"Yao","given":"Zhi-Min"},{"family":"Qian","given":"Zuo-Qin"},{"family":"Li","given":"Rong"},{"family":"Hu","given":"Eric"}],"issued":{"date-parts":[["2019",6,1]]}}}],"schema":"https://github.com/citation-style-language/schema/raw/master/csl-citation.json"} </w:instrText>
      </w:r>
      <w:r w:rsidR="00DC54B8" w:rsidRPr="00AE536D">
        <w:rPr>
          <w:spacing w:val="-3"/>
          <w:lang w:val="en-US"/>
        </w:rPr>
        <w:fldChar w:fldCharType="separate"/>
      </w:r>
      <w:r w:rsidR="00DC54B8" w:rsidRPr="00AE536D">
        <w:rPr>
          <w:lang w:val="en-US"/>
        </w:rPr>
        <w:t>[10]</w:t>
      </w:r>
      <w:r w:rsidR="00DC54B8" w:rsidRPr="00AE536D">
        <w:rPr>
          <w:spacing w:val="-3"/>
          <w:lang w:val="en-US"/>
        </w:rPr>
        <w:fldChar w:fldCharType="end"/>
      </w:r>
      <w:r w:rsidR="00DC54B8" w:rsidRPr="00AE536D">
        <w:rPr>
          <w:spacing w:val="-3"/>
          <w:lang w:val="en-US"/>
        </w:rPr>
        <w:t xml:space="preserve"> </w:t>
      </w:r>
      <w:r w:rsidR="00AE34B4" w:rsidRPr="00AE536D">
        <w:rPr>
          <w:spacing w:val="-3"/>
          <w:lang w:val="en-US"/>
        </w:rPr>
        <w:t>assessed</w:t>
      </w:r>
      <w:r w:rsidR="00455814" w:rsidRPr="00AE536D">
        <w:rPr>
          <w:spacing w:val="-3"/>
          <w:lang w:val="en-US"/>
        </w:rPr>
        <w:t xml:space="preserve"> marine high-powered, m</w:t>
      </w:r>
      <w:r w:rsidR="00942B2A" w:rsidRPr="00AE536D">
        <w:rPr>
          <w:spacing w:val="-3"/>
          <w:lang w:val="en-US"/>
        </w:rPr>
        <w:t>edium-speed diesel engine</w:t>
      </w:r>
      <w:r w:rsidR="00AE34B4" w:rsidRPr="00AE536D">
        <w:rPr>
          <w:spacing w:val="-3"/>
          <w:lang w:val="en-US"/>
        </w:rPr>
        <w:t>s</w:t>
      </w:r>
      <w:r w:rsidR="00942B2A" w:rsidRPr="00AE536D">
        <w:rPr>
          <w:spacing w:val="-3"/>
          <w:lang w:val="en-US"/>
        </w:rPr>
        <w:t xml:space="preserve"> </w:t>
      </w:r>
      <w:r w:rsidR="00455814" w:rsidRPr="00AE536D">
        <w:rPr>
          <w:spacing w:val="-3"/>
          <w:lang w:val="en-US"/>
        </w:rPr>
        <w:t xml:space="preserve">using energy balance and exergy analysis. </w:t>
      </w:r>
      <w:r w:rsidR="00455814" w:rsidRPr="00B849AD">
        <w:rPr>
          <w:spacing w:val="-3"/>
          <w:highlight w:val="cyan"/>
          <w:lang w:val="en-US"/>
        </w:rPr>
        <w:t>The authors found that about 25% of the total energy is lost through exhaust heat and 36% during the combustion process.</w:t>
      </w:r>
      <w:r w:rsidR="00455814" w:rsidRPr="00AE536D">
        <w:rPr>
          <w:spacing w:val="-3"/>
          <w:lang w:val="en-US"/>
        </w:rPr>
        <w:t xml:space="preserve"> In the case of cruise ships, </w:t>
      </w:r>
      <w:proofErr w:type="spellStart"/>
      <w:r w:rsidR="00455814" w:rsidRPr="00AE536D">
        <w:rPr>
          <w:spacing w:val="-3"/>
          <w:lang w:val="en-US"/>
        </w:rPr>
        <w:t>Baldi</w:t>
      </w:r>
      <w:proofErr w:type="spellEnd"/>
      <w:r w:rsidR="00455814" w:rsidRPr="00AE536D">
        <w:rPr>
          <w:spacing w:val="-3"/>
          <w:lang w:val="en-US"/>
        </w:rPr>
        <w:t xml:space="preserve"> et al. </w:t>
      </w:r>
      <w:r w:rsidR="00DC54B8" w:rsidRPr="00AE536D">
        <w:rPr>
          <w:spacing w:val="-3"/>
          <w:lang w:val="en-US"/>
        </w:rPr>
        <w:fldChar w:fldCharType="begin"/>
      </w:r>
      <w:r w:rsidR="00DC54B8" w:rsidRPr="00AE536D">
        <w:rPr>
          <w:spacing w:val="-3"/>
          <w:lang w:val="en-US"/>
        </w:rPr>
        <w:instrText xml:space="preserve"> ADDIN ZOTERO_ITEM CSL_CITATION {"citationID":"MGJeP03J","properties":{"formattedCitation":"[11]","plainCitation":"[11]","noteIndex":0},"citationItems":[{"id":855,"uris":["http://zotero.org/users/5217225/items/3MG67Z99"],"uri":["http://zotero.org/users/5217225/items/3MG67Z99"],"itemData":{"id":855,"type":"article-journal","abstract":"In recent years, the International Maritime Organization agreed on aiming to reduce shipping&amp;rsquo;s greenhouse gas emissions by 50% with respect to 2009 levels. Meanwhile, cruise ship tourism is growing at a fast pace, making the challenge of achieving this goal even harder. The complexity of the energy system of these ships makes them of particular interest from an energy systems perspective. To illustrate this, we analyzed the energy and exergy flow rates of a cruise ship sailing in the Baltic Sea based on measurements from one year of the ship&amp;rsquo;s operations. The energy analysis allows identifying propulsion as the main energy user (46% of the total) followed by heat (27%) and electric power (27%) generation; the exergy analysis allowed instead identifying the main inefficiencies of the system: while exergy is primarily destroyed in all processes involving combustion (76% of the total), the other main causes of exergy destruction are the turbochargers, the heat recovery steam generators, the steam heaters, the preheater in the accommodation heating systems, the sea water coolers, and the electric generators; the main exergy losses take place in the exhaust gas of the engines not equipped with heat recovery devices. The application of clustering of the ship&amp;rsquo;s operations based on the concept of typical operational days suggests that the use of five typical days provides a good approximation of the yearly ship&amp;rsquo;s operations and can hence be used for the design and optimization of the energy systems of the ship.","container-title":"Energies","DOI":"10.3390/en11102508","issue":"10","language":"en","note":"number: 10\npublisher: Multidisciplinary Digital Publishing Institute","page":"2508","source":"www.mdpi.com","title":"Energy and Exergy Analysis of a Cruise Ship","volume":"11","author":[{"family":"Baldi","given":"Francesco"},{"family":"Ahlgren","given":"Fredrik"},{"family":"Nguyen","given":"Tuong-Van"},{"family":"Thern","given":"Marcus"},{"family":"Andersson","given":"Karin"}],"issued":{"date-parts":[["2018",10]]}}}],"schema":"https://github.com/citation-style-language/schema/raw/master/csl-citation.json"} </w:instrText>
      </w:r>
      <w:r w:rsidR="00DC54B8" w:rsidRPr="00AE536D">
        <w:rPr>
          <w:spacing w:val="-3"/>
          <w:lang w:val="en-US"/>
        </w:rPr>
        <w:fldChar w:fldCharType="separate"/>
      </w:r>
      <w:r w:rsidR="00DC54B8" w:rsidRPr="00AE536D">
        <w:rPr>
          <w:lang w:val="en-US"/>
        </w:rPr>
        <w:t>[11]</w:t>
      </w:r>
      <w:r w:rsidR="00DC54B8" w:rsidRPr="00AE536D">
        <w:rPr>
          <w:spacing w:val="-3"/>
          <w:lang w:val="en-US"/>
        </w:rPr>
        <w:fldChar w:fldCharType="end"/>
      </w:r>
      <w:r w:rsidR="00455814" w:rsidRPr="00AE536D">
        <w:rPr>
          <w:spacing w:val="-3"/>
          <w:lang w:val="en-US"/>
        </w:rPr>
        <w:t xml:space="preserve"> attempted to optimize the load allocation among the different engines of the same case study, including considerations related to the efficiency of the heat generation on board.</w:t>
      </w:r>
    </w:p>
    <w:p w14:paraId="02B8730B" w14:textId="77777777" w:rsidR="00DA5510" w:rsidRPr="00AE536D" w:rsidRDefault="00DA5510" w:rsidP="008E74FB">
      <w:pPr>
        <w:tabs>
          <w:tab w:val="left" w:pos="-1134"/>
          <w:tab w:val="left" w:pos="-414"/>
        </w:tabs>
        <w:suppressAutoHyphens/>
        <w:spacing w:line="360" w:lineRule="auto"/>
        <w:rPr>
          <w:spacing w:val="-3"/>
          <w:lang w:val="en-US"/>
        </w:rPr>
      </w:pPr>
    </w:p>
    <w:p w14:paraId="1E2F4C3D" w14:textId="3A52F16F" w:rsidR="00A9673E" w:rsidRPr="00AE536D" w:rsidRDefault="003A0840" w:rsidP="008E74FB">
      <w:pPr>
        <w:tabs>
          <w:tab w:val="left" w:pos="-1134"/>
          <w:tab w:val="left" w:pos="-414"/>
        </w:tabs>
        <w:suppressAutoHyphens/>
        <w:spacing w:line="360" w:lineRule="auto"/>
        <w:rPr>
          <w:lang w:val="en-US"/>
        </w:rPr>
      </w:pPr>
      <w:r w:rsidRPr="00AE536D">
        <w:rPr>
          <w:spacing w:val="-3"/>
          <w:lang w:val="en-US"/>
        </w:rPr>
        <w:t>However, the complexity of the maritime shipping sector offers an opportunity from an energy syst</w:t>
      </w:r>
      <w:r w:rsidR="0016583A" w:rsidRPr="00AE536D">
        <w:rPr>
          <w:spacing w:val="-3"/>
          <w:lang w:val="en-US"/>
        </w:rPr>
        <w:t xml:space="preserve">ems perspective to identify </w:t>
      </w:r>
      <w:r w:rsidRPr="00AE536D">
        <w:rPr>
          <w:spacing w:val="-3"/>
          <w:lang w:val="en-US"/>
        </w:rPr>
        <w:t xml:space="preserve">potential areas </w:t>
      </w:r>
      <w:r w:rsidR="0016583A" w:rsidRPr="00AE536D">
        <w:rPr>
          <w:spacing w:val="-3"/>
          <w:lang w:val="en-US"/>
        </w:rPr>
        <w:t xml:space="preserve">for improvement, as well as to categorize </w:t>
      </w:r>
      <w:r w:rsidRPr="00AE536D">
        <w:rPr>
          <w:spacing w:val="-3"/>
          <w:lang w:val="en-US"/>
        </w:rPr>
        <w:t>the minimization of irreversibilities sources. It has become crucial to estimate an optimized design of the most promising system</w:t>
      </w:r>
      <w:r w:rsidR="00CE733E" w:rsidRPr="00AE536D">
        <w:rPr>
          <w:spacing w:val="-3"/>
          <w:lang w:val="en-US"/>
        </w:rPr>
        <w:t xml:space="preserve"> to deliver its fair share of the global decarbonisation challenge</w:t>
      </w:r>
      <w:r w:rsidRPr="00AE536D">
        <w:rPr>
          <w:spacing w:val="-3"/>
          <w:lang w:val="en-US"/>
        </w:rPr>
        <w:t>.</w:t>
      </w:r>
      <w:r w:rsidR="00A9673E" w:rsidRPr="00AE536D">
        <w:rPr>
          <w:spacing w:val="-3"/>
          <w:lang w:val="en-US"/>
        </w:rPr>
        <w:t xml:space="preserve"> Hence, h</w:t>
      </w:r>
      <w:r w:rsidR="00A9673E" w:rsidRPr="00AE536D">
        <w:rPr>
          <w:lang w:val="en-US"/>
        </w:rPr>
        <w:t>aving a feedstock availability and consistent processing technologies to produce competitive biofuels at a large scale are key factors to promote most of the abatement of emissions required to achieve the IMO strategies. In fact, marine shipping industry is a relatively low-energy mode of long-distance transportation that should continue improving its energy efficiency and cost-competitiveness to consolidate the operation into a competitive market with options such as aviation and road transport.</w:t>
      </w:r>
    </w:p>
    <w:p w14:paraId="6E2BB799" w14:textId="77777777" w:rsidR="00A9673E" w:rsidRPr="00AE536D" w:rsidRDefault="00A9673E" w:rsidP="008E74FB">
      <w:pPr>
        <w:tabs>
          <w:tab w:val="left" w:pos="-1134"/>
          <w:tab w:val="left" w:pos="-414"/>
        </w:tabs>
        <w:suppressAutoHyphens/>
        <w:spacing w:line="360" w:lineRule="auto"/>
        <w:rPr>
          <w:spacing w:val="-3"/>
          <w:lang w:val="en-US"/>
        </w:rPr>
      </w:pPr>
    </w:p>
    <w:p w14:paraId="603A883D" w14:textId="534CD0EC" w:rsidR="00455814" w:rsidRPr="00AE536D" w:rsidRDefault="00E26C64" w:rsidP="008E74FB">
      <w:pPr>
        <w:tabs>
          <w:tab w:val="left" w:pos="-1134"/>
          <w:tab w:val="left" w:pos="-414"/>
        </w:tabs>
        <w:suppressAutoHyphens/>
        <w:spacing w:line="360" w:lineRule="auto"/>
        <w:rPr>
          <w:spacing w:val="-3"/>
          <w:lang w:val="en-US"/>
        </w:rPr>
      </w:pPr>
      <w:r w:rsidRPr="00AE536D">
        <w:rPr>
          <w:spacing w:val="-3"/>
          <w:lang w:val="en-US"/>
        </w:rPr>
        <w:t xml:space="preserve">In this work, the potential of biofuels and marine blends was assessed from the exergetic point of view. The analysis covers seven agroforestry residues used as raw material and their conversion through three thermochemical biofuel production routes, namely hydrothermal liquefaction with hydrodeoxygenation (HTL), fast pyrolysis with hydrodeoxygenation (FPH), and gasification with Fischer-Tropsch synthesis (GFT). </w:t>
      </w:r>
      <w:r w:rsidR="00455814" w:rsidRPr="00AE536D">
        <w:rPr>
          <w:spacing w:val="-3"/>
          <w:lang w:val="en-US"/>
        </w:rPr>
        <w:t xml:space="preserve">Thus, a technical performance </w:t>
      </w:r>
      <w:r w:rsidR="00942B2A" w:rsidRPr="00AE536D">
        <w:rPr>
          <w:spacing w:val="-3"/>
          <w:lang w:val="en-US"/>
        </w:rPr>
        <w:t>assessment</w:t>
      </w:r>
      <w:r w:rsidR="00455814" w:rsidRPr="00AE536D">
        <w:rPr>
          <w:spacing w:val="-3"/>
          <w:lang w:val="en-US"/>
        </w:rPr>
        <w:t xml:space="preserve"> of </w:t>
      </w:r>
      <w:r w:rsidR="00CE733E" w:rsidRPr="00AE536D">
        <w:rPr>
          <w:spacing w:val="-3"/>
          <w:lang w:val="en-US"/>
        </w:rPr>
        <w:t xml:space="preserve">the </w:t>
      </w:r>
      <w:r w:rsidR="00455814" w:rsidRPr="00AE536D">
        <w:rPr>
          <w:spacing w:val="-3"/>
          <w:lang w:val="en-US"/>
        </w:rPr>
        <w:t xml:space="preserve">lignocellulosic marine biofuel </w:t>
      </w:r>
      <w:r w:rsidR="00B50998" w:rsidRPr="00AE536D">
        <w:rPr>
          <w:spacing w:val="-3"/>
          <w:lang w:val="en-US"/>
        </w:rPr>
        <w:t>framework</w:t>
      </w:r>
      <w:r w:rsidR="00455814" w:rsidRPr="00AE536D">
        <w:rPr>
          <w:spacing w:val="-3"/>
          <w:lang w:val="en-US"/>
        </w:rPr>
        <w:t xml:space="preserve"> using the exergy </w:t>
      </w:r>
      <w:r w:rsidR="00B50998" w:rsidRPr="00AE536D">
        <w:rPr>
          <w:spacing w:val="-3"/>
          <w:lang w:val="en-US"/>
        </w:rPr>
        <w:t>principles</w:t>
      </w:r>
      <w:r w:rsidR="00455814" w:rsidRPr="00AE536D">
        <w:rPr>
          <w:spacing w:val="-3"/>
          <w:lang w:val="en-US"/>
        </w:rPr>
        <w:t xml:space="preserve"> as indicator</w:t>
      </w:r>
      <w:r w:rsidR="00B50998" w:rsidRPr="00AE536D">
        <w:rPr>
          <w:spacing w:val="-3"/>
          <w:lang w:val="en-US"/>
        </w:rPr>
        <w:t>s</w:t>
      </w:r>
      <w:r w:rsidR="00455814" w:rsidRPr="00AE536D">
        <w:rPr>
          <w:spacing w:val="-3"/>
          <w:lang w:val="en-US"/>
        </w:rPr>
        <w:t xml:space="preserve"> was carried out, which could be relevant and support the decision-making process regarding further re</w:t>
      </w:r>
      <w:r w:rsidR="00942B2A" w:rsidRPr="00AE536D">
        <w:rPr>
          <w:spacing w:val="-3"/>
          <w:lang w:val="en-US"/>
        </w:rPr>
        <w:t>search on low-carbon</w:t>
      </w:r>
      <w:r w:rsidR="00D801C9" w:rsidRPr="00AE536D">
        <w:rPr>
          <w:spacing w:val="-3"/>
          <w:lang w:val="en-US"/>
        </w:rPr>
        <w:t xml:space="preserve"> footprint</w:t>
      </w:r>
      <w:r w:rsidR="00942B2A" w:rsidRPr="00AE536D">
        <w:rPr>
          <w:spacing w:val="-3"/>
          <w:lang w:val="en-US"/>
        </w:rPr>
        <w:t>, low-sul</w:t>
      </w:r>
      <w:r w:rsidR="00AE34B4" w:rsidRPr="00AE536D">
        <w:rPr>
          <w:spacing w:val="-3"/>
          <w:lang w:val="en-US"/>
        </w:rPr>
        <w:t>f</w:t>
      </w:r>
      <w:r w:rsidR="00942B2A" w:rsidRPr="00AE536D">
        <w:rPr>
          <w:spacing w:val="-3"/>
          <w:lang w:val="en-US"/>
        </w:rPr>
        <w:t>ur</w:t>
      </w:r>
      <w:r w:rsidR="00455814" w:rsidRPr="00AE536D">
        <w:rPr>
          <w:spacing w:val="-3"/>
          <w:lang w:val="en-US"/>
        </w:rPr>
        <w:t xml:space="preserve"> marine biofuels</w:t>
      </w:r>
      <w:r w:rsidR="00B50998" w:rsidRPr="00AE536D">
        <w:rPr>
          <w:spacing w:val="-3"/>
          <w:lang w:val="en-US"/>
        </w:rPr>
        <w:t xml:space="preserve"> in a competitive market promoting the use of renewables </w:t>
      </w:r>
      <w:r w:rsidR="00CE733E" w:rsidRPr="00AE536D">
        <w:rPr>
          <w:spacing w:val="-3"/>
          <w:lang w:val="en-US"/>
        </w:rPr>
        <w:t>in</w:t>
      </w:r>
      <w:r w:rsidR="00B50998" w:rsidRPr="00AE536D">
        <w:rPr>
          <w:spacing w:val="-3"/>
          <w:lang w:val="en-US"/>
        </w:rPr>
        <w:t xml:space="preserve"> the shipping sector</w:t>
      </w:r>
      <w:r w:rsidR="00455814" w:rsidRPr="00AE536D">
        <w:rPr>
          <w:spacing w:val="-3"/>
          <w:lang w:val="en-US"/>
        </w:rPr>
        <w:t>.</w:t>
      </w:r>
    </w:p>
    <w:p w14:paraId="62DC954B" w14:textId="08C17EDB" w:rsidR="006F7A0D" w:rsidRPr="00AC0EBF" w:rsidRDefault="006F7A0D">
      <w:pPr>
        <w:autoSpaceDE/>
        <w:autoSpaceDN/>
        <w:jc w:val="left"/>
        <w:rPr>
          <w:sz w:val="22"/>
          <w:szCs w:val="22"/>
          <w:lang w:val="en-US" w:eastAsia="ja-JP"/>
        </w:rPr>
      </w:pPr>
    </w:p>
    <w:p w14:paraId="132412B5" w14:textId="77777777" w:rsidR="007B7863" w:rsidRDefault="00AF0BD8" w:rsidP="007B7863">
      <w:pPr>
        <w:pStyle w:val="Ttulo2"/>
        <w:numPr>
          <w:ilvl w:val="0"/>
          <w:numId w:val="9"/>
        </w:numPr>
        <w:rPr>
          <w:lang w:val="en-US"/>
        </w:rPr>
      </w:pPr>
      <w:r w:rsidRPr="00D801C9">
        <w:rPr>
          <w:lang w:val="en-US"/>
        </w:rPr>
        <w:lastRenderedPageBreak/>
        <w:t>MATERIALS AND METHODS</w:t>
      </w:r>
    </w:p>
    <w:p w14:paraId="57AC26F7" w14:textId="2AEAF775" w:rsidR="00AE34B4" w:rsidRPr="007B7863" w:rsidRDefault="00AE34B4" w:rsidP="007B7863">
      <w:pPr>
        <w:pStyle w:val="Ttulo2"/>
        <w:numPr>
          <w:ilvl w:val="1"/>
          <w:numId w:val="9"/>
        </w:numPr>
        <w:ind w:left="993" w:hanging="993"/>
        <w:rPr>
          <w:lang w:val="en-US"/>
        </w:rPr>
      </w:pPr>
      <w:r w:rsidRPr="007B7863">
        <w:rPr>
          <w:lang w:val="en-US"/>
        </w:rPr>
        <w:t>Feedstock</w:t>
      </w:r>
      <w:r w:rsidR="00605BD5" w:rsidRPr="007B7863">
        <w:rPr>
          <w:lang w:val="en-US"/>
        </w:rPr>
        <w:t>s</w:t>
      </w:r>
      <w:r w:rsidRPr="007B7863">
        <w:rPr>
          <w:lang w:val="en-US"/>
        </w:rPr>
        <w:t xml:space="preserve"> and Process options</w:t>
      </w:r>
    </w:p>
    <w:p w14:paraId="787CA94B" w14:textId="77777777" w:rsidR="00605BD5" w:rsidRPr="00AE536D" w:rsidRDefault="00605BD5" w:rsidP="008E74FB">
      <w:pPr>
        <w:spacing w:line="360" w:lineRule="auto"/>
        <w:rPr>
          <w:lang w:val="en-US" w:eastAsia="ja-JP"/>
        </w:rPr>
      </w:pPr>
      <w:r w:rsidRPr="00AE536D">
        <w:rPr>
          <w:lang w:val="en-US" w:eastAsia="ja-JP"/>
        </w:rPr>
        <w:t>First, raw materials were chosen based on projected availability. Next for the selected feedstock and biofuel production technology, process models were developed. The models were designed with a parallel data structure to ensure that each feedstock/technology scenario (21 pairs) used a standardized set of parameters and permitted an exergy-based comparison.</w:t>
      </w:r>
    </w:p>
    <w:p w14:paraId="5B5C2177" w14:textId="77777777" w:rsidR="00605BD5" w:rsidRPr="00AE536D" w:rsidRDefault="00605BD5" w:rsidP="008E74FB">
      <w:pPr>
        <w:spacing w:line="360" w:lineRule="auto"/>
        <w:rPr>
          <w:lang w:val="en-US" w:eastAsia="ja-JP"/>
        </w:rPr>
      </w:pPr>
    </w:p>
    <w:p w14:paraId="5B53DD4C" w14:textId="59E47128" w:rsidR="00AA1D86" w:rsidRPr="00AE536D" w:rsidRDefault="00090DA7" w:rsidP="008E74FB">
      <w:pPr>
        <w:spacing w:line="360" w:lineRule="auto"/>
        <w:rPr>
          <w:lang w:val="en-US" w:eastAsia="ja-JP"/>
        </w:rPr>
      </w:pPr>
      <w:r w:rsidRPr="00AE536D">
        <w:rPr>
          <w:lang w:val="en-US" w:eastAsia="ja-JP"/>
        </w:rPr>
        <w:t xml:space="preserve">Brazil was selected as </w:t>
      </w:r>
      <w:r w:rsidR="00832A88" w:rsidRPr="00AE536D">
        <w:rPr>
          <w:lang w:val="en-US" w:eastAsia="ja-JP"/>
        </w:rPr>
        <w:t xml:space="preserve">a </w:t>
      </w:r>
      <w:r w:rsidRPr="00AE536D">
        <w:rPr>
          <w:lang w:val="en-US" w:eastAsia="ja-JP"/>
        </w:rPr>
        <w:t xml:space="preserve">reference </w:t>
      </w:r>
      <w:r w:rsidR="00832A88" w:rsidRPr="00AE536D">
        <w:rPr>
          <w:lang w:val="en-US" w:eastAsia="ja-JP"/>
        </w:rPr>
        <w:t>because</w:t>
      </w:r>
      <w:r w:rsidRPr="00AE536D">
        <w:rPr>
          <w:lang w:val="en-US" w:eastAsia="ja-JP"/>
        </w:rPr>
        <w:t xml:space="preserve"> of its </w:t>
      </w:r>
      <w:r w:rsidR="00DF63E3" w:rsidRPr="00AE536D">
        <w:rPr>
          <w:lang w:val="en-US" w:eastAsia="ja-JP"/>
        </w:rPr>
        <w:t xml:space="preserve">competitiveness in agribusiness and its </w:t>
      </w:r>
      <w:r w:rsidR="00656980" w:rsidRPr="00AE536D">
        <w:rPr>
          <w:lang w:val="en-US" w:eastAsia="ja-JP"/>
        </w:rPr>
        <w:t xml:space="preserve">experience in </w:t>
      </w:r>
      <w:r w:rsidR="00DF63E3" w:rsidRPr="00AE536D">
        <w:rPr>
          <w:lang w:val="en-US" w:eastAsia="ja-JP"/>
        </w:rPr>
        <w:t xml:space="preserve">biofuels </w:t>
      </w:r>
      <w:r w:rsidR="00656980" w:rsidRPr="00AE536D">
        <w:rPr>
          <w:lang w:val="en-US" w:eastAsia="ja-JP"/>
        </w:rPr>
        <w:t xml:space="preserve">production, these facts and particularities situated </w:t>
      </w:r>
      <w:r w:rsidR="00DF63E3" w:rsidRPr="00AE536D">
        <w:rPr>
          <w:lang w:val="en-US" w:eastAsia="ja-JP"/>
        </w:rPr>
        <w:t>the country in a key position in the biofuel market</w:t>
      </w:r>
      <w:r w:rsidRPr="00AE536D">
        <w:rPr>
          <w:lang w:val="en-US" w:eastAsia="ja-JP"/>
        </w:rPr>
        <w:t>.</w:t>
      </w:r>
      <w:r w:rsidR="006145E6" w:rsidRPr="00AE536D">
        <w:rPr>
          <w:lang w:val="en-US" w:eastAsia="ja-JP"/>
        </w:rPr>
        <w:t xml:space="preserve"> </w:t>
      </w:r>
      <w:r w:rsidR="00EF64CF" w:rsidRPr="00AE536D">
        <w:rPr>
          <w:lang w:val="en-US" w:eastAsia="ja-JP"/>
        </w:rPr>
        <w:t>Brazil is one of the fastest-growing economies in Latin America and renewable energy sources are strategic into the Brazilian energy matrix. For instance, the electrical matrix of predominantly renewable origin, with emphasis on the hydropower plants that accounts for 64.9% of the domestic energy supply in 2019. Renewable sources account for 83.0% of the domestic supply of electricity, which is the result of the sum of the amounts referring to domestic production plus imports (Wind, Biomass, and Solar resources) in Brazil, which are basically of renewable origin</w:t>
      </w:r>
      <w:r w:rsidR="006145E6" w:rsidRPr="00AE536D">
        <w:rPr>
          <w:lang w:val="en-US" w:eastAsia="ja-JP"/>
        </w:rPr>
        <w:t xml:space="preserve"> </w:t>
      </w:r>
      <w:r w:rsidR="006145E6" w:rsidRPr="00AE536D">
        <w:rPr>
          <w:lang w:val="en-US" w:eastAsia="ja-JP"/>
        </w:rPr>
        <w:fldChar w:fldCharType="begin"/>
      </w:r>
      <w:r w:rsidR="006145E6" w:rsidRPr="00AE536D">
        <w:rPr>
          <w:lang w:val="en-US" w:eastAsia="ja-JP"/>
        </w:rPr>
        <w:instrText xml:space="preserve"> ADDIN ZOTERO_ITEM CSL_CITATION {"citationID":"DzdeVzau","properties":{"formattedCitation":"[12]","plainCitation":"[12]","noteIndex":0},"citationItems":[{"id":460,"uris":["http://zotero.org/users/5217225/items/9Y5Y8G77"],"uri":["http://zotero.org/users/5217225/items/9Y5Y8G77"],"itemData":{"id":460,"type":"webpage","title":"Brazilian Energy Research Company","URL":"http://www.epe.gov.br","author":[{"literal":"EPE"}],"accessed":{"date-parts":[["2019",11,1]]},"issued":{"date-parts":[["2019"]]}}}],"schema":"https://github.com/citation-style-language/schema/raw/master/csl-citation.json"} </w:instrText>
      </w:r>
      <w:r w:rsidR="006145E6" w:rsidRPr="00AE536D">
        <w:rPr>
          <w:lang w:val="en-US" w:eastAsia="ja-JP"/>
        </w:rPr>
        <w:fldChar w:fldCharType="separate"/>
      </w:r>
      <w:r w:rsidR="006145E6" w:rsidRPr="00AE536D">
        <w:t>[12]</w:t>
      </w:r>
      <w:r w:rsidR="006145E6" w:rsidRPr="00AE536D">
        <w:rPr>
          <w:lang w:val="en-US" w:eastAsia="ja-JP"/>
        </w:rPr>
        <w:fldChar w:fldCharType="end"/>
      </w:r>
      <w:r w:rsidR="00EF64CF" w:rsidRPr="00AE536D">
        <w:rPr>
          <w:lang w:val="en-US" w:eastAsia="ja-JP"/>
        </w:rPr>
        <w:t>.</w:t>
      </w:r>
      <w:r w:rsidR="006145E6" w:rsidRPr="00AE536D">
        <w:rPr>
          <w:lang w:val="en-US" w:eastAsia="ja-JP"/>
        </w:rPr>
        <w:t xml:space="preserve"> Hence, this paper is focused on biomass from the agricultural origin, given the Brazilian land resources and its agricultural and forestry residues to explore the potential feedstock for renewable marine fuels.</w:t>
      </w:r>
    </w:p>
    <w:p w14:paraId="2BD6025E" w14:textId="77777777" w:rsidR="00BC5C58" w:rsidRPr="00AE536D" w:rsidRDefault="00BC5C58" w:rsidP="008E74FB">
      <w:pPr>
        <w:spacing w:line="360" w:lineRule="auto"/>
        <w:rPr>
          <w:lang w:val="en-US" w:eastAsia="ja-JP"/>
        </w:rPr>
      </w:pPr>
    </w:p>
    <w:p w14:paraId="2A48DD18" w14:textId="02C35D0E" w:rsidR="00143F8F" w:rsidRDefault="00AA1D86" w:rsidP="008E74FB">
      <w:pPr>
        <w:spacing w:line="360" w:lineRule="auto"/>
        <w:rPr>
          <w:lang w:val="en-US" w:eastAsia="ja-JP"/>
        </w:rPr>
      </w:pPr>
      <w:r w:rsidRPr="00AE536D">
        <w:rPr>
          <w:lang w:val="en-US" w:eastAsia="ja-JP"/>
        </w:rPr>
        <w:t xml:space="preserve">The most promising potential raw materials for the initial development of marine fuels in Brazil are plants that contain sugars and starches but materials such as plant oils, lignocellulose, and industrial waste residues can be considered for the longer-term feedstocks. </w:t>
      </w:r>
      <w:r w:rsidR="000E4DE5" w:rsidRPr="00AE536D">
        <w:rPr>
          <w:lang w:val="en-US" w:eastAsia="ja-JP"/>
        </w:rPr>
        <w:t xml:space="preserve">This is an important factor since the </w:t>
      </w:r>
      <w:r w:rsidR="00F01C79" w:rsidRPr="00AE536D">
        <w:rPr>
          <w:lang w:val="en-US" w:eastAsia="ja-JP"/>
        </w:rPr>
        <w:t xml:space="preserve">choice of feedstock takes into account its biomass production cost (usually represent 70%) or more of the overall biofuel price </w:t>
      </w:r>
      <w:r w:rsidR="00DE1CA2" w:rsidRPr="00AE536D">
        <w:rPr>
          <w:lang w:val="en-US" w:eastAsia="ja-JP"/>
        </w:rPr>
        <w:fldChar w:fldCharType="begin"/>
      </w:r>
      <w:r w:rsidR="00DE1CA2" w:rsidRPr="00AE536D">
        <w:rPr>
          <w:lang w:val="en-US" w:eastAsia="ja-JP"/>
        </w:rPr>
        <w:instrText xml:space="preserve"> ADDIN ZOTERO_ITEM CSL_CITATION {"citationID":"xm0asIrC","properties":{"formattedCitation":"[13]","plainCitation":"[13]","noteIndex":0},"citationItems":[{"id":1120,"uris":["http://zotero.org/users/5217225/items/DDY5N7SF"],"uri":["http://zotero.org/users/5217225/items/DDY5N7SF"],"itemData":{"id":1120,"type":"article-journal","abstract":"Currently, electricity generation and second-generation ethanol production from lignocellulosic feedstocks represent technological alternatives in the bioenergy sector. Nevertheless, the introduction of new production processes denotes a real challenge due to the complexity and diversity of the pathways that can be evaluated. In addition, there are economic and environmental factors that must be considered during the development and consolidation of these new configurations. Accordingly, this paper presents a methodology to perform the exergy and exergo-environmental analysis, and ranking of sugarcane-based biorefineries. The proposed models assessed the Conventional (Route 1), Biochemical (Route 2), and Thermochemical (Route 3) pathways using simulation programs and mathematical tools to simulate the ethanol production and electricity generation. Furthermore, the process integration and different uses for the surplus bagasse were studied, aiming at the optimizing and ranking of routes. The results indicated optimal settings that allowed the routes ranking in terms of the renewability exergy index “λ”. In this context, the biochemical pathway (Route 2) presented the maximum exergy efficiency, therefore the lowest average unitary exergy cost of the evaluated platforms. This system that promoted an increase of 22% and 45% in the ethanol production, when compared to Route 1 and Route 3, respectively. Besides, the thermochemical pathway (Route 3) presented the configuration with the highest power generation rate. Concerning the environmental impact results, it was found that the most sustainable configuration was Route 2, which presented the lowest overall CO2 emissions rates (131.45 gCO2/MJ products).","container-title":"Fuel","DOI":"10.1016/j.fuel.2020.118327","ISSN":"0016-2361","journalAbbreviation":"Fuel","language":"en","page":"118327","source":"ScienceDirect","title":"Exergy assessment and techno-economic optimization of bioethanol production routes","volume":"279","author":[{"family":"Silva Ortiz","given":"Pablo A."},{"family":"Maréchal","given":"François"},{"family":"Oliveira Junior","given":"Silvio","non-dropping-particle":"de"}],"issued":{"date-parts":[["2020",11,1]]}}}],"schema":"https://github.com/citation-style-language/schema/raw/master/csl-citation.json"} </w:instrText>
      </w:r>
      <w:r w:rsidR="00DE1CA2" w:rsidRPr="00AE536D">
        <w:rPr>
          <w:lang w:val="en-US" w:eastAsia="ja-JP"/>
        </w:rPr>
        <w:fldChar w:fldCharType="separate"/>
      </w:r>
      <w:r w:rsidR="00DE1CA2" w:rsidRPr="00AE536D">
        <w:t>[13]</w:t>
      </w:r>
      <w:r w:rsidR="00DE1CA2" w:rsidRPr="00AE536D">
        <w:rPr>
          <w:lang w:val="en-US" w:eastAsia="ja-JP"/>
        </w:rPr>
        <w:fldChar w:fldCharType="end"/>
      </w:r>
      <w:r w:rsidR="00F01C79" w:rsidRPr="00AE536D">
        <w:rPr>
          <w:lang w:val="en-US" w:eastAsia="ja-JP"/>
        </w:rPr>
        <w:t>.</w:t>
      </w:r>
      <w:r w:rsidR="00DE1CA2" w:rsidRPr="00AE536D">
        <w:rPr>
          <w:lang w:val="en-US" w:eastAsia="ja-JP"/>
        </w:rPr>
        <w:t xml:space="preserve"> </w:t>
      </w:r>
      <w:r w:rsidR="003127E2" w:rsidRPr="00AE536D">
        <w:rPr>
          <w:lang w:val="en-US" w:eastAsia="ja-JP"/>
        </w:rPr>
        <w:t>T</w:t>
      </w:r>
      <w:r w:rsidR="00563C35" w:rsidRPr="00AE536D">
        <w:rPr>
          <w:lang w:val="en-US" w:eastAsia="ja-JP"/>
        </w:rPr>
        <w:t xml:space="preserve">hus, </w:t>
      </w:r>
      <w:r w:rsidR="00832A88" w:rsidRPr="00AE536D">
        <w:rPr>
          <w:lang w:val="en-US" w:eastAsia="ja-JP"/>
        </w:rPr>
        <w:t>Table 1 presents the current status and prospects feedstock given in tropical climate for the maritime industry are studied looking for business opportunities in this sector.</w:t>
      </w:r>
    </w:p>
    <w:p w14:paraId="1BD585AE" w14:textId="77777777" w:rsidR="00AE536D" w:rsidRPr="00AE536D" w:rsidRDefault="00AE536D" w:rsidP="008E74FB">
      <w:pPr>
        <w:spacing w:line="360" w:lineRule="auto"/>
        <w:rPr>
          <w:lang w:val="en-US" w:eastAsia="ja-JP"/>
        </w:rPr>
      </w:pPr>
    </w:p>
    <w:p w14:paraId="22A205D4" w14:textId="795B5D86" w:rsidR="00605BD5" w:rsidRPr="009361EA" w:rsidRDefault="00605BD5" w:rsidP="008E74FB">
      <w:pPr>
        <w:spacing w:line="360" w:lineRule="auto"/>
        <w:rPr>
          <w:lang w:val="en-US" w:eastAsia="ja-JP"/>
        </w:rPr>
      </w:pPr>
      <w:r w:rsidRPr="00AE536D">
        <w:rPr>
          <w:lang w:val="en-US" w:eastAsia="ja-JP"/>
        </w:rPr>
        <w:t>Three thermochemical biofuel pathways that are near-term candidates for large-scale commercial production were analyzed (</w:t>
      </w:r>
      <w:r w:rsidRPr="00AE536D">
        <w:rPr>
          <w:i/>
          <w:lang w:val="en-US" w:eastAsia="ja-JP"/>
        </w:rPr>
        <w:t>e.g.,</w:t>
      </w:r>
      <w:r w:rsidRPr="00AE536D">
        <w:rPr>
          <w:lang w:val="en-US" w:eastAsia="ja-JP"/>
        </w:rPr>
        <w:t xml:space="preserve"> Hydrothermal Liquefaction-HTL, Fast Pyrolysis-FP, and Gasification with Fischer-Tropsch synthesis GFT). Both HTL and FP are in early commercialization, with 25-80 million liters of biofuel annually produced from wood feedstock by demonstration plants </w:t>
      </w:r>
      <w:r w:rsidRPr="00AE536D">
        <w:rPr>
          <w:lang w:val="en-US" w:eastAsia="ja-JP"/>
        </w:rPr>
        <w:fldChar w:fldCharType="begin"/>
      </w:r>
      <w:r w:rsidR="00DE1CA2" w:rsidRPr="00AE536D">
        <w:rPr>
          <w:lang w:val="en-US" w:eastAsia="ja-JP"/>
        </w:rPr>
        <w:instrText xml:space="preserve"> ADDIN ZOTERO_ITEM CSL_CITATION {"citationID":"hphGeNU7","properties":{"formattedCitation":"[14\\uc0\\u8211{}16]","plainCitation":"[14–16]","noteIndex":0},"citationItems":[{"id":868,"uris":["http://zotero.org/users/5217225/items/MEDD8ZXN"],"uri":["http://zotero.org/users/5217225/items/MEDD8ZXN"],"itemData":{"id":868,"type":"post-weblog","title":"Pulp and paper. Creating renewable crude at a comparable price to conventional crude.","URL":"https://www.licella.com.au/pulp-paper/","author":[{"family":"Licella Holdings","given":""}],"accessed":{"date-parts":[["2020",3,1]]},"issued":{"date-parts":[["2020"]]}}},{"id":869,"uris":["http://zotero.org/users/5217225/items/9P6V97HQ"],"uri":["http://zotero.org/users/5217225/items/9P6V97HQ"],"itemData":{"id":869,"type":"post-weblog","language":"English","title":"Bio-oil","URL":"https://www.valmet.com/more-industries/bio/bio-oil/","author":[{"family":"Valmet","given":""}],"accessed":{"date-parts":[["2020",10,1]]},"issued":{"date-parts":[["2020"]]}}},{"id":870,"uris":["http://zotero.org/users/5217225/items/WKNAFJ68"],"uri":["http://zotero.org/users/5217225/items/WKNAFJ68"],"itemData":{"id":870,"type":"post-weblog","language":"English","title":"Empyro project","URL":"https://www.btg-btl.com/en/company/projects/empyro","author":[{"family":"BTG-BTL","given":""}],"accessed":{"date-parts":[["2020",3,20]]},"issued":{"date-parts":[["2020"]]}}}],"schema":"https://github.com/citation-style-language/schema/raw/master/csl-citation.json"} </w:instrText>
      </w:r>
      <w:r w:rsidRPr="00AE536D">
        <w:rPr>
          <w:lang w:val="en-US" w:eastAsia="ja-JP"/>
        </w:rPr>
        <w:fldChar w:fldCharType="separate"/>
      </w:r>
      <w:r w:rsidR="00DE1CA2" w:rsidRPr="00AE536D">
        <w:t>[14–16]</w:t>
      </w:r>
      <w:r w:rsidRPr="00AE536D">
        <w:rPr>
          <w:lang w:val="en-US" w:eastAsia="ja-JP"/>
        </w:rPr>
        <w:fldChar w:fldCharType="end"/>
      </w:r>
      <w:r w:rsidRPr="00AE536D">
        <w:rPr>
          <w:lang w:val="en-US" w:eastAsia="ja-JP"/>
        </w:rPr>
        <w:t xml:space="preserve">. HTL technology via Hydrodeoxygenation of biofuels has been demonstrated on a pilot scale but has not yet been commercialized. In contrast, GFT has </w:t>
      </w:r>
      <w:r w:rsidRPr="00AE536D">
        <w:rPr>
          <w:lang w:val="en-US" w:eastAsia="ja-JP"/>
        </w:rPr>
        <w:lastRenderedPageBreak/>
        <w:t>been operating commercially since 1930 using coal and natural gas, and the Sasol plants represent the world's most significant cases of commercialized FT synthesis. The two plants have a total output of approximately 150,000 barrels per day (bpd) and contain 80 Sasol-</w:t>
      </w:r>
      <w:proofErr w:type="spellStart"/>
      <w:r w:rsidRPr="00AE536D">
        <w:rPr>
          <w:lang w:val="en-US" w:eastAsia="ja-JP"/>
        </w:rPr>
        <w:t>Lurgi</w:t>
      </w:r>
      <w:proofErr w:type="spellEnd"/>
      <w:r w:rsidRPr="00AE536D">
        <w:rPr>
          <w:lang w:val="en-US" w:eastAsia="ja-JP"/>
        </w:rPr>
        <w:t xml:space="preserve"> Fixed Bed Dry Bottom (FBDB) gasifiers </w:t>
      </w:r>
      <w:r w:rsidRPr="009361EA">
        <w:rPr>
          <w:lang w:val="en-US" w:eastAsia="ja-JP"/>
        </w:rPr>
        <w:fldChar w:fldCharType="begin"/>
      </w:r>
      <w:r w:rsidR="00DE1CA2">
        <w:rPr>
          <w:lang w:val="en-US" w:eastAsia="ja-JP"/>
        </w:rPr>
        <w:instrText xml:space="preserve"> ADDIN ZOTERO_ITEM CSL_CITATION {"citationID":"7ACAGUsB","properties":{"formattedCitation":"[17]","plainCitation":"[17]","noteIndex":0},"citationItems":[{"id":871,"uris":["http://zotero.org/users/5217225/items/GADQM5US"],"uri":["http://zotero.org/users/5217225/items/GADQM5US"],"itemData":{"id":871,"type":"post-weblog","language":"English","title":"Commercial Use of Fischer-Tropsch Synthesis","URL":"https://www.netl.doe.gov/research/Coal/energy-systems/gasification/gasifipedia/sasol","author":[{"family":"The National Energy Technology Laboratory (NETL)","given":""}],"accessed":{"date-parts":[["2020",2,16]]}}}],"schema":"https://github.com/citation-style-language/schema/raw/master/csl-citation.json"} </w:instrText>
      </w:r>
      <w:r w:rsidRPr="009361EA">
        <w:rPr>
          <w:lang w:val="en-US" w:eastAsia="ja-JP"/>
        </w:rPr>
        <w:fldChar w:fldCharType="separate"/>
      </w:r>
      <w:r w:rsidR="00DE1CA2" w:rsidRPr="00DE1CA2">
        <w:t>[17]</w:t>
      </w:r>
      <w:r w:rsidRPr="009361EA">
        <w:rPr>
          <w:lang w:val="en-US" w:eastAsia="ja-JP"/>
        </w:rPr>
        <w:fldChar w:fldCharType="end"/>
      </w:r>
      <w:r w:rsidRPr="009361EA">
        <w:rPr>
          <w:lang w:val="en-US" w:eastAsia="ja-JP"/>
        </w:rPr>
        <w:t>.</w:t>
      </w:r>
    </w:p>
    <w:p w14:paraId="1A755747" w14:textId="77777777" w:rsidR="00605BD5" w:rsidRPr="00C200BC" w:rsidRDefault="00605BD5" w:rsidP="008E74FB">
      <w:pPr>
        <w:spacing w:line="360" w:lineRule="auto"/>
        <w:rPr>
          <w:lang w:val="en-US" w:eastAsia="ja-JP"/>
        </w:rPr>
      </w:pPr>
    </w:p>
    <w:p w14:paraId="5FDCB5D7" w14:textId="15DF8682" w:rsidR="00143F8F" w:rsidRDefault="00143F8F" w:rsidP="008E74FB">
      <w:pPr>
        <w:spacing w:line="360" w:lineRule="auto"/>
        <w:rPr>
          <w:lang w:val="en-US" w:eastAsia="ja-JP"/>
        </w:rPr>
      </w:pPr>
      <w:r w:rsidRPr="00C200BC">
        <w:rPr>
          <w:lang w:val="en-US" w:eastAsia="ja-JP"/>
        </w:rPr>
        <w:t xml:space="preserve">Each feedstock-technology </w:t>
      </w:r>
      <w:r w:rsidR="00495B07" w:rsidRPr="00C200BC">
        <w:rPr>
          <w:lang w:val="en-US" w:eastAsia="ja-JP"/>
        </w:rPr>
        <w:t xml:space="preserve">set </w:t>
      </w:r>
      <w:r w:rsidRPr="00C200BC">
        <w:rPr>
          <w:lang w:val="en-US" w:eastAsia="ja-JP"/>
        </w:rPr>
        <w:t xml:space="preserve">was </w:t>
      </w:r>
      <w:r w:rsidR="00495B07" w:rsidRPr="00C200BC">
        <w:rPr>
          <w:lang w:val="en-US" w:eastAsia="ja-JP"/>
        </w:rPr>
        <w:t>model</w:t>
      </w:r>
      <w:r w:rsidRPr="00C200BC">
        <w:rPr>
          <w:lang w:val="en-US" w:eastAsia="ja-JP"/>
        </w:rPr>
        <w:t xml:space="preserve">ed using biofuel yields from experimental literature, and the processes were </w:t>
      </w:r>
      <w:r w:rsidR="00C200BC" w:rsidRPr="00C200BC">
        <w:rPr>
          <w:lang w:val="en-US" w:eastAsia="ja-JP"/>
        </w:rPr>
        <w:t>adjusted</w:t>
      </w:r>
      <w:r w:rsidRPr="00C200BC">
        <w:rPr>
          <w:lang w:val="en-US" w:eastAsia="ja-JP"/>
        </w:rPr>
        <w:t xml:space="preserve"> to produce fuel compatible with marine engines. Exergy efficiencies and irreversibility rates were then </w:t>
      </w:r>
      <w:r w:rsidR="006F260E" w:rsidRPr="00C200BC">
        <w:rPr>
          <w:lang w:val="en-US" w:eastAsia="ja-JP"/>
        </w:rPr>
        <w:t>assessed</w:t>
      </w:r>
      <w:r w:rsidRPr="00C200BC">
        <w:rPr>
          <w:lang w:val="en-US" w:eastAsia="ja-JP"/>
        </w:rPr>
        <w:t xml:space="preserve"> for </w:t>
      </w:r>
      <w:r w:rsidR="000B1A21" w:rsidRPr="00C200BC">
        <w:rPr>
          <w:lang w:val="en-US" w:eastAsia="ja-JP"/>
        </w:rPr>
        <w:t>a biorefinery</w:t>
      </w:r>
      <w:r w:rsidRPr="00C200BC">
        <w:rPr>
          <w:lang w:val="en-US" w:eastAsia="ja-JP"/>
        </w:rPr>
        <w:t xml:space="preserve"> </w:t>
      </w:r>
      <w:r w:rsidR="000B1A21" w:rsidRPr="00C200BC">
        <w:rPr>
          <w:lang w:val="en-US" w:eastAsia="ja-JP"/>
        </w:rPr>
        <w:t xml:space="preserve">case study </w:t>
      </w:r>
      <w:r w:rsidRPr="00C200BC">
        <w:rPr>
          <w:lang w:val="en-US" w:eastAsia="ja-JP"/>
        </w:rPr>
        <w:t>operating in Brazil, mode</w:t>
      </w:r>
      <w:r w:rsidR="006859D1" w:rsidRPr="00C200BC">
        <w:rPr>
          <w:lang w:val="en-US" w:eastAsia="ja-JP"/>
        </w:rPr>
        <w:t>l</w:t>
      </w:r>
      <w:r w:rsidRPr="00C200BC">
        <w:rPr>
          <w:lang w:val="en-US" w:eastAsia="ja-JP"/>
        </w:rPr>
        <w:t xml:space="preserve">ed to process 500 dry </w:t>
      </w:r>
      <w:proofErr w:type="spellStart"/>
      <w:r w:rsidRPr="00C200BC">
        <w:rPr>
          <w:lang w:val="en-US" w:eastAsia="ja-JP"/>
        </w:rPr>
        <w:t>tonnes</w:t>
      </w:r>
      <w:proofErr w:type="spellEnd"/>
      <w:r w:rsidRPr="00C200BC">
        <w:rPr>
          <w:lang w:val="en-US" w:eastAsia="ja-JP"/>
        </w:rPr>
        <w:t xml:space="preserve"> of biomass per day</w:t>
      </w:r>
      <w:r w:rsidR="003127E2" w:rsidRPr="00C200BC">
        <w:rPr>
          <w:lang w:val="en-US" w:eastAsia="ja-JP"/>
        </w:rPr>
        <w:t xml:space="preserve">, which represents </w:t>
      </w:r>
      <w:r w:rsidRPr="00C200BC">
        <w:rPr>
          <w:lang w:val="en-US" w:eastAsia="ja-JP"/>
        </w:rPr>
        <w:t xml:space="preserve">a consistent </w:t>
      </w:r>
      <w:r w:rsidR="003127E2" w:rsidRPr="00C200BC">
        <w:rPr>
          <w:lang w:val="en-US" w:eastAsia="ja-JP"/>
        </w:rPr>
        <w:t xml:space="preserve">scale </w:t>
      </w:r>
      <w:r w:rsidRPr="00C200BC">
        <w:rPr>
          <w:lang w:val="en-US" w:eastAsia="ja-JP"/>
        </w:rPr>
        <w:t>with biorefineries currently planned or in operation</w:t>
      </w:r>
      <w:r w:rsidR="00C200BC" w:rsidRPr="00C200BC">
        <w:rPr>
          <w:lang w:val="en-US" w:eastAsia="ja-JP"/>
        </w:rPr>
        <w:t>; for example</w:t>
      </w:r>
      <w:r w:rsidR="00C200BC" w:rsidRPr="006F260E">
        <w:rPr>
          <w:lang w:val="en-US" w:eastAsia="ja-JP"/>
        </w:rPr>
        <w:t>,</w:t>
      </w:r>
      <w:r w:rsidRPr="006F260E">
        <w:rPr>
          <w:lang w:val="en-US" w:eastAsia="ja-JP"/>
        </w:rPr>
        <w:t xml:space="preserve"> </w:t>
      </w:r>
      <w:r w:rsidR="006F260E" w:rsidRPr="006F260E">
        <w:rPr>
          <w:lang w:val="en-US" w:eastAsia="ja-JP"/>
        </w:rPr>
        <w:t>FP</w:t>
      </w:r>
      <w:r w:rsidRPr="006F260E">
        <w:rPr>
          <w:lang w:val="en-US" w:eastAsia="ja-JP"/>
        </w:rPr>
        <w:t xml:space="preserve"> plants </w:t>
      </w:r>
      <w:r w:rsidR="006F260E" w:rsidRPr="006F260E">
        <w:rPr>
          <w:lang w:val="en-US" w:eastAsia="ja-JP"/>
        </w:rPr>
        <w:t xml:space="preserve">projected </w:t>
      </w:r>
      <w:r w:rsidRPr="006F260E">
        <w:rPr>
          <w:lang w:val="en-US" w:eastAsia="ja-JP"/>
        </w:rPr>
        <w:t xml:space="preserve">in Finland </w:t>
      </w:r>
      <w:r w:rsidR="00711B11" w:rsidRPr="006F260E">
        <w:rPr>
          <w:lang w:val="en-US" w:eastAsia="ja-JP"/>
        </w:rPr>
        <w:fldChar w:fldCharType="begin"/>
      </w:r>
      <w:r w:rsidR="00DE1CA2">
        <w:rPr>
          <w:lang w:val="en-US" w:eastAsia="ja-JP"/>
        </w:rPr>
        <w:instrText xml:space="preserve"> ADDIN ZOTERO_ITEM CSL_CITATION {"citationID":"WXluJ8JN","properties":{"formattedCitation":"[18]","plainCitation":"[18]","noteIndex":0},"citationItems":[{"id":872,"uris":["http://zotero.org/users/5217225/items/K6CEJVB4"],"uri":["http://zotero.org/users/5217225/items/K6CEJVB4"],"itemData":{"id":872,"type":"post-weblog","language":"English","title":"First industrial-scale integrated bio-oil plant","URL":"https://www.fortum.com/media/2012/03/fortum-invests-eur-20-million-build-worlds-first-industrial-scale-integrated-bio-oil-plant","author":[{"family":"Fortum","given":""}],"accessed":{"date-parts":[["2019",6,11]]},"issued":{"date-parts":[["2012"]]}}}],"schema":"https://github.com/citation-style-language/schema/raw/master/csl-citation.json"} </w:instrText>
      </w:r>
      <w:r w:rsidR="00711B11" w:rsidRPr="006F260E">
        <w:rPr>
          <w:lang w:val="en-US" w:eastAsia="ja-JP"/>
        </w:rPr>
        <w:fldChar w:fldCharType="separate"/>
      </w:r>
      <w:r w:rsidR="00DE1CA2" w:rsidRPr="00DE1CA2">
        <w:t>[18]</w:t>
      </w:r>
      <w:r w:rsidR="00711B11" w:rsidRPr="006F260E">
        <w:rPr>
          <w:lang w:val="en-US" w:eastAsia="ja-JP"/>
        </w:rPr>
        <w:fldChar w:fldCharType="end"/>
      </w:r>
      <w:r w:rsidRPr="006F260E">
        <w:rPr>
          <w:lang w:val="en-US" w:eastAsia="ja-JP"/>
        </w:rPr>
        <w:t xml:space="preserve"> and the Netherlands</w:t>
      </w:r>
      <w:r w:rsidR="000124CC" w:rsidRPr="006F260E">
        <w:rPr>
          <w:lang w:val="en-US" w:eastAsia="ja-JP"/>
        </w:rPr>
        <w:t xml:space="preserve"> </w:t>
      </w:r>
      <w:r w:rsidR="000124CC" w:rsidRPr="006F260E">
        <w:rPr>
          <w:lang w:val="en-US" w:eastAsia="ja-JP"/>
        </w:rPr>
        <w:fldChar w:fldCharType="begin"/>
      </w:r>
      <w:r w:rsidR="00DE1CA2">
        <w:rPr>
          <w:lang w:val="en-US" w:eastAsia="ja-JP"/>
        </w:rPr>
        <w:instrText xml:space="preserve"> ADDIN ZOTERO_ITEM CSL_CITATION {"citationID":"rXwpFfw1","properties":{"formattedCitation":"[16]","plainCitation":"[16]","noteIndex":0},"citationItems":[{"id":870,"uris":["http://zotero.org/users/5217225/items/WKNAFJ68"],"uri":["http://zotero.org/users/5217225/items/WKNAFJ68"],"itemData":{"id":870,"type":"post-weblog","language":"English","title":"Empyro project","URL":"https://www.btg-btl.com/en/company/projects/empyro","author":[{"family":"BTG-BTL","given":""}],"accessed":{"date-parts":[["2020",3,20]]},"issued":{"date-parts":[["2020"]]}}}],"schema":"https://github.com/citation-style-language/schema/raw/master/csl-citation.json"} </w:instrText>
      </w:r>
      <w:r w:rsidR="000124CC" w:rsidRPr="006F260E">
        <w:rPr>
          <w:lang w:val="en-US" w:eastAsia="ja-JP"/>
        </w:rPr>
        <w:fldChar w:fldCharType="separate"/>
      </w:r>
      <w:r w:rsidR="00DE1CA2" w:rsidRPr="00DE1CA2">
        <w:t>[16]</w:t>
      </w:r>
      <w:r w:rsidR="000124CC" w:rsidRPr="006F260E">
        <w:rPr>
          <w:lang w:val="en-US" w:eastAsia="ja-JP"/>
        </w:rPr>
        <w:fldChar w:fldCharType="end"/>
      </w:r>
      <w:r w:rsidRPr="006F260E">
        <w:rPr>
          <w:lang w:val="en-US" w:eastAsia="ja-JP"/>
        </w:rPr>
        <w:t>, and UPM's HTL plant in Finland</w:t>
      </w:r>
      <w:r w:rsidR="00711B11" w:rsidRPr="006F260E">
        <w:rPr>
          <w:lang w:val="en-US" w:eastAsia="ja-JP"/>
        </w:rPr>
        <w:t xml:space="preserve"> </w:t>
      </w:r>
      <w:r w:rsidR="00711B11" w:rsidRPr="006F260E">
        <w:rPr>
          <w:lang w:val="en-US" w:eastAsia="ja-JP"/>
        </w:rPr>
        <w:fldChar w:fldCharType="begin"/>
      </w:r>
      <w:r w:rsidR="00DE1CA2">
        <w:rPr>
          <w:lang w:val="en-US" w:eastAsia="ja-JP"/>
        </w:rPr>
        <w:instrText xml:space="preserve"> ADDIN ZOTERO_ITEM CSL_CITATION {"citationID":"0AZCEvcJ","properties":{"formattedCitation":"[19]","plainCitation":"[19]","noteIndex":0},"citationItems":[{"id":873,"uris":["http://zotero.org/users/5217225/items/W8V276VZ"],"uri":["http://zotero.org/users/5217225/items/W8V276VZ"],"itemData":{"id":873,"type":"post-weblog","container-title":"European Technology and Innovation Platform Bioenergy","language":"05-11-2019","title":"UPM Biofuels – commercial plant in Lappeenranta, Finland","URL":"http://www.etipbioenergy.eu/images/Factsheet_UPM_final.pdf","author":[{"family":"ETIP Bioenergy","given":""}],"issued":{"date-parts":[["2016"]]}}}],"schema":"https://github.com/citation-style-language/schema/raw/master/csl-citation.json"} </w:instrText>
      </w:r>
      <w:r w:rsidR="00711B11" w:rsidRPr="006F260E">
        <w:rPr>
          <w:lang w:val="en-US" w:eastAsia="ja-JP"/>
        </w:rPr>
        <w:fldChar w:fldCharType="separate"/>
      </w:r>
      <w:r w:rsidR="00DE1CA2" w:rsidRPr="00DE1CA2">
        <w:t>[19]</w:t>
      </w:r>
      <w:r w:rsidR="00711B11" w:rsidRPr="006F260E">
        <w:rPr>
          <w:lang w:val="en-US" w:eastAsia="ja-JP"/>
        </w:rPr>
        <w:fldChar w:fldCharType="end"/>
      </w:r>
      <w:r w:rsidRPr="006F260E">
        <w:rPr>
          <w:lang w:val="en-US" w:eastAsia="ja-JP"/>
        </w:rPr>
        <w:t>.</w:t>
      </w:r>
    </w:p>
    <w:p w14:paraId="6D93CD7A" w14:textId="478702F9" w:rsidR="00593F7F" w:rsidRPr="00AE536D" w:rsidRDefault="00B05FFB" w:rsidP="008E74FB">
      <w:pPr>
        <w:spacing w:line="360" w:lineRule="auto"/>
        <w:rPr>
          <w:spacing w:val="-3"/>
          <w:lang w:val="en-US"/>
        </w:rPr>
      </w:pPr>
      <w:r w:rsidRPr="00AE536D">
        <w:rPr>
          <w:lang w:val="en-US" w:eastAsia="ja-JP"/>
        </w:rPr>
        <w:t>Additionally,</w:t>
      </w:r>
      <w:r w:rsidR="007305D9" w:rsidRPr="00AE536D">
        <w:t xml:space="preserve"> </w:t>
      </w:r>
      <w:r w:rsidR="007305D9" w:rsidRPr="00AE536D">
        <w:rPr>
          <w:lang w:val="en-US" w:eastAsia="ja-JP"/>
        </w:rPr>
        <w:t>the impact of the biofuel conversion technology was considered for each thermochemical pathway</w:t>
      </w:r>
      <w:r w:rsidR="00143F8F" w:rsidRPr="00AE536D">
        <w:rPr>
          <w:lang w:val="en-US" w:eastAsia="ja-JP"/>
        </w:rPr>
        <w:t>. The biofuels were assumed to be destined for marine fuel blendstock, and therefore the process</w:t>
      </w:r>
      <w:r w:rsidR="000E1C5D" w:rsidRPr="00AE536D">
        <w:rPr>
          <w:lang w:val="en-US" w:eastAsia="ja-JP"/>
        </w:rPr>
        <w:t>es</w:t>
      </w:r>
      <w:r w:rsidR="00143F8F" w:rsidRPr="00AE536D">
        <w:rPr>
          <w:lang w:val="en-US" w:eastAsia="ja-JP"/>
        </w:rPr>
        <w:t xml:space="preserve"> were a</w:t>
      </w:r>
      <w:r w:rsidR="00A26933" w:rsidRPr="00AE536D">
        <w:rPr>
          <w:lang w:val="en-US" w:eastAsia="ja-JP"/>
        </w:rPr>
        <w:t>djust</w:t>
      </w:r>
      <w:r w:rsidR="00143F8F" w:rsidRPr="00AE536D">
        <w:rPr>
          <w:lang w:val="en-US" w:eastAsia="ja-JP"/>
        </w:rPr>
        <w:t xml:space="preserve">ed to </w:t>
      </w:r>
      <w:r w:rsidR="00A26933" w:rsidRPr="00AE536D">
        <w:rPr>
          <w:lang w:val="en-US" w:eastAsia="ja-JP"/>
        </w:rPr>
        <w:t>generate</w:t>
      </w:r>
      <w:r w:rsidR="00143F8F" w:rsidRPr="00AE536D">
        <w:rPr>
          <w:lang w:val="en-US" w:eastAsia="ja-JP"/>
        </w:rPr>
        <w:t xml:space="preserve"> undistilled biocrude. </w:t>
      </w:r>
      <w:r w:rsidR="000B1A21" w:rsidRPr="00AE536D">
        <w:rPr>
          <w:lang w:val="en-US" w:eastAsia="ja-JP"/>
        </w:rPr>
        <w:t xml:space="preserve">Theoretically, the biocrudes could </w:t>
      </w:r>
      <w:r w:rsidR="00143F8F" w:rsidRPr="00AE536D">
        <w:rPr>
          <w:lang w:val="en-US" w:eastAsia="ja-JP"/>
        </w:rPr>
        <w:t xml:space="preserve">be blended directly into marine fuels, in proportions of up to 30%, as </w:t>
      </w:r>
      <w:r w:rsidR="00267AAA" w:rsidRPr="00AE536D">
        <w:rPr>
          <w:lang w:val="en-US" w:eastAsia="ja-JP"/>
        </w:rPr>
        <w:t>shown by previous</w:t>
      </w:r>
      <w:r w:rsidR="00143F8F" w:rsidRPr="00AE536D">
        <w:rPr>
          <w:lang w:val="en-US" w:eastAsia="ja-JP"/>
        </w:rPr>
        <w:t xml:space="preserve"> test</w:t>
      </w:r>
      <w:r w:rsidR="00267AAA" w:rsidRPr="00AE536D">
        <w:rPr>
          <w:lang w:val="en-US" w:eastAsia="ja-JP"/>
        </w:rPr>
        <w:t>s</w:t>
      </w:r>
      <w:r w:rsidR="00143F8F" w:rsidRPr="00AE536D">
        <w:rPr>
          <w:lang w:val="en-US" w:eastAsia="ja-JP"/>
        </w:rPr>
        <w:t xml:space="preserve"> for HTL </w:t>
      </w:r>
      <w:r w:rsidR="00711B11" w:rsidRPr="00AE536D">
        <w:rPr>
          <w:lang w:val="en-US" w:eastAsia="ja-JP"/>
        </w:rPr>
        <w:fldChar w:fldCharType="begin"/>
      </w:r>
      <w:r w:rsidR="00DE1CA2" w:rsidRPr="00AE536D">
        <w:rPr>
          <w:lang w:val="en-US" w:eastAsia="ja-JP"/>
        </w:rPr>
        <w:instrText xml:space="preserve"> ADDIN ZOTERO_ITEM CSL_CITATION {"citationID":"JWAC1pfz","properties":{"formattedCitation":"[20]","plainCitation":"[20]","noteIndex":0},"citationItems":[{"id":874,"uris":["http://zotero.org/users/5217225/items/KXZXEATZ"],"uri":["http://zotero.org/users/5217225/items/KXZXEATZ"],"itemData":{"id":874,"type":"article-journal","abstract":"The current study investigates the opportunity of using Licella biofuel as a partly renewable fuel provided by Licella P/L. Hereafter this fuel will be referred to as Licella biofuel. The renewable component of the Licella biofuel was made from the hydrothermal conversion of Australian pinus radiata wood flour using Licella’s proprietary Cat-HTR™ technology. The diesel-soluble component of the hydrothermal product was extracted into road diesel to give a blended fuel containing approximately 30% renewable material with the balance from diesel. This was further blended with a regular diesel fuel (designated R0) to give fuels for testing containing 5%, 10% and 20% renewable fuel (designated R5, R10 and R20). Some of the key fuel properties were measured for R30 and compared with those of regular diesel fuel. The engine experiment was conducted on a four-cylinder turbocharged common rail direct injection diesel engine. All experiments were performed with a constant speed and five different engine loads. Exhaust emissions including particulate matter (PM) mass and numbers, nitric oxide (NO), total unburnt hydrocarbon (THC), carbon dioxide (CO2) and performance parameters including brake power (BP), indicated power (IP), brake mean effective pressure (BMEP), indicated mean effective pressure (IMEP), mechanical efficiency (ME), brake thermal efficiency (BTE) and brake specific energy consumption (BSEC) were investigated for all four blends (R0, R5, R10 and R20). Among other engine parameters, in-cylinder pressure, heat release rate (HRR) and pressure (P) versus volume (V) diagrams were also investigated for the four fuel blends.","container-title":"Energy Conversion and Management","DOI":"10.1016/j.enconman.2015.02.085","ISSN":"0196-8904","journalAbbreviation":"Energy Conversion and Management","language":"en","page":"588-598","source":"ScienceDirect","title":"Fuel characterisation, engine performance, combustion and exhaust emissions with a new renewable Licella biofuel","volume":"96","author":[{"family":"Nabi","given":"Md Nurun"},{"family":"Rahman","given":"Md Mostafizur"},{"family":"Islam","given":"Muhammad Aminul"},{"family":"Hossain","given":"Farhad M."},{"family":"Brooks","given":"Peter"},{"family":"Rowlands","given":"William N."},{"family":"Tulloch","given":"John"},{"family":"Ristovski","given":"Zoran D."},{"family":"Brown","given":"Richard J."}],"issued":{"date-parts":[["2015",5,15]]}}}],"schema":"https://github.com/citation-style-language/schema/raw/master/csl-citation.json"} </w:instrText>
      </w:r>
      <w:r w:rsidR="00711B11" w:rsidRPr="00AE536D">
        <w:rPr>
          <w:lang w:val="en-US" w:eastAsia="ja-JP"/>
        </w:rPr>
        <w:fldChar w:fldCharType="separate"/>
      </w:r>
      <w:r w:rsidR="00DE1CA2" w:rsidRPr="00AE536D">
        <w:t>[20]</w:t>
      </w:r>
      <w:r w:rsidR="00711B11" w:rsidRPr="00AE536D">
        <w:rPr>
          <w:lang w:val="en-US" w:eastAsia="ja-JP"/>
        </w:rPr>
        <w:fldChar w:fldCharType="end"/>
      </w:r>
      <w:r w:rsidR="00143F8F" w:rsidRPr="00AE536D">
        <w:rPr>
          <w:lang w:val="en-US" w:eastAsia="ja-JP"/>
        </w:rPr>
        <w:t xml:space="preserve"> and GFT </w:t>
      </w:r>
      <w:r w:rsidR="000124CC" w:rsidRPr="00AE536D">
        <w:rPr>
          <w:lang w:val="en-US" w:eastAsia="ja-JP"/>
        </w:rPr>
        <w:fldChar w:fldCharType="begin"/>
      </w:r>
      <w:r w:rsidR="00FE3F5C" w:rsidRPr="00AE536D">
        <w:rPr>
          <w:lang w:val="en-US" w:eastAsia="ja-JP"/>
        </w:rPr>
        <w:instrText xml:space="preserve"> ADDIN ZOTERO_ITEM CSL_CITATION {"citationID":"WK8yTzkw","properties":{"formattedCitation":"[7]","plainCitation":"[7]","noteIndex":0},"citationItems":[{"id":865,"uris":["http://zotero.org/users/5217225/items/2T7BUHUT"],"uri":["http://zotero.org/users/5217225/items/2T7BUHUT"],"itemData":{"id":865,"type":"article-journal","abstract":"This paper investigates diesel engine performance and exhaust emissions with marine gas oil (MGO) and a blend of MGO and synthetic diesel fuel. Ten per cent by volume of Fischer–Tropsch (FT), a synthetic diesel fuel, was added to MGO to investigate its influence on the diesel engine performance and emissions. The blended fuel was termed as FT10 fuel, while the neat (100 vol%) MGO was termed as MGO fuel. The experiments were conducted with a fourstroke, six-cylinder, turbocharged, direct injection, Scania DC 1102 diesel engine. It is interesting to note that all emissions including smoke (filter smoke number), total particulate matter (TPM), carbon monoxide (CO), total unburned hydrocarbon (THC), oxides of nitrogen (NOx) and engine noise were reduced with FT10 fuel compared with the MGO fuel. Diesel fine particle number and mass emissions were measured with an electrical low pressure impactor. Like other exhaust emissions, significant reductions in fine particles and mass emissions were observed with the FT10 fuel. The reduction was due to absence of sulphur and aromatic compounds in the FT fuel. In-cylinder gas pressure and engine thermal efficiency were identical for both FT10 and MGO fuels.","container-title":"Environmental Technology","DOI":"10.1080/09593330.2010.483599","ISSN":"0959-3330","issue":"1","note":"publisher: Taylor &amp; Francis\n_eprint: https://doi.org/10.1080/09593330.2010.483599\nPMID: 22519083","page":"9-15","source":"Taylor and Francis+NEJM","title":"Investigation of engine performance and emissions of a diesel engine with a blend of marine gas oil and synthetic diesel fuel","volume":"33","author":[{"family":"Nabi","given":"Md Nurun"},{"family":"Hustad","given":"Johan Einar"}],"issued":{"date-parts":[["2012",1,1]]}}}],"schema":"https://github.com/citation-style-language/schema/raw/master/csl-citation.json"} </w:instrText>
      </w:r>
      <w:r w:rsidR="000124CC" w:rsidRPr="00AE536D">
        <w:rPr>
          <w:lang w:val="en-US" w:eastAsia="ja-JP"/>
        </w:rPr>
        <w:fldChar w:fldCharType="separate"/>
      </w:r>
      <w:r w:rsidR="00FE3F5C" w:rsidRPr="00AE536D">
        <w:t>[7]</w:t>
      </w:r>
      <w:r w:rsidR="000124CC" w:rsidRPr="00AE536D">
        <w:rPr>
          <w:lang w:val="en-US" w:eastAsia="ja-JP"/>
        </w:rPr>
        <w:fldChar w:fldCharType="end"/>
      </w:r>
      <w:r w:rsidR="00143F8F" w:rsidRPr="00AE536D">
        <w:rPr>
          <w:lang w:val="en-US" w:eastAsia="ja-JP"/>
        </w:rPr>
        <w:t xml:space="preserve"> biofuels.</w:t>
      </w:r>
    </w:p>
    <w:p w14:paraId="344846CA" w14:textId="77777777" w:rsidR="00310BF6" w:rsidRPr="00AE536D" w:rsidRDefault="00E6230C" w:rsidP="007B7863">
      <w:pPr>
        <w:pStyle w:val="Ttulo2"/>
        <w:numPr>
          <w:ilvl w:val="1"/>
          <w:numId w:val="9"/>
        </w:numPr>
        <w:ind w:hanging="792"/>
        <w:rPr>
          <w:lang w:val="en-US"/>
        </w:rPr>
      </w:pPr>
      <w:r w:rsidRPr="00AE536D">
        <w:rPr>
          <w:lang w:val="en-US"/>
        </w:rPr>
        <w:t>Process Simulation</w:t>
      </w:r>
    </w:p>
    <w:p w14:paraId="53D08BCC" w14:textId="5D2109AD" w:rsidR="006F18A4" w:rsidRPr="00AE536D" w:rsidRDefault="00B05FFB" w:rsidP="008E74FB">
      <w:pPr>
        <w:tabs>
          <w:tab w:val="left" w:pos="-720"/>
        </w:tabs>
        <w:suppressAutoHyphens/>
        <w:spacing w:line="360" w:lineRule="auto"/>
        <w:rPr>
          <w:spacing w:val="-3"/>
          <w:lang w:val="en-US"/>
        </w:rPr>
      </w:pPr>
      <w:r w:rsidRPr="00AE536D">
        <w:rPr>
          <w:spacing w:val="-3"/>
          <w:lang w:val="en-US"/>
        </w:rPr>
        <w:t>T</w:t>
      </w:r>
      <w:r w:rsidR="00A07245" w:rsidRPr="00AE536D">
        <w:rPr>
          <w:spacing w:val="-3"/>
          <w:lang w:val="en-US"/>
        </w:rPr>
        <w:t>his section</w:t>
      </w:r>
      <w:r w:rsidRPr="00AE536D">
        <w:rPr>
          <w:spacing w:val="-3"/>
          <w:lang w:val="en-US"/>
        </w:rPr>
        <w:t xml:space="preserve"> offers a brief description </w:t>
      </w:r>
      <w:r w:rsidR="00A07245" w:rsidRPr="00AE536D">
        <w:rPr>
          <w:spacing w:val="-3"/>
          <w:lang w:val="en-US"/>
        </w:rPr>
        <w:t xml:space="preserve">of the selected </w:t>
      </w:r>
      <w:bookmarkStart w:id="1" w:name="_Hlk60158630"/>
      <w:r w:rsidR="00A07245" w:rsidRPr="00AE536D">
        <w:rPr>
          <w:spacing w:val="-3"/>
          <w:lang w:val="en-US"/>
        </w:rPr>
        <w:t>conversion technologies</w:t>
      </w:r>
      <w:bookmarkEnd w:id="1"/>
      <w:r w:rsidRPr="00AE536D">
        <w:rPr>
          <w:spacing w:val="-3"/>
          <w:lang w:val="en-US"/>
        </w:rPr>
        <w:t>,</w:t>
      </w:r>
      <w:r w:rsidR="00A07245" w:rsidRPr="00AE536D">
        <w:rPr>
          <w:spacing w:val="-3"/>
          <w:lang w:val="en-US"/>
        </w:rPr>
        <w:t xml:space="preserve"> </w:t>
      </w:r>
      <w:r w:rsidRPr="00AE536D">
        <w:rPr>
          <w:spacing w:val="-3"/>
          <w:lang w:val="en-US"/>
        </w:rPr>
        <w:t xml:space="preserve">namely, </w:t>
      </w:r>
      <w:r w:rsidR="00A07245" w:rsidRPr="00AE536D">
        <w:rPr>
          <w:spacing w:val="-3"/>
          <w:lang w:val="en-US"/>
        </w:rPr>
        <w:t xml:space="preserve">hydrothermal liquefaction with hydrodeoxygenation (HTL), fast pyrolysis with hydrodeoxygenation (FPH), and gasification with Fischer-Tropsch synthesis (GFT). </w:t>
      </w:r>
      <w:r w:rsidR="00982BCC" w:rsidRPr="00AE536D">
        <w:rPr>
          <w:spacing w:val="-3"/>
          <w:lang w:val="en-US"/>
        </w:rPr>
        <w:t xml:space="preserve">In general, these types of thermochemical conversion </w:t>
      </w:r>
      <w:r w:rsidR="00866D62" w:rsidRPr="00AE536D">
        <w:rPr>
          <w:spacing w:val="-3"/>
          <w:lang w:val="en-US"/>
        </w:rPr>
        <w:t>processes</w:t>
      </w:r>
      <w:r w:rsidR="00982BCC" w:rsidRPr="00AE536D">
        <w:rPr>
          <w:spacing w:val="-3"/>
          <w:lang w:val="en-US"/>
        </w:rPr>
        <w:t xml:space="preserve"> offer advantages in terms of the biomass recalcitrance for biofuel production when compared with biological routes.</w:t>
      </w:r>
      <w:r w:rsidR="00866D62" w:rsidRPr="00AE536D">
        <w:rPr>
          <w:spacing w:val="-3"/>
          <w:lang w:val="en-US"/>
        </w:rPr>
        <w:t xml:space="preserve"> </w:t>
      </w:r>
      <w:r w:rsidR="00A07245" w:rsidRPr="00AE536D">
        <w:rPr>
          <w:spacing w:val="-3"/>
          <w:lang w:val="en-US"/>
        </w:rPr>
        <w:t>Fig. 1 shows the system's boundary adopted in the assessment of the thermochemical pathways</w:t>
      </w:r>
      <w:r w:rsidR="00AF137F" w:rsidRPr="00AE536D">
        <w:rPr>
          <w:spacing w:val="-3"/>
          <w:lang w:val="en-US"/>
        </w:rPr>
        <w:t>.</w:t>
      </w:r>
    </w:p>
    <w:p w14:paraId="36BE0FDA" w14:textId="77777777" w:rsidR="00BE1F8C" w:rsidRPr="00AE536D" w:rsidRDefault="009A64CE" w:rsidP="007B7863">
      <w:pPr>
        <w:pStyle w:val="Ttulo2"/>
        <w:numPr>
          <w:ilvl w:val="2"/>
          <w:numId w:val="9"/>
        </w:numPr>
        <w:ind w:left="851" w:hanging="851"/>
        <w:rPr>
          <w:lang w:val="en-US"/>
        </w:rPr>
      </w:pPr>
      <w:r w:rsidRPr="00AE536D">
        <w:rPr>
          <w:lang w:val="en-US"/>
        </w:rPr>
        <w:t>Hydrothermal liquefaction</w:t>
      </w:r>
      <w:r w:rsidR="000504DF" w:rsidRPr="00AE536D">
        <w:rPr>
          <w:lang w:val="en-US"/>
        </w:rPr>
        <w:t xml:space="preserve"> (HTL)</w:t>
      </w:r>
    </w:p>
    <w:p w14:paraId="5E2DFD53" w14:textId="55B4E037" w:rsidR="00CB0C96" w:rsidRPr="00AE536D" w:rsidRDefault="00D801C9" w:rsidP="008E74FB">
      <w:pPr>
        <w:tabs>
          <w:tab w:val="left" w:pos="-1134"/>
          <w:tab w:val="left" w:pos="-414"/>
        </w:tabs>
        <w:suppressAutoHyphens/>
        <w:spacing w:line="360" w:lineRule="auto"/>
        <w:rPr>
          <w:spacing w:val="-3"/>
          <w:lang w:val="en-US"/>
        </w:rPr>
      </w:pPr>
      <w:r w:rsidRPr="00AE536D">
        <w:rPr>
          <w:spacing w:val="-3"/>
          <w:lang w:val="en-US"/>
        </w:rPr>
        <w:t xml:space="preserve">HTL technology converts biomass into crude-like bio-oil using moderate temperature and high pressure </w:t>
      </w:r>
      <w:r w:rsidRPr="00AE536D">
        <w:rPr>
          <w:spacing w:val="-3"/>
          <w:lang w:val="en-US"/>
        </w:rPr>
        <w:fldChar w:fldCharType="begin"/>
      </w:r>
      <w:r w:rsidRPr="00AE536D">
        <w:rPr>
          <w:spacing w:val="-3"/>
          <w:lang w:val="en-US"/>
        </w:rPr>
        <w:instrText xml:space="preserve"> ADDIN ZOTERO_ITEM CSL_CITATION {"citationID":"XAHXZjTX","properties":{"formattedCitation":"[4]","plainCitation":"[4]","noteIndex":0},"citationItems":[{"id":867,"uris":["http://zotero.org/users/5217225/items/MEZMSEV6"],"uri":["http://zotero.org/users/5217225/items/MEZMSEV6"],"itemData":{"id":867,"type":"report","collection-title":"Bioenergy Task 39","event-place":"Copenhagen, Denmark","language":"English","publisher":"International Energy Agency (IEA)","publisher-place":"Copenhagen, Denmark","title":"Biofuels for the marine shipping sector. An overview and analysis of sector infrastructure, fuel technologies and regulations.","URL":"https://task39.sites.olt.ubc.ca/files/2013/05/Marine-biofuel-report-final-Oct-2017.pdf","author":[{"family":"Hsieh","given":"C."},{"family":"Felby","given":"C."}],"accessed":{"date-parts":[["2020",5,3]]},"issued":{"date-parts":[["2017"]]}}}],"schema":"https://github.com/citation-style-language/schema/raw/master/csl-citation.json"} </w:instrText>
      </w:r>
      <w:r w:rsidRPr="00AE536D">
        <w:rPr>
          <w:spacing w:val="-3"/>
          <w:lang w:val="en-US"/>
        </w:rPr>
        <w:fldChar w:fldCharType="separate"/>
      </w:r>
      <w:r w:rsidRPr="00AE536D">
        <w:t>[4]</w:t>
      </w:r>
      <w:r w:rsidRPr="00AE536D">
        <w:rPr>
          <w:spacing w:val="-3"/>
          <w:lang w:val="en-US"/>
        </w:rPr>
        <w:fldChar w:fldCharType="end"/>
      </w:r>
      <w:r w:rsidRPr="00AE536D">
        <w:rPr>
          <w:spacing w:val="-3"/>
          <w:lang w:val="en-US"/>
        </w:rPr>
        <w:t xml:space="preserve">. </w:t>
      </w:r>
      <w:r w:rsidR="00604C84" w:rsidRPr="00AE536D">
        <w:rPr>
          <w:spacing w:val="-3"/>
          <w:lang w:val="en-US"/>
        </w:rPr>
        <w:t>In the HTL model</w:t>
      </w:r>
      <w:r w:rsidR="007E247A" w:rsidRPr="00AE536D">
        <w:rPr>
          <w:spacing w:val="-3"/>
          <w:lang w:val="en-US"/>
        </w:rPr>
        <w:t>, the prepared bi</w:t>
      </w:r>
      <w:r w:rsidR="00604C84" w:rsidRPr="00AE536D">
        <w:rPr>
          <w:spacing w:val="-3"/>
          <w:lang w:val="en-US"/>
        </w:rPr>
        <w:t xml:space="preserve">omass </w:t>
      </w:r>
      <w:r w:rsidR="00331E61" w:rsidRPr="00AE536D">
        <w:rPr>
          <w:spacing w:val="-3"/>
          <w:lang w:val="en-US"/>
        </w:rPr>
        <w:t xml:space="preserve">material </w:t>
      </w:r>
      <w:r w:rsidR="00604C84" w:rsidRPr="00AE536D">
        <w:rPr>
          <w:spacing w:val="-3"/>
          <w:lang w:val="en-US"/>
        </w:rPr>
        <w:t xml:space="preserve">was saturated with water </w:t>
      </w:r>
      <w:r w:rsidR="007E247A" w:rsidRPr="00AE536D">
        <w:rPr>
          <w:spacing w:val="-3"/>
          <w:lang w:val="en-US"/>
        </w:rPr>
        <w:t>heated to 300</w:t>
      </w:r>
      <w:r w:rsidR="00604C84" w:rsidRPr="00AE536D">
        <w:rPr>
          <w:spacing w:val="-3"/>
          <w:lang w:val="en-US"/>
        </w:rPr>
        <w:t>°</w:t>
      </w:r>
      <w:r w:rsidR="007E247A" w:rsidRPr="00AE536D">
        <w:rPr>
          <w:spacing w:val="-3"/>
          <w:lang w:val="en-US"/>
        </w:rPr>
        <w:t>C, pressurized to subcritical conditions, and reacted for 10-60 min</w:t>
      </w:r>
      <w:r w:rsidR="00A62CEA" w:rsidRPr="00AE536D">
        <w:rPr>
          <w:spacing w:val="-3"/>
          <w:lang w:val="en-US"/>
        </w:rPr>
        <w:t>utes</w:t>
      </w:r>
      <w:r w:rsidR="007E247A" w:rsidRPr="00AE536D">
        <w:rPr>
          <w:spacing w:val="-3"/>
          <w:lang w:val="en-US"/>
        </w:rPr>
        <w:t>, decomposing into oil, aqueous, char, and gas fractions</w:t>
      </w:r>
      <w:r w:rsidRPr="00AE536D">
        <w:rPr>
          <w:spacing w:val="-3"/>
          <w:lang w:val="en-US"/>
        </w:rPr>
        <w:t xml:space="preserve"> (Fig. 2)</w:t>
      </w:r>
      <w:r w:rsidR="007E247A" w:rsidRPr="00AE536D">
        <w:rPr>
          <w:spacing w:val="-3"/>
          <w:lang w:val="en-US"/>
        </w:rPr>
        <w:t xml:space="preserve"> </w:t>
      </w:r>
      <w:r w:rsidR="00F14E3C" w:rsidRPr="00AE536D">
        <w:rPr>
          <w:spacing w:val="-3"/>
          <w:lang w:val="en-US"/>
        </w:rPr>
        <w:fldChar w:fldCharType="begin"/>
      </w:r>
      <w:r w:rsidR="00DE1CA2" w:rsidRPr="00AE536D">
        <w:rPr>
          <w:spacing w:val="-3"/>
          <w:lang w:val="en-US"/>
        </w:rPr>
        <w:instrText xml:space="preserve"> ADDIN ZOTERO_ITEM CSL_CITATION {"citationID":"4Qh9dF5K","properties":{"formattedCitation":"[21]","plainCitation":"[21]","noteIndex":0},"citationItems":[{"id":876,"uris":["http://zotero.org/users/5217225/items/9ATY8DUR"],"uri":["http://zotero.org/users/5217225/items/9ATY8DUR"],"itemData":{"id":876,"type":"chapter","abstract":"This chapter contains sections titled: Abstract Fundamentals of HTL State of Knowledge of HTL of Biomass Summary Acknowledgment References","container-title":"Biofuels from Agricultural Wastes and Byproducts","ISBN":"978-0-8138-2271-6","language":"en","note":"section: 10\n_eprint: https://onlinelibrary.wiley.com/doi/pdf/10.1002/9780813822716.ch10\nDOI: 10.1002/9780813822716.ch10","page":"201-232","publisher":"John Wiley &amp; Sons, Ltd","source":"Wiley Online Library","title":"Hydrothermal Liquefaction to Convert Biomass into Crude Oil","URL":"https://onlinelibrary.wiley.com/doi/abs/10.1002/9780813822716.ch10","author":[{"family":"Zhang","given":"Yuanhui"}],"accessed":{"date-parts":[["2020",4,15]]},"issued":{"date-parts":[["2010"]]}}}],"schema":"https://github.com/citation-style-language/schema/raw/master/csl-citation.json"} </w:instrText>
      </w:r>
      <w:r w:rsidR="00F14E3C" w:rsidRPr="00AE536D">
        <w:rPr>
          <w:spacing w:val="-3"/>
          <w:lang w:val="en-US"/>
        </w:rPr>
        <w:fldChar w:fldCharType="separate"/>
      </w:r>
      <w:r w:rsidR="00DE1CA2" w:rsidRPr="00AE536D">
        <w:t>[21]</w:t>
      </w:r>
      <w:r w:rsidR="00F14E3C" w:rsidRPr="00AE536D">
        <w:rPr>
          <w:spacing w:val="-3"/>
          <w:lang w:val="en-US"/>
        </w:rPr>
        <w:fldChar w:fldCharType="end"/>
      </w:r>
      <w:r w:rsidR="007505BF" w:rsidRPr="00AE536D">
        <w:rPr>
          <w:spacing w:val="-3"/>
          <w:lang w:val="en-US"/>
        </w:rPr>
        <w:t>.</w:t>
      </w:r>
      <w:r w:rsidR="00331E61" w:rsidRPr="00AE536D">
        <w:rPr>
          <w:spacing w:val="-3"/>
          <w:lang w:val="en-US"/>
        </w:rPr>
        <w:t xml:space="preserve"> </w:t>
      </w:r>
      <w:r w:rsidR="00CB0C96" w:rsidRPr="00AE536D">
        <w:rPr>
          <w:spacing w:val="-3"/>
          <w:lang w:val="en-US"/>
        </w:rPr>
        <w:t xml:space="preserve">Table 2 </w:t>
      </w:r>
      <w:r w:rsidRPr="00AE536D">
        <w:rPr>
          <w:spacing w:val="-3"/>
          <w:lang w:val="en-US"/>
        </w:rPr>
        <w:t xml:space="preserve">gives the </w:t>
      </w:r>
      <w:r w:rsidR="00CB0C96" w:rsidRPr="00AE536D">
        <w:rPr>
          <w:spacing w:val="-3"/>
          <w:lang w:val="en-US"/>
        </w:rPr>
        <w:t xml:space="preserve">details </w:t>
      </w:r>
      <w:r w:rsidRPr="00AE536D">
        <w:rPr>
          <w:spacing w:val="-3"/>
          <w:lang w:val="en-US"/>
        </w:rPr>
        <w:t xml:space="preserve">related to </w:t>
      </w:r>
      <w:r w:rsidR="00CB0C96" w:rsidRPr="00AE536D">
        <w:rPr>
          <w:spacing w:val="-3"/>
          <w:lang w:val="en-US"/>
        </w:rPr>
        <w:t xml:space="preserve">the reactor conditions and yields </w:t>
      </w:r>
      <w:r w:rsidRPr="00AE536D">
        <w:rPr>
          <w:spacing w:val="-3"/>
          <w:lang w:val="en-US"/>
        </w:rPr>
        <w:t>selected</w:t>
      </w:r>
      <w:r w:rsidR="00CB0C96" w:rsidRPr="00AE536D">
        <w:rPr>
          <w:spacing w:val="-3"/>
          <w:lang w:val="en-US"/>
        </w:rPr>
        <w:t>.</w:t>
      </w:r>
      <w:r w:rsidR="007B7863">
        <w:rPr>
          <w:spacing w:val="-3"/>
          <w:lang w:val="en-US"/>
        </w:rPr>
        <w:t xml:space="preserve"> </w:t>
      </w:r>
      <w:r w:rsidR="00331E61" w:rsidRPr="00AE536D">
        <w:rPr>
          <w:spacing w:val="-3"/>
          <w:lang w:val="en-US"/>
        </w:rPr>
        <w:t>Furthermore, i</w:t>
      </w:r>
      <w:r w:rsidR="00CB0C96" w:rsidRPr="00AE536D">
        <w:rPr>
          <w:spacing w:val="-3"/>
          <w:lang w:val="en-US"/>
        </w:rPr>
        <w:t xml:space="preserve">t was assumed that 80% of the aqueous fraction to be recycled back into the hot water injection process in order to replace freshwater. </w:t>
      </w:r>
      <w:r w:rsidR="00350490" w:rsidRPr="00AE536D">
        <w:rPr>
          <w:spacing w:val="-3"/>
          <w:lang w:val="en-US"/>
        </w:rPr>
        <w:t>Next, t</w:t>
      </w:r>
      <w:r w:rsidR="00CB0C96" w:rsidRPr="00AE536D">
        <w:rPr>
          <w:spacing w:val="-3"/>
          <w:lang w:val="en-US"/>
        </w:rPr>
        <w:t xml:space="preserve">he unreacted organics in the recycled aqueous feed were supposed to decompose partially into oil and char </w:t>
      </w:r>
      <w:r w:rsidR="00CB0C96" w:rsidRPr="00AE536D">
        <w:rPr>
          <w:spacing w:val="-3"/>
          <w:lang w:val="en-US"/>
        </w:rPr>
        <w:fldChar w:fldCharType="begin"/>
      </w:r>
      <w:r w:rsidR="00DE1CA2" w:rsidRPr="00AE536D">
        <w:rPr>
          <w:spacing w:val="-3"/>
          <w:lang w:val="en-US"/>
        </w:rPr>
        <w:instrText xml:space="preserve"> ADDIN ZOTERO_ITEM CSL_CITATION {"citationID":"oIJYd297","properties":{"formattedCitation":"[22]","plainCitation":"[22]","noteIndex":0},"citationItems":[{"id":878,"uris":["http://zotero.org/users/5217225/items/SC2RD37H"],"uri":["http://zotero.org/users/5217225/items/SC2RD37H"],"itemData":{"id":878,"type":"article-journal","abstract":"Hydrothermal liquefaction (HTL) of barley straw with K2CO3 at different temperatures (280–400°C) was conducted and compared to optimize its process conditions; the aqueous phase as a co-product from this process was recycled to explore the feasibility of implementing wastewater reuse for bio-crude oil production. Results showed that low temperature favored the formation of bio-crude oil, with a maximum yield of 34.9wt% at 300°C. Contrarily, at high temperature, the bio-crude oil had better qualities in terms of less oxygen content and higher heating values (HHVs). The compounds identified in bio-crude oil were mainly phenolics, carboxylic acids, aldehydes and alcohols, among which the relative contents of phenolics and carboxylic acids decreased with increasing temperature. In the recirculation studies, bio-crude yield was enhanced gradually with aqueous phase addition at 300°C, and reached 38.4wt% after three cycles. The HHVs of bio-crude oil from HTL with aqueous phase were 28.4–29.4MJ/kg, slightly higher than those from HTL with fresh water. While no obvious differences in elemental distribution can be found after aqueous phase recirculation. In conclusion, this study gives a detailed insight into the HTL behavior of barley straw, and offers potential opportunities and benefits for bio-crude oil production through the reuse of aqueous phase.","container-title":"Applied Energy","DOI":"10.1016/j.apenergy.2014.10.005","ISSN":"0306-2619","journalAbbreviation":"Applied Energy","language":"en","page":"183-192","source":"ScienceDirect","title":"Hydrothermal liquefaction of barley straw to bio-crude oil: Effects of reaction temperature and aqueous phase recirculation","title-short":"Hydrothermal liquefaction of barley straw to bio-crude oil","volume":"137","author":[{"family":"Zhu","given":"Zhe"},{"family":"Rosendahl","given":"Lasse"},{"family":"Toor","given":"Saqib Sohail"},{"family":"Yu","given":"Donghong"},{"family":"Chen","given":"Guanyi"}],"issued":{"date-parts":[["2015",1,1]]}}}],"schema":"https://github.com/citation-style-language/schema/raw/master/csl-citation.json"} </w:instrText>
      </w:r>
      <w:r w:rsidR="00CB0C96" w:rsidRPr="00AE536D">
        <w:rPr>
          <w:spacing w:val="-3"/>
          <w:lang w:val="en-US"/>
        </w:rPr>
        <w:fldChar w:fldCharType="separate"/>
      </w:r>
      <w:r w:rsidR="00DE1CA2" w:rsidRPr="00AE536D">
        <w:t>[22]</w:t>
      </w:r>
      <w:r w:rsidR="00CB0C96" w:rsidRPr="00AE536D">
        <w:rPr>
          <w:spacing w:val="-3"/>
          <w:lang w:val="en-US"/>
        </w:rPr>
        <w:fldChar w:fldCharType="end"/>
      </w:r>
      <w:r w:rsidR="00CB0C96" w:rsidRPr="00AE536D">
        <w:rPr>
          <w:spacing w:val="-3"/>
          <w:lang w:val="en-US"/>
        </w:rPr>
        <w:t xml:space="preserve">. Besides, </w:t>
      </w:r>
      <w:r w:rsidR="00331E61" w:rsidRPr="00AE536D">
        <w:rPr>
          <w:spacing w:val="-3"/>
          <w:lang w:val="en-US"/>
        </w:rPr>
        <w:t xml:space="preserve">it was adopted </w:t>
      </w:r>
      <w:r w:rsidR="00CB0C96" w:rsidRPr="00AE536D">
        <w:rPr>
          <w:spacing w:val="-3"/>
          <w:lang w:val="en-US"/>
        </w:rPr>
        <w:t xml:space="preserve">a conservative </w:t>
      </w:r>
      <w:r w:rsidR="00331E61" w:rsidRPr="00AE536D">
        <w:rPr>
          <w:spacing w:val="-3"/>
          <w:lang w:val="en-US"/>
        </w:rPr>
        <w:t xml:space="preserve">conversion rate of 5-10% related to </w:t>
      </w:r>
      <w:r w:rsidR="00CB0C96" w:rsidRPr="00AE536D">
        <w:rPr>
          <w:spacing w:val="-3"/>
          <w:lang w:val="en-US"/>
        </w:rPr>
        <w:t>biofuel-from-aqueous, proportional to fresh-feed yields.</w:t>
      </w:r>
    </w:p>
    <w:p w14:paraId="62B6087D" w14:textId="3AE95C6D" w:rsidR="007E247A" w:rsidRPr="00AE536D" w:rsidRDefault="00CF63C7" w:rsidP="008E74FB">
      <w:pPr>
        <w:tabs>
          <w:tab w:val="left" w:pos="-1134"/>
          <w:tab w:val="left" w:pos="-414"/>
        </w:tabs>
        <w:suppressAutoHyphens/>
        <w:spacing w:line="360" w:lineRule="auto"/>
        <w:rPr>
          <w:spacing w:val="-3"/>
          <w:lang w:val="en-US"/>
        </w:rPr>
      </w:pPr>
      <w:r w:rsidRPr="00AE536D">
        <w:rPr>
          <w:spacing w:val="-3"/>
          <w:lang w:val="en-US"/>
        </w:rPr>
        <w:lastRenderedPageBreak/>
        <w:t xml:space="preserve">In the HTL model, </w:t>
      </w:r>
      <w:r w:rsidR="007E247A" w:rsidRPr="00AE536D">
        <w:rPr>
          <w:spacing w:val="-3"/>
          <w:lang w:val="en-US"/>
        </w:rPr>
        <w:t>solid biomass</w:t>
      </w:r>
      <w:r w:rsidRPr="00AE536D">
        <w:rPr>
          <w:spacing w:val="-3"/>
          <w:lang w:val="en-US"/>
        </w:rPr>
        <w:t xml:space="preserve"> liquefaction</w:t>
      </w:r>
      <w:r w:rsidR="007E247A" w:rsidRPr="00AE536D">
        <w:rPr>
          <w:spacing w:val="-3"/>
          <w:lang w:val="en-US"/>
        </w:rPr>
        <w:t xml:space="preserve"> in water </w:t>
      </w:r>
      <w:r w:rsidR="00E6230C" w:rsidRPr="00AE536D">
        <w:rPr>
          <w:spacing w:val="-3"/>
          <w:lang w:val="en-US"/>
        </w:rPr>
        <w:t xml:space="preserve">was considered </w:t>
      </w:r>
      <w:r w:rsidR="007E247A" w:rsidRPr="00AE536D">
        <w:rPr>
          <w:spacing w:val="-3"/>
          <w:lang w:val="en-US"/>
        </w:rPr>
        <w:t>without the addition of pre</w:t>
      </w:r>
      <w:r w:rsidR="00421F57" w:rsidRPr="00AE536D">
        <w:rPr>
          <w:spacing w:val="-3"/>
          <w:lang w:val="en-US"/>
        </w:rPr>
        <w:t>-</w:t>
      </w:r>
      <w:r w:rsidR="00E6230C" w:rsidRPr="00AE536D">
        <w:rPr>
          <w:spacing w:val="-3"/>
          <w:lang w:val="en-US"/>
        </w:rPr>
        <w:t>processing or solvents</w:t>
      </w:r>
      <w:r w:rsidR="004E4FD7" w:rsidRPr="00AE536D">
        <w:rPr>
          <w:spacing w:val="-3"/>
          <w:lang w:val="en-US"/>
        </w:rPr>
        <w:t>.</w:t>
      </w:r>
      <w:r w:rsidR="007E247A" w:rsidRPr="00AE536D">
        <w:rPr>
          <w:spacing w:val="-3"/>
          <w:lang w:val="en-US"/>
        </w:rPr>
        <w:t xml:space="preserve"> </w:t>
      </w:r>
      <w:r w:rsidR="00E6230C" w:rsidRPr="00AE536D">
        <w:rPr>
          <w:spacing w:val="-3"/>
          <w:lang w:val="en-US"/>
        </w:rPr>
        <w:t>Therefore,</w:t>
      </w:r>
      <w:r w:rsidR="007E247A" w:rsidRPr="00AE536D">
        <w:rPr>
          <w:spacing w:val="-3"/>
          <w:lang w:val="en-US"/>
        </w:rPr>
        <w:t xml:space="preserve"> </w:t>
      </w:r>
      <w:r w:rsidR="00E6230C" w:rsidRPr="00AE536D">
        <w:rPr>
          <w:spacing w:val="-3"/>
          <w:lang w:val="en-US"/>
        </w:rPr>
        <w:t>t</w:t>
      </w:r>
      <w:r w:rsidR="007E247A" w:rsidRPr="00AE536D">
        <w:rPr>
          <w:spacing w:val="-3"/>
          <w:lang w:val="en-US"/>
        </w:rPr>
        <w:t>h</w:t>
      </w:r>
      <w:r w:rsidR="00E6230C" w:rsidRPr="00AE536D">
        <w:rPr>
          <w:spacing w:val="-3"/>
          <w:lang w:val="en-US"/>
        </w:rPr>
        <w:t xml:space="preserve">e reactor output was separated </w:t>
      </w:r>
      <w:r w:rsidR="004E4FD7" w:rsidRPr="00AE536D">
        <w:rPr>
          <w:spacing w:val="-3"/>
          <w:lang w:val="en-US"/>
        </w:rPr>
        <w:t>from</w:t>
      </w:r>
      <w:r w:rsidR="007E247A" w:rsidRPr="00AE536D">
        <w:rPr>
          <w:spacing w:val="-3"/>
          <w:lang w:val="en-US"/>
        </w:rPr>
        <w:t xml:space="preserve"> the char </w:t>
      </w:r>
      <w:r w:rsidR="00E6230C" w:rsidRPr="00AE536D">
        <w:rPr>
          <w:spacing w:val="-3"/>
          <w:lang w:val="en-US"/>
        </w:rPr>
        <w:t>and conducted to the cogeneration plant (COGEN)</w:t>
      </w:r>
      <w:r w:rsidR="007E247A" w:rsidRPr="00AE536D">
        <w:rPr>
          <w:spacing w:val="-3"/>
          <w:lang w:val="en-US"/>
        </w:rPr>
        <w:t xml:space="preserve">. Off-gases were </w:t>
      </w:r>
      <w:r w:rsidR="00E6230C" w:rsidRPr="00AE536D">
        <w:rPr>
          <w:spacing w:val="-3"/>
          <w:lang w:val="en-US"/>
        </w:rPr>
        <w:t>addressed</w:t>
      </w:r>
      <w:r w:rsidR="007E247A" w:rsidRPr="00AE536D">
        <w:rPr>
          <w:spacing w:val="-3"/>
          <w:lang w:val="en-US"/>
        </w:rPr>
        <w:t xml:space="preserve"> to the hydrogen</w:t>
      </w:r>
      <w:r w:rsidRPr="00AE536D">
        <w:rPr>
          <w:spacing w:val="-3"/>
          <w:lang w:val="en-US"/>
        </w:rPr>
        <w:t xml:space="preserve"> (H</w:t>
      </w:r>
      <w:r w:rsidRPr="00AE536D">
        <w:rPr>
          <w:spacing w:val="-3"/>
          <w:vertAlign w:val="subscript"/>
          <w:lang w:val="en-US"/>
        </w:rPr>
        <w:t>2</w:t>
      </w:r>
      <w:r w:rsidRPr="00AE536D">
        <w:rPr>
          <w:spacing w:val="-3"/>
          <w:lang w:val="en-US"/>
        </w:rPr>
        <w:t>)</w:t>
      </w:r>
      <w:r w:rsidR="007E247A" w:rsidRPr="00AE536D">
        <w:rPr>
          <w:spacing w:val="-3"/>
          <w:lang w:val="en-US"/>
        </w:rPr>
        <w:t xml:space="preserve"> production plant with additional feedstock deman</w:t>
      </w:r>
      <w:r w:rsidR="002F13EE" w:rsidRPr="00AE536D">
        <w:rPr>
          <w:spacing w:val="-3"/>
          <w:lang w:val="en-US"/>
        </w:rPr>
        <w:t>d satisfied by natural gas</w:t>
      </w:r>
      <w:r w:rsidR="005A4BE9" w:rsidRPr="00AE536D">
        <w:rPr>
          <w:spacing w:val="-3"/>
          <w:lang w:val="en-US"/>
        </w:rPr>
        <w:t>,</w:t>
      </w:r>
      <w:r w:rsidR="002F13EE" w:rsidRPr="00AE536D">
        <w:rPr>
          <w:spacing w:val="-3"/>
          <w:lang w:val="en-US"/>
        </w:rPr>
        <w:t xml:space="preserve"> whereas </w:t>
      </w:r>
      <w:r w:rsidR="007E247A" w:rsidRPr="00AE536D">
        <w:rPr>
          <w:spacing w:val="-3"/>
          <w:lang w:val="en-US"/>
        </w:rPr>
        <w:t>exc</w:t>
      </w:r>
      <w:r w:rsidR="00E6230C" w:rsidRPr="00AE536D">
        <w:rPr>
          <w:spacing w:val="-3"/>
          <w:lang w:val="en-US"/>
        </w:rPr>
        <w:t>ess off-gases</w:t>
      </w:r>
      <w:r w:rsidR="005A4BE9" w:rsidRPr="00AE536D">
        <w:rPr>
          <w:spacing w:val="-3"/>
          <w:lang w:val="en-US"/>
        </w:rPr>
        <w:t xml:space="preserve"> were</w:t>
      </w:r>
      <w:r w:rsidR="00E6230C" w:rsidRPr="00AE536D">
        <w:rPr>
          <w:spacing w:val="-3"/>
          <w:lang w:val="en-US"/>
        </w:rPr>
        <w:t xml:space="preserve"> </w:t>
      </w:r>
      <w:r w:rsidR="00B0401F" w:rsidRPr="00AE536D">
        <w:rPr>
          <w:spacing w:val="-3"/>
          <w:lang w:val="en-US"/>
        </w:rPr>
        <w:t>passing through</w:t>
      </w:r>
      <w:r w:rsidR="00E6230C" w:rsidRPr="00AE536D">
        <w:rPr>
          <w:spacing w:val="-3"/>
          <w:lang w:val="en-US"/>
        </w:rPr>
        <w:t xml:space="preserve"> to the COGEN </w:t>
      </w:r>
      <w:r w:rsidR="007E247A" w:rsidRPr="00AE536D">
        <w:rPr>
          <w:spacing w:val="-3"/>
          <w:lang w:val="en-US"/>
        </w:rPr>
        <w:t xml:space="preserve">plant. </w:t>
      </w:r>
      <w:r w:rsidR="006B272B" w:rsidRPr="00AE536D">
        <w:rPr>
          <w:spacing w:val="-3"/>
          <w:lang w:val="en-US"/>
        </w:rPr>
        <w:t xml:space="preserve">HTL biocrude derived from lignocellulosic materials is theoretically an acceptable direct substitute for heavy fuel oil </w:t>
      </w:r>
      <w:r w:rsidR="006B272B" w:rsidRPr="00AE536D">
        <w:rPr>
          <w:spacing w:val="-3"/>
          <w:lang w:val="en-US"/>
        </w:rPr>
        <w:fldChar w:fldCharType="begin"/>
      </w:r>
      <w:r w:rsidR="00DE1CA2" w:rsidRPr="00AE536D">
        <w:rPr>
          <w:spacing w:val="-3"/>
          <w:lang w:val="en-US"/>
        </w:rPr>
        <w:instrText xml:space="preserve"> ADDIN ZOTERO_ITEM CSL_CITATION {"citationID":"SHbdeNS7","properties":{"formattedCitation":"[29,30]","plainCitation":"[29,30]","noteIndex":0},"citationItems":[{"id":901,"uris":["http://zotero.org/users/5217225/items/KWMAMZ3U"],"uri":["http://zotero.org/users/5217225/items/KWMAMZ3U"],"itemData":{"id":901,"type":"article-journal","abstract":"Bio-oils obtained from hydrothermal liquefaction of biomass are black viscous fuels with good heating values. This paper presents results of physical and chemical characterization of bio-oils produced by hydrothermal liquefaction of blackcurrant pomace. The oils are analyzed with standard normalized tests and compared to specifications required by commercialized biofuels and conventional fuels. Iodine value and total acid number are determined, showing relatively high values. GC/MS analysis demonstrates that bio-oil recovery by solvent extraction followed by subsequent evaporation of the solvent leads to the loss of some volatile compounds in the bio-oil. Thermogravimetric analysis are performed to study the volatility of HTL bio-oils, as well as to evaluate the carbon residue after evaporation. The viscosity of a bio-oil recovered by ethyl-acetate extraction was measured with a rotational viscometer at 25 °C, leading to a viscosity of 1.7 Pa·s. The results show furthermore that adding sodium hydroxide to the reaction medium has a limited influence on the properties of bio-oils. The choice of extraction solvent has conversely a significant influence on the quality of the produced oil. We demonstrate in this paper how standardized tests can be applied to hydrothermal bio-oils, to compare them with commercial fuels and evaluate the need for upgrading.","archive_location":"world","DOI":"10.1021/acs.energyfuels.5b02264","language":"EN","note":"publisher: American Chemical Society","source":"pubs.acs.org","title":"Analysis of Physicochemical Properties of Bio-Oil from Hydrothermal Liquefaction of Blackcurrant Pomace","URL":"https://pubs.acs.org/doi/abs/10.1021/acs.energyfuels.5b02264","author":[{"family":"Anouti","given":"Suzanne"},{"family":"Haarlemmer","given":"Geert"},{"family":"Déniel","given":"Maxime"},{"family":"Roubaud","given":"Anne"}],"accessed":{"date-parts":[["2020",4,15]]},"issued":{"date-parts":[["2015",12,17]]}}},{"id":899,"uris":["http://zotero.org/users/5217225/items/GYB69G66"],"uri":["http://zotero.org/users/5217225/items/GYB69G66"],"itemData":{"id":899,"type":"article-journal","abstract":"This review describes the recent results in hydrothermal liquefaction (HTL) of biomass in continuous-flow processing systems. Although much has been published about batch reactor tests of biomass HTL, there is only limited information yet available on continuous-flow tests, which can provide a more reasonable basis for process design and scale-up for commercialization. High-moisture biomass feedstocks are the most likely to be used in HTL. These materials are described and results of their processing are discussed. Engineered systems for HTL are described; however, they are of limited size and do not yet approach a demonstration scale of operation. With the results available, process models have been developed, and mass and energy balances determined. From these models, process costs have been calculated and provide some optimism as to the commercial likelihood of the technology.","container-title":"Bioresource Technology","DOI":"10.1016/j.biortech.2014.09.132","ISSN":"0960-8524","journalAbbreviation":"Bioresource Technology","language":"en","page":"147-156","source":"ScienceDirect","title":"Hydrothermal liquefaction of biomass: Developments from batch to continuous process","title-short":"Hydrothermal liquefaction of biomass","volume":"178","author":[{"family":"Elliott","given":"Douglas C."},{"family":"Biller","given":"Patrick"},{"family":"Ross","given":"Andrew B."},{"family":"Schmidt","given":"Andrew J."},{"family":"Jones","given":"Susanne B."}],"issued":{"date-parts":[["2015",2,1]]}}}],"schema":"https://github.com/citation-style-language/schema/raw/master/csl-citation.json"} </w:instrText>
      </w:r>
      <w:r w:rsidR="006B272B" w:rsidRPr="00AE536D">
        <w:rPr>
          <w:spacing w:val="-3"/>
          <w:lang w:val="en-US"/>
        </w:rPr>
        <w:fldChar w:fldCharType="separate"/>
      </w:r>
      <w:r w:rsidR="00DE1CA2" w:rsidRPr="00AE536D">
        <w:t>[29,30]</w:t>
      </w:r>
      <w:r w:rsidR="006B272B" w:rsidRPr="00AE536D">
        <w:rPr>
          <w:spacing w:val="-3"/>
          <w:lang w:val="en-US"/>
        </w:rPr>
        <w:fldChar w:fldCharType="end"/>
      </w:r>
      <w:r w:rsidR="006B272B" w:rsidRPr="00AE536D">
        <w:rPr>
          <w:spacing w:val="-3"/>
          <w:lang w:val="en-US"/>
        </w:rPr>
        <w:t xml:space="preserve"> and directly usable blended with fossil fuel sources in marine engines</w:t>
      </w:r>
      <w:r w:rsidR="007E247A" w:rsidRPr="00AE536D">
        <w:rPr>
          <w:spacing w:val="-3"/>
          <w:lang w:val="en-US"/>
        </w:rPr>
        <w:t xml:space="preserve"> </w:t>
      </w:r>
      <w:r w:rsidR="00EE2029" w:rsidRPr="00AE536D">
        <w:rPr>
          <w:spacing w:val="-3"/>
          <w:lang w:val="en-US"/>
        </w:rPr>
        <w:fldChar w:fldCharType="begin"/>
      </w:r>
      <w:r w:rsidR="00FE3F5C" w:rsidRPr="00AE536D">
        <w:rPr>
          <w:spacing w:val="-3"/>
          <w:lang w:val="en-US"/>
        </w:rPr>
        <w:instrText xml:space="preserve"> ADDIN ZOTERO_ITEM CSL_CITATION {"citationID":"KibOQC3t","properties":{"formattedCitation":"[7]","plainCitation":"[7]","noteIndex":0},"citationItems":[{"id":865,"uris":["http://zotero.org/users/5217225/items/2T7BUHUT"],"uri":["http://zotero.org/users/5217225/items/2T7BUHUT"],"itemData":{"id":865,"type":"article-journal","abstract":"This paper investigates diesel engine performance and exhaust emissions with marine gas oil (MGO) and a blend of MGO and synthetic diesel fuel. Ten per cent by volume of Fischer–Tropsch (FT), a synthetic diesel fuel, was added to MGO to investigate its influence on the diesel engine performance and emissions. The blended fuel was termed as FT10 fuel, while the neat (100 vol%) MGO was termed as MGO fuel. The experiments were conducted with a fourstroke, six-cylinder, turbocharged, direct injection, Scania DC 1102 diesel engine. It is interesting to note that all emissions including smoke (filter smoke number), total particulate matter (TPM), carbon monoxide (CO), total unburned hydrocarbon (THC), oxides of nitrogen (NOx) and engine noise were reduced with FT10 fuel compared with the MGO fuel. Diesel fine particle number and mass emissions were measured with an electrical low pressure impactor. Like other exhaust emissions, significant reductions in fine particles and mass emissions were observed with the FT10 fuel. The reduction was due to absence of sulphur and aromatic compounds in the FT fuel. In-cylinder gas pressure and engine thermal efficiency were identical for both FT10 and MGO fuels.","container-title":"Environmental Technology","DOI":"10.1080/09593330.2010.483599","ISSN":"0959-3330","issue":"1","note":"publisher: Taylor &amp; Francis\n_eprint: https://doi.org/10.1080/09593330.2010.483599\nPMID: 22519083","page":"9-15","source":"Taylor and Francis+NEJM","title":"Investigation of engine performance and emissions of a diesel engine with a blend of marine gas oil and synthetic diesel fuel","volume":"33","author":[{"family":"Nabi","given":"Md Nurun"},{"family":"Hustad","given":"Johan Einar"}],"issued":{"date-parts":[["2012",1,1]]}}}],"schema":"https://github.com/citation-style-language/schema/raw/master/csl-citation.json"} </w:instrText>
      </w:r>
      <w:r w:rsidR="00EE2029" w:rsidRPr="00AE536D">
        <w:rPr>
          <w:spacing w:val="-3"/>
          <w:lang w:val="en-US"/>
        </w:rPr>
        <w:fldChar w:fldCharType="separate"/>
      </w:r>
      <w:r w:rsidR="00FE3F5C" w:rsidRPr="00AE536D">
        <w:t>[7]</w:t>
      </w:r>
      <w:r w:rsidR="00EE2029" w:rsidRPr="00AE536D">
        <w:rPr>
          <w:spacing w:val="-3"/>
          <w:lang w:val="en-US"/>
        </w:rPr>
        <w:fldChar w:fldCharType="end"/>
      </w:r>
      <w:r w:rsidR="00EE2029" w:rsidRPr="00AE536D">
        <w:rPr>
          <w:spacing w:val="-3"/>
          <w:lang w:val="en-US"/>
        </w:rPr>
        <w:t>.</w:t>
      </w:r>
      <w:r w:rsidR="00172B49" w:rsidRPr="00AE536D">
        <w:rPr>
          <w:spacing w:val="-3"/>
          <w:lang w:val="en-US"/>
        </w:rPr>
        <w:t xml:space="preserve"> </w:t>
      </w:r>
      <w:r w:rsidR="007E247A" w:rsidRPr="00AE536D">
        <w:rPr>
          <w:spacing w:val="-3"/>
          <w:lang w:val="en-US"/>
        </w:rPr>
        <w:t xml:space="preserve">Hydrotreatment </w:t>
      </w:r>
      <w:r w:rsidR="00172B49" w:rsidRPr="00AE536D">
        <w:rPr>
          <w:spacing w:val="-3"/>
          <w:lang w:val="en-US"/>
        </w:rPr>
        <w:t>i</w:t>
      </w:r>
      <w:r w:rsidR="007E247A" w:rsidRPr="00AE536D">
        <w:rPr>
          <w:spacing w:val="-3"/>
          <w:lang w:val="en-US"/>
        </w:rPr>
        <w:t xml:space="preserve">s expected to increase the </w:t>
      </w:r>
      <w:r w:rsidR="000024A6" w:rsidRPr="00AE536D">
        <w:rPr>
          <w:spacing w:val="-3"/>
          <w:lang w:val="en-US"/>
        </w:rPr>
        <w:t>HTL biofuel quality</w:t>
      </w:r>
      <w:r w:rsidR="007E247A" w:rsidRPr="00AE536D">
        <w:rPr>
          <w:spacing w:val="-3"/>
          <w:lang w:val="en-US"/>
        </w:rPr>
        <w:t xml:space="preserve"> by </w:t>
      </w:r>
      <w:r w:rsidR="00172B49" w:rsidRPr="00AE536D">
        <w:rPr>
          <w:spacing w:val="-3"/>
          <w:lang w:val="en-US"/>
        </w:rPr>
        <w:t>decreasing</w:t>
      </w:r>
      <w:r w:rsidR="007E247A" w:rsidRPr="00AE536D">
        <w:rPr>
          <w:spacing w:val="-3"/>
          <w:lang w:val="en-US"/>
        </w:rPr>
        <w:t xml:space="preserve"> its </w:t>
      </w:r>
      <w:r w:rsidR="00942B2A" w:rsidRPr="00AE536D">
        <w:rPr>
          <w:spacing w:val="-3"/>
          <w:lang w:val="en-US"/>
        </w:rPr>
        <w:t>sul</w:t>
      </w:r>
      <w:r w:rsidR="00AE34B4" w:rsidRPr="00AE536D">
        <w:rPr>
          <w:spacing w:val="-3"/>
          <w:lang w:val="en-US"/>
        </w:rPr>
        <w:t>f</w:t>
      </w:r>
      <w:r w:rsidR="00942B2A" w:rsidRPr="00AE536D">
        <w:rPr>
          <w:spacing w:val="-3"/>
          <w:lang w:val="en-US"/>
        </w:rPr>
        <w:t>ur</w:t>
      </w:r>
      <w:r w:rsidR="007E247A" w:rsidRPr="00AE536D">
        <w:rPr>
          <w:spacing w:val="-3"/>
          <w:lang w:val="en-US"/>
        </w:rPr>
        <w:t>, nitrogen, and oxygen fractions, and increasing i</w:t>
      </w:r>
      <w:r w:rsidR="000024A6" w:rsidRPr="00AE536D">
        <w:rPr>
          <w:spacing w:val="-3"/>
          <w:lang w:val="en-US"/>
        </w:rPr>
        <w:t>t</w:t>
      </w:r>
      <w:r w:rsidR="007E247A" w:rsidRPr="00AE536D">
        <w:rPr>
          <w:spacing w:val="-3"/>
          <w:lang w:val="en-US"/>
        </w:rPr>
        <w:t xml:space="preserve">s energy content to a comparable </w:t>
      </w:r>
      <w:r w:rsidR="00172B49" w:rsidRPr="00AE536D">
        <w:rPr>
          <w:spacing w:val="-3"/>
          <w:lang w:val="en-US"/>
        </w:rPr>
        <w:t xml:space="preserve">amount of biocrude FPH and GFT </w:t>
      </w:r>
      <w:r w:rsidR="00172B49" w:rsidRPr="00AE536D">
        <w:rPr>
          <w:spacing w:val="-3"/>
          <w:lang w:val="en-US"/>
        </w:rPr>
        <w:fldChar w:fldCharType="begin"/>
      </w:r>
      <w:r w:rsidR="00172B49" w:rsidRPr="00AE536D">
        <w:rPr>
          <w:spacing w:val="-3"/>
          <w:lang w:val="en-US"/>
        </w:rPr>
        <w:instrText xml:space="preserve"> ADDIN ZOTERO_ITEM CSL_CITATION {"citationID":"5Oohtxjd","properties":{"formattedCitation":"[8]","plainCitation":"[8]","noteIndex":0},"citationItems":[{"id":857,"uris":["http://zotero.org/users/5217225/items/LEPWVKW8"],"uri":["http://zotero.org/users/5217225/items/LEPWVKW8"],"itemData":{"id":857,"type":"article-journal","abstract":"The impending restrictions on the sulfur content and greenhouse gas emissions of marine fuels represent a challenge for the maritime shipping industry and an opportunity for alternative fuels that may have lower environmental impacts but are not currently economically competitive. This study developed an integrated screening model to compare the technological, economic, and environmental performance of 33 “drop-in” marine biofuel blendstock supply chains, considering nine agroforestry residues and three thermochemical technologies. The biofuel production was modeled for 500 tonne per day “first-of-a-kind” biorefineries to reflect near-term production. Supply chains were modeled for biofuel production in both Brazil and Sweden to explore the impact of regional differences on the biofuels’ break-even prices and their life cycle emissions of greenhouse gases, SO2, and NOX. This study indicates that in the immediate term, marine biofuels from lignocellulosic feedstocks may have a minimum fuel selling price three or more times higher than current fossil marine fuel prices. Biofuels made from agricultural residues saw a 40–100 kg/GJ decrease in life cycle GHG emissions, but forestry residue emissions depended highly on biogenic carbon dioxide accounting. SO2, and NOX emissions were dominated primarily by combustion, which for SO2 were estimated to be much lower than fossil fuels, due to the negligible sulfur content of the biomass. Overall, no single biofuel was a clear winner in terms of economic and environmental performance in the model, but space is opened for deeper research, as the new regulations come into effect.","container-title":"Journal of Cleaner Production","DOI":"10.1016/j.jclepro.2019.117845","ISSN":"0959-6526","journalAbbreviation":"Journal of Cleaner Production","language":"en","page":"117845","source":"ScienceDirect","title":"Lignocellulosic marine biofuel: Technoeconomic and environmental assessment for production in Brazil and Sweden","title-short":"Lignocellulosic marine biofuel","volume":"239","author":[{"family":"Tanzer","given":"Samantha Eleanor"},{"family":"Posada","given":"John"},{"family":"Geraedts","given":"Sjors"},{"family":"Ramírez","given":"Andrea"}],"issued":{"date-parts":[["2019",12,1]]}}}],"schema":"https://github.com/citation-style-language/schema/raw/master/csl-citation.json"} </w:instrText>
      </w:r>
      <w:r w:rsidR="00172B49" w:rsidRPr="00AE536D">
        <w:rPr>
          <w:spacing w:val="-3"/>
          <w:lang w:val="en-US"/>
        </w:rPr>
        <w:fldChar w:fldCharType="separate"/>
      </w:r>
      <w:r w:rsidR="00172B49" w:rsidRPr="00AE536D">
        <w:t>[8]</w:t>
      </w:r>
      <w:r w:rsidR="00172B49" w:rsidRPr="00AE536D">
        <w:rPr>
          <w:spacing w:val="-3"/>
          <w:lang w:val="en-US"/>
        </w:rPr>
        <w:fldChar w:fldCharType="end"/>
      </w:r>
      <w:r w:rsidR="007E247A" w:rsidRPr="00AE536D">
        <w:rPr>
          <w:spacing w:val="-3"/>
          <w:lang w:val="en-US"/>
        </w:rPr>
        <w:t>.</w:t>
      </w:r>
    </w:p>
    <w:p w14:paraId="04E61661" w14:textId="77777777" w:rsidR="00C32C98" w:rsidRPr="00AE536D" w:rsidRDefault="004B090D" w:rsidP="007B7863">
      <w:pPr>
        <w:pStyle w:val="Ttulo2"/>
        <w:numPr>
          <w:ilvl w:val="2"/>
          <w:numId w:val="9"/>
        </w:numPr>
        <w:ind w:left="142" w:hanging="142"/>
        <w:rPr>
          <w:lang w:val="en-US"/>
        </w:rPr>
      </w:pPr>
      <w:r w:rsidRPr="00AE536D">
        <w:rPr>
          <w:lang w:val="en-US"/>
        </w:rPr>
        <w:t>Gasification with Fischer-Tropsch synthesis (GFT)</w:t>
      </w:r>
    </w:p>
    <w:p w14:paraId="09F53EEA" w14:textId="08C85C87" w:rsidR="00C32C98" w:rsidRPr="00AE536D" w:rsidRDefault="00421F57" w:rsidP="008E74FB">
      <w:pPr>
        <w:tabs>
          <w:tab w:val="left" w:pos="-1134"/>
          <w:tab w:val="left" w:pos="-414"/>
        </w:tabs>
        <w:suppressAutoHyphens/>
        <w:spacing w:line="360" w:lineRule="auto"/>
        <w:rPr>
          <w:spacing w:val="-3"/>
          <w:lang w:val="en-US"/>
        </w:rPr>
      </w:pPr>
      <w:r w:rsidRPr="00AE536D">
        <w:rPr>
          <w:spacing w:val="-3"/>
          <w:lang w:val="en-US"/>
        </w:rPr>
        <w:t xml:space="preserve">In </w:t>
      </w:r>
      <w:r w:rsidR="00AE34B4" w:rsidRPr="00AE536D">
        <w:rPr>
          <w:spacing w:val="-3"/>
          <w:lang w:val="en-US"/>
        </w:rPr>
        <w:t xml:space="preserve">the </w:t>
      </w:r>
      <w:r w:rsidRPr="00AE536D">
        <w:rPr>
          <w:spacing w:val="-3"/>
          <w:lang w:val="en-US"/>
        </w:rPr>
        <w:t>GFT</w:t>
      </w:r>
      <w:r w:rsidR="004E4FD7" w:rsidRPr="00AE536D">
        <w:rPr>
          <w:spacing w:val="-3"/>
          <w:lang w:val="en-US"/>
        </w:rPr>
        <w:t xml:space="preserve"> system</w:t>
      </w:r>
      <w:r w:rsidR="00267AAA" w:rsidRPr="00AE536D">
        <w:rPr>
          <w:spacing w:val="-3"/>
          <w:lang w:val="en-US"/>
        </w:rPr>
        <w:t xml:space="preserve"> (</w:t>
      </w:r>
      <w:r w:rsidR="003D5B2C" w:rsidRPr="00AE536D">
        <w:rPr>
          <w:spacing w:val="-3"/>
          <w:lang w:val="en-US"/>
        </w:rPr>
        <w:t>Fig. 3</w:t>
      </w:r>
      <w:r w:rsidR="00267AAA" w:rsidRPr="00AE536D">
        <w:rPr>
          <w:spacing w:val="-3"/>
          <w:lang w:val="en-US"/>
        </w:rPr>
        <w:t>)</w:t>
      </w:r>
      <w:r w:rsidRPr="00AE536D">
        <w:rPr>
          <w:spacing w:val="-3"/>
          <w:lang w:val="en-US"/>
        </w:rPr>
        <w:t xml:space="preserve">, </w:t>
      </w:r>
      <w:r w:rsidR="000024A6" w:rsidRPr="00AE536D">
        <w:rPr>
          <w:spacing w:val="-3"/>
          <w:lang w:val="en-US"/>
        </w:rPr>
        <w:t xml:space="preserve">the </w:t>
      </w:r>
      <w:r w:rsidR="003F0E16" w:rsidRPr="00AE536D">
        <w:rPr>
          <w:spacing w:val="-3"/>
          <w:lang w:val="en-US"/>
        </w:rPr>
        <w:t>raw material</w:t>
      </w:r>
      <w:r w:rsidRPr="00AE536D">
        <w:rPr>
          <w:spacing w:val="-3"/>
          <w:lang w:val="en-US"/>
        </w:rPr>
        <w:t xml:space="preserve"> is </w:t>
      </w:r>
      <w:r w:rsidR="003F0E16" w:rsidRPr="00AE536D">
        <w:rPr>
          <w:spacing w:val="-3"/>
          <w:lang w:val="en-US"/>
        </w:rPr>
        <w:t>gasif</w:t>
      </w:r>
      <w:r w:rsidR="000024A6" w:rsidRPr="00AE536D">
        <w:rPr>
          <w:spacing w:val="-3"/>
          <w:lang w:val="en-US"/>
        </w:rPr>
        <w:t>ied</w:t>
      </w:r>
      <w:r w:rsidR="003F0E16" w:rsidRPr="00AE536D">
        <w:rPr>
          <w:spacing w:val="-3"/>
          <w:lang w:val="en-US"/>
        </w:rPr>
        <w:t>/converted into synthesis gas (syngas) rich in hydrogen</w:t>
      </w:r>
      <w:r w:rsidR="00B94C23" w:rsidRPr="00AE536D">
        <w:rPr>
          <w:spacing w:val="-3"/>
          <w:lang w:val="en-US"/>
        </w:rPr>
        <w:t xml:space="preserve"> (H</w:t>
      </w:r>
      <w:r w:rsidR="00B94C23" w:rsidRPr="00AE536D">
        <w:rPr>
          <w:spacing w:val="-3"/>
          <w:vertAlign w:val="subscript"/>
          <w:lang w:val="en-US"/>
        </w:rPr>
        <w:t>2</w:t>
      </w:r>
      <w:r w:rsidR="00B94C23" w:rsidRPr="00AE536D">
        <w:rPr>
          <w:spacing w:val="-3"/>
          <w:lang w:val="en-US"/>
        </w:rPr>
        <w:t>)</w:t>
      </w:r>
      <w:r w:rsidR="003F0E16" w:rsidRPr="00AE536D">
        <w:rPr>
          <w:spacing w:val="-3"/>
          <w:lang w:val="en-US"/>
        </w:rPr>
        <w:t xml:space="preserve"> and carbon monoxide</w:t>
      </w:r>
      <w:r w:rsidR="00B94C23" w:rsidRPr="00AE536D">
        <w:rPr>
          <w:spacing w:val="-3"/>
          <w:lang w:val="en-US"/>
        </w:rPr>
        <w:t xml:space="preserve"> (CO)</w:t>
      </w:r>
      <w:r w:rsidRPr="00AE536D">
        <w:rPr>
          <w:spacing w:val="-3"/>
          <w:lang w:val="en-US"/>
        </w:rPr>
        <w:t xml:space="preserve">, cleaned catalytically </w:t>
      </w:r>
      <w:r w:rsidR="003F0E16" w:rsidRPr="00AE536D">
        <w:rPr>
          <w:spacing w:val="-3"/>
          <w:lang w:val="en-US"/>
        </w:rPr>
        <w:t>(remove sod and tar)</w:t>
      </w:r>
      <w:r w:rsidR="00B94C23" w:rsidRPr="00AE536D">
        <w:rPr>
          <w:spacing w:val="-3"/>
          <w:lang w:val="en-US"/>
        </w:rPr>
        <w:t>,</w:t>
      </w:r>
      <w:r w:rsidR="003F0E16" w:rsidRPr="00AE536D">
        <w:rPr>
          <w:spacing w:val="-3"/>
          <w:lang w:val="en-US"/>
        </w:rPr>
        <w:t xml:space="preserve"> </w:t>
      </w:r>
      <w:r w:rsidRPr="00AE536D">
        <w:rPr>
          <w:spacing w:val="-3"/>
          <w:lang w:val="en-US"/>
        </w:rPr>
        <w:t xml:space="preserve">condensed into a high purity </w:t>
      </w:r>
      <w:r w:rsidR="003F0E16" w:rsidRPr="00AE536D">
        <w:rPr>
          <w:spacing w:val="-3"/>
          <w:lang w:val="en-US"/>
        </w:rPr>
        <w:t>liquid hydrocarbon such as synthetic diesel</w:t>
      </w:r>
      <w:r w:rsidR="00B94C23" w:rsidRPr="00AE536D">
        <w:rPr>
          <w:spacing w:val="-3"/>
          <w:lang w:val="en-US"/>
        </w:rPr>
        <w:t xml:space="preserve">, </w:t>
      </w:r>
      <w:r w:rsidR="003F0E16" w:rsidRPr="00AE536D">
        <w:rPr>
          <w:spacing w:val="-3"/>
          <w:lang w:val="en-US"/>
        </w:rPr>
        <w:t>biokerosene</w:t>
      </w:r>
      <w:r w:rsidR="00B94C23" w:rsidRPr="00AE536D">
        <w:rPr>
          <w:spacing w:val="-3"/>
          <w:lang w:val="en-US"/>
        </w:rPr>
        <w:t xml:space="preserve">, and marine biofuel </w:t>
      </w:r>
      <w:r w:rsidR="002E4461" w:rsidRPr="00AE536D">
        <w:rPr>
          <w:spacing w:val="-3"/>
          <w:lang w:val="en-US"/>
        </w:rPr>
        <w:fldChar w:fldCharType="begin"/>
      </w:r>
      <w:r w:rsidR="00DE1CA2" w:rsidRPr="00AE536D">
        <w:rPr>
          <w:spacing w:val="-3"/>
          <w:lang w:val="en-US"/>
        </w:rPr>
        <w:instrText xml:space="preserve"> ADDIN ZOTERO_ITEM CSL_CITATION {"citationID":"bb3XdkMm","properties":{"formattedCitation":"[31]","plainCitation":"[31]","noteIndex":0},"citationItems":[{"id":904,"uris":["http://zotero.org/users/5217225/items/JKVJ435X"],"uri":["http://zotero.org/users/5217225/items/JKVJ435X"],"itemData":{"id":904,"type":"article-journal","abstract":"This article gives a condensed overview of Gas-to-Liquid (GTL), Biomass-to-Liquid (BTL) and Coal-to-Liquid (CTL) theory and technology by the use of Fischer–Tropsch (F–T) processes. Variations of the F–T process can be used to tailor the fuel properties to meet end user needs as well as aid vehicle manufacturers in achieving forthcoming emission regulations. They do this by improving engine-out emissions and exhaust gas after-treatment performance. Regardless of feedstock or process, F–T diesel fuels typically have a number of very desirable properties, including a very high cetane number. This review focuses on how fuel properties impact pollutant emissions and draws together data from various studies that have been carried out over the past few years. Reduced emission levels as demonstrated in several publications have been attributed to several chemical and physical characteristics of the F–T diesel fuels including reduced density, ultra-low sulfur levels, low aromatic content and high cetane rating, but not all of them contribute to the same extent to the emissions reduction.","container-title":"Progress in Energy and Combustion Science","DOI":"10.1016/j.pecs.2010.09.001","ISSN":"0360-1285","issue":"4","journalAbbreviation":"Progress in Energy and Combustion Science","language":"en","page":"503-523","source":"ScienceDirect","title":"Combustion characteristics and emissions of Fischer–Tropsch diesel fuels in IC engines","volume":"37","author":[{"family":"Gill","given":"S. S."},{"family":"Tsolakis","given":"A."},{"family":"Dearn","given":"K. D."},{"family":"Rodríguez-Fernández","given":"J."}],"issued":{"date-parts":[["2011",8,1]]}}}],"schema":"https://github.com/citation-style-language/schema/raw/master/csl-citation.json"} </w:instrText>
      </w:r>
      <w:r w:rsidR="002E4461" w:rsidRPr="00AE536D">
        <w:rPr>
          <w:spacing w:val="-3"/>
          <w:lang w:val="en-US"/>
        </w:rPr>
        <w:fldChar w:fldCharType="separate"/>
      </w:r>
      <w:r w:rsidR="00DE1CA2" w:rsidRPr="00AE536D">
        <w:t>[31]</w:t>
      </w:r>
      <w:r w:rsidR="002E4461" w:rsidRPr="00AE536D">
        <w:rPr>
          <w:spacing w:val="-3"/>
          <w:lang w:val="en-US"/>
        </w:rPr>
        <w:fldChar w:fldCharType="end"/>
      </w:r>
      <w:r w:rsidRPr="00AE536D">
        <w:rPr>
          <w:spacing w:val="-3"/>
          <w:lang w:val="en-US"/>
        </w:rPr>
        <w:t xml:space="preserve">. In this model, the prepared </w:t>
      </w:r>
      <w:r w:rsidR="00B94C23" w:rsidRPr="00AE536D">
        <w:rPr>
          <w:spacing w:val="-3"/>
          <w:lang w:val="en-US"/>
        </w:rPr>
        <w:t>biomass</w:t>
      </w:r>
      <w:r w:rsidRPr="00AE536D">
        <w:rPr>
          <w:spacing w:val="-3"/>
          <w:lang w:val="en-US"/>
        </w:rPr>
        <w:t xml:space="preserve"> was pressurized with CO</w:t>
      </w:r>
      <w:r w:rsidRPr="00AE536D">
        <w:rPr>
          <w:spacing w:val="-3"/>
          <w:vertAlign w:val="subscript"/>
          <w:lang w:val="en-US"/>
        </w:rPr>
        <w:t>2</w:t>
      </w:r>
      <w:r w:rsidRPr="00AE536D">
        <w:rPr>
          <w:spacing w:val="-3"/>
          <w:lang w:val="en-US"/>
        </w:rPr>
        <w:t xml:space="preserve"> and gasified in a steam-o</w:t>
      </w:r>
      <w:r w:rsidR="001258D9" w:rsidRPr="00AE536D">
        <w:rPr>
          <w:spacing w:val="-3"/>
          <w:lang w:val="en-US"/>
        </w:rPr>
        <w:t>xygen environment at 700-830°</w:t>
      </w:r>
      <w:r w:rsidRPr="00AE536D">
        <w:rPr>
          <w:spacing w:val="-3"/>
          <w:lang w:val="en-US"/>
        </w:rPr>
        <w:t xml:space="preserve">C, at </w:t>
      </w:r>
      <w:r w:rsidRPr="00B849AD">
        <w:rPr>
          <w:spacing w:val="-3"/>
          <w:highlight w:val="cyan"/>
          <w:lang w:val="en-US"/>
        </w:rPr>
        <w:t>ratios of 4:1 dry biomass to O</w:t>
      </w:r>
      <w:r w:rsidRPr="00B849AD">
        <w:rPr>
          <w:spacing w:val="-3"/>
          <w:highlight w:val="cyan"/>
          <w:vertAlign w:val="subscript"/>
          <w:lang w:val="en-US"/>
        </w:rPr>
        <w:t>2</w:t>
      </w:r>
      <w:r w:rsidRPr="00B849AD">
        <w:rPr>
          <w:spacing w:val="-3"/>
          <w:highlight w:val="cyan"/>
          <w:lang w:val="en-US"/>
        </w:rPr>
        <w:t xml:space="preserve"> and 3:2 O</w:t>
      </w:r>
      <w:r w:rsidRPr="00B849AD">
        <w:rPr>
          <w:spacing w:val="-3"/>
          <w:highlight w:val="cyan"/>
          <w:vertAlign w:val="subscript"/>
          <w:lang w:val="en-US"/>
        </w:rPr>
        <w:t>2</w:t>
      </w:r>
      <w:r w:rsidRPr="00B849AD">
        <w:rPr>
          <w:spacing w:val="-3"/>
          <w:highlight w:val="cyan"/>
          <w:lang w:val="en-US"/>
        </w:rPr>
        <w:t xml:space="preserve"> to steam mass.</w:t>
      </w:r>
      <w:r w:rsidRPr="00AE536D">
        <w:rPr>
          <w:spacing w:val="-3"/>
          <w:lang w:val="en-US"/>
        </w:rPr>
        <w:t xml:space="preserve"> </w:t>
      </w:r>
      <w:r w:rsidR="003F0E16" w:rsidRPr="00AE536D">
        <w:rPr>
          <w:spacing w:val="-3"/>
          <w:lang w:val="en-US"/>
        </w:rPr>
        <w:t>Table 3 presents t</w:t>
      </w:r>
      <w:r w:rsidRPr="00AE536D">
        <w:rPr>
          <w:spacing w:val="-3"/>
          <w:lang w:val="en-US"/>
        </w:rPr>
        <w:t>he gas yields used in</w:t>
      </w:r>
      <w:r w:rsidR="003F0E16" w:rsidRPr="00AE536D">
        <w:rPr>
          <w:spacing w:val="-3"/>
          <w:lang w:val="en-US"/>
        </w:rPr>
        <w:t xml:space="preserve"> the simulation</w:t>
      </w:r>
      <w:r w:rsidR="00C32C98" w:rsidRPr="00AE536D">
        <w:rPr>
          <w:spacing w:val="-3"/>
          <w:lang w:val="en-US"/>
        </w:rPr>
        <w:t>.</w:t>
      </w:r>
    </w:p>
    <w:p w14:paraId="0E4317AF" w14:textId="77777777" w:rsidR="0084096B" w:rsidRPr="00AE536D" w:rsidRDefault="0084096B" w:rsidP="008E74FB">
      <w:pPr>
        <w:tabs>
          <w:tab w:val="left" w:pos="-1134"/>
          <w:tab w:val="left" w:pos="-414"/>
        </w:tabs>
        <w:suppressAutoHyphens/>
        <w:spacing w:line="360" w:lineRule="auto"/>
        <w:rPr>
          <w:spacing w:val="-3"/>
          <w:lang w:val="en-US"/>
        </w:rPr>
      </w:pPr>
    </w:p>
    <w:p w14:paraId="73C69891" w14:textId="3A0C8B27" w:rsidR="00603AEA" w:rsidRPr="00AE536D" w:rsidRDefault="00603AEA" w:rsidP="008E74FB">
      <w:pPr>
        <w:tabs>
          <w:tab w:val="left" w:pos="-1134"/>
          <w:tab w:val="left" w:pos="-414"/>
        </w:tabs>
        <w:suppressAutoHyphens/>
        <w:spacing w:line="360" w:lineRule="auto"/>
        <w:rPr>
          <w:spacing w:val="-3"/>
          <w:lang w:val="en-US"/>
        </w:rPr>
      </w:pPr>
      <w:r w:rsidRPr="00AE536D">
        <w:rPr>
          <w:spacing w:val="-3"/>
          <w:lang w:val="en-US"/>
        </w:rPr>
        <w:t xml:space="preserve">The </w:t>
      </w:r>
      <w:r w:rsidR="00B94C23" w:rsidRPr="00AE536D">
        <w:rPr>
          <w:spacing w:val="-3"/>
          <w:lang w:val="en-US"/>
        </w:rPr>
        <w:t>synthesis gas</w:t>
      </w:r>
      <w:r w:rsidRPr="00AE536D">
        <w:rPr>
          <w:spacing w:val="-3"/>
          <w:lang w:val="en-US"/>
        </w:rPr>
        <w:t xml:space="preserve"> was cleaned to </w:t>
      </w:r>
      <w:r w:rsidR="00B94C23" w:rsidRPr="00AE536D">
        <w:rPr>
          <w:spacing w:val="-3"/>
          <w:lang w:val="en-US"/>
        </w:rPr>
        <w:t>eliminate</w:t>
      </w:r>
      <w:r w:rsidRPr="00AE536D">
        <w:rPr>
          <w:spacing w:val="-3"/>
          <w:lang w:val="en-US"/>
        </w:rPr>
        <w:t xml:space="preserve"> solids, tar, ammonia, CO</w:t>
      </w:r>
      <w:r w:rsidRPr="00AE536D">
        <w:rPr>
          <w:spacing w:val="-3"/>
          <w:vertAlign w:val="subscript"/>
          <w:lang w:val="en-US"/>
        </w:rPr>
        <w:t>2</w:t>
      </w:r>
      <w:r w:rsidRPr="00AE536D">
        <w:rPr>
          <w:spacing w:val="-3"/>
          <w:lang w:val="en-US"/>
        </w:rPr>
        <w:t xml:space="preserve">, and </w:t>
      </w:r>
      <w:r w:rsidR="00942B2A" w:rsidRPr="00AE536D">
        <w:rPr>
          <w:spacing w:val="-3"/>
          <w:lang w:val="en-US"/>
        </w:rPr>
        <w:t>sul</w:t>
      </w:r>
      <w:r w:rsidR="00AE34B4" w:rsidRPr="00AE536D">
        <w:rPr>
          <w:spacing w:val="-3"/>
          <w:lang w:val="en-US"/>
        </w:rPr>
        <w:t>f</w:t>
      </w:r>
      <w:r w:rsidR="00942B2A" w:rsidRPr="00AE536D">
        <w:rPr>
          <w:spacing w:val="-3"/>
          <w:lang w:val="en-US"/>
        </w:rPr>
        <w:t>ur</w:t>
      </w:r>
      <w:r w:rsidRPr="00AE536D">
        <w:rPr>
          <w:spacing w:val="-3"/>
          <w:lang w:val="en-US"/>
        </w:rPr>
        <w:t xml:space="preserve"> </w:t>
      </w:r>
      <w:r w:rsidR="00B94C23" w:rsidRPr="00AE536D">
        <w:rPr>
          <w:spacing w:val="-3"/>
          <w:lang w:val="en-US"/>
        </w:rPr>
        <w:t>by</w:t>
      </w:r>
      <w:r w:rsidRPr="00AE536D">
        <w:rPr>
          <w:spacing w:val="-3"/>
          <w:lang w:val="en-US"/>
        </w:rPr>
        <w:t xml:space="preserve"> a water quench, filters, and </w:t>
      </w:r>
      <w:proofErr w:type="spellStart"/>
      <w:r w:rsidRPr="00AE536D">
        <w:rPr>
          <w:spacing w:val="-3"/>
          <w:lang w:val="en-US"/>
        </w:rPr>
        <w:t>monoethanolamine</w:t>
      </w:r>
      <w:proofErr w:type="spellEnd"/>
      <w:r w:rsidRPr="00AE536D">
        <w:rPr>
          <w:spacing w:val="-3"/>
          <w:lang w:val="en-US"/>
        </w:rPr>
        <w:t xml:space="preserve"> (MEA) based acid gas removal. The removed CO</w:t>
      </w:r>
      <w:r w:rsidRPr="00AE536D">
        <w:rPr>
          <w:spacing w:val="-3"/>
          <w:vertAlign w:val="subscript"/>
          <w:lang w:val="en-US"/>
        </w:rPr>
        <w:t>2</w:t>
      </w:r>
      <w:r w:rsidRPr="00AE536D">
        <w:rPr>
          <w:spacing w:val="-3"/>
          <w:lang w:val="en-US"/>
        </w:rPr>
        <w:t xml:space="preserve"> was recycled for lock-hopper pressurization. A syngas methane content of 1.5% was </w:t>
      </w:r>
      <w:r w:rsidR="00110BDB" w:rsidRPr="00AE536D">
        <w:rPr>
          <w:spacing w:val="-3"/>
          <w:lang w:val="en-US"/>
        </w:rPr>
        <w:t>assum</w:t>
      </w:r>
      <w:r w:rsidRPr="00AE536D">
        <w:rPr>
          <w:spacing w:val="-3"/>
          <w:lang w:val="en-US"/>
        </w:rPr>
        <w:t xml:space="preserve">ed using steam methane reforming (SMR) and, if </w:t>
      </w:r>
      <w:r w:rsidR="00B94C23" w:rsidRPr="00AE536D">
        <w:rPr>
          <w:spacing w:val="-3"/>
          <w:lang w:val="en-US"/>
        </w:rPr>
        <w:t>required</w:t>
      </w:r>
      <w:r w:rsidRPr="00AE536D">
        <w:rPr>
          <w:spacing w:val="-3"/>
          <w:lang w:val="en-US"/>
        </w:rPr>
        <w:t>, a water gas shift (WGS) improved the H</w:t>
      </w:r>
      <w:r w:rsidRPr="00AE536D">
        <w:rPr>
          <w:spacing w:val="-3"/>
          <w:vertAlign w:val="subscript"/>
          <w:lang w:val="en-US"/>
        </w:rPr>
        <w:t>2</w:t>
      </w:r>
      <w:r w:rsidRPr="00AE536D">
        <w:rPr>
          <w:spacing w:val="-3"/>
          <w:lang w:val="en-US"/>
        </w:rPr>
        <w:t xml:space="preserve">:CO ratio to at least 2.15:1. </w:t>
      </w:r>
      <w:r w:rsidR="00920976" w:rsidRPr="00AE536D">
        <w:rPr>
          <w:spacing w:val="-3"/>
          <w:lang w:val="en-US"/>
        </w:rPr>
        <w:t>Beside</w:t>
      </w:r>
      <w:r w:rsidRPr="00AE536D">
        <w:rPr>
          <w:spacing w:val="-3"/>
          <w:lang w:val="en-US"/>
        </w:rPr>
        <w:t>s, the cleaned syngas was modeled to be condensed in a</w:t>
      </w:r>
      <w:r w:rsidR="000024A6" w:rsidRPr="00AE536D">
        <w:rPr>
          <w:spacing w:val="-3"/>
          <w:lang w:val="en-US"/>
        </w:rPr>
        <w:t>n</w:t>
      </w:r>
      <w:r w:rsidRPr="00AE536D">
        <w:rPr>
          <w:spacing w:val="-3"/>
          <w:lang w:val="en-US"/>
        </w:rPr>
        <w:t xml:space="preserve"> F</w:t>
      </w:r>
      <w:r w:rsidR="00920976" w:rsidRPr="00AE536D">
        <w:rPr>
          <w:spacing w:val="-3"/>
          <w:lang w:val="en-US"/>
        </w:rPr>
        <w:t>-T</w:t>
      </w:r>
      <w:r w:rsidRPr="00AE536D">
        <w:rPr>
          <w:spacing w:val="-3"/>
          <w:lang w:val="en-US"/>
        </w:rPr>
        <w:t xml:space="preserve"> reactor at 200°C, over a Co-Al catalyst </w:t>
      </w:r>
      <w:r w:rsidR="002E4461" w:rsidRPr="00AE536D">
        <w:rPr>
          <w:spacing w:val="-3"/>
          <w:lang w:val="en-US"/>
        </w:rPr>
        <w:fldChar w:fldCharType="begin"/>
      </w:r>
      <w:r w:rsidR="00DE1CA2" w:rsidRPr="00AE536D">
        <w:rPr>
          <w:spacing w:val="-3"/>
          <w:lang w:val="en-US"/>
        </w:rPr>
        <w:instrText xml:space="preserve"> ADDIN ZOTERO_ITEM CSL_CITATION {"citationID":"0GyETLLh","properties":{"formattedCitation":"[33]","plainCitation":"[33]","noteIndex":0},"citationItems":[{"id":567,"uris":["http://zotero.org/users/5217225/items/7HTFJ8XZ"],"uri":["http://zotero.org/users/5217225/items/7HTFJ8XZ"],"itemData":{"id":567,"type":"report","abstract":"The U.S. Department of Energy's Office of Scientific and Technical Information","language":"English","note":"DOI: 10.2172/994017","number":"NREL/TP-6A20-46587","publisher":"National Renewable Energy Lab. (NREL), Golden, CO (United States)","source":"www.osti.gov","title":"Techno-Economic Analysis of Biofuels Production Based on Gasification","URL":"https://www.osti.gov/biblio/994017","author":[{"family":"Swanson","given":"R. M."},{"family":"Platon","given":"A."},{"family":"Satrio","given":"J. A."},{"family":"Brown","given":"R. C."},{"family":"Hsu","given":"D. D."}],"accessed":{"date-parts":[["2019",3,8]]},"issued":{"date-parts":[["2010",11,1]]}}}],"schema":"https://github.com/citation-style-language/schema/raw/master/csl-citation.json"} </w:instrText>
      </w:r>
      <w:r w:rsidR="002E4461" w:rsidRPr="00AE536D">
        <w:rPr>
          <w:spacing w:val="-3"/>
          <w:lang w:val="en-US"/>
        </w:rPr>
        <w:fldChar w:fldCharType="separate"/>
      </w:r>
      <w:r w:rsidR="00DE1CA2" w:rsidRPr="00AE536D">
        <w:t>[33]</w:t>
      </w:r>
      <w:r w:rsidR="002E4461" w:rsidRPr="00AE536D">
        <w:rPr>
          <w:spacing w:val="-3"/>
          <w:lang w:val="en-US"/>
        </w:rPr>
        <w:fldChar w:fldCharType="end"/>
      </w:r>
      <w:r w:rsidR="002E4461" w:rsidRPr="00AE536D">
        <w:rPr>
          <w:spacing w:val="-3"/>
          <w:lang w:val="en-US"/>
        </w:rPr>
        <w:t xml:space="preserve"> </w:t>
      </w:r>
      <w:r w:rsidRPr="00AE536D">
        <w:rPr>
          <w:spacing w:val="-3"/>
          <w:lang w:val="en-US"/>
        </w:rPr>
        <w:t>with a conversion rate of 78%</w:t>
      </w:r>
      <w:r w:rsidR="002E4461" w:rsidRPr="00AE536D">
        <w:rPr>
          <w:spacing w:val="-3"/>
          <w:lang w:val="en-US"/>
        </w:rPr>
        <w:t xml:space="preserve"> </w:t>
      </w:r>
      <w:r w:rsidR="002E4461" w:rsidRPr="00AE536D">
        <w:rPr>
          <w:spacing w:val="-3"/>
          <w:lang w:val="en-US"/>
        </w:rPr>
        <w:fldChar w:fldCharType="begin"/>
      </w:r>
      <w:r w:rsidR="00DE1CA2" w:rsidRPr="00AE536D">
        <w:rPr>
          <w:spacing w:val="-3"/>
          <w:lang w:val="en-US"/>
        </w:rPr>
        <w:instrText xml:space="preserve"> ADDIN ZOTERO_ITEM CSL_CITATION {"citationID":"g9zdAUBP","properties":{"formattedCitation":"[26]","plainCitation":"[26]","noteIndex":0},"citationItems":[{"id":887,"uris":["http://zotero.org/users/5217225/items/7V2EL4DK"],"uri":["http://zotero.org/users/5217225/items/7V2EL4DK"],"itemData":{"id":887,"type":"thesis","event-place":"Delft, the Netherlands","genre":"PDEng Thesis","publisher":"Delft University of Technology","publisher-place":"Delft, the Netherlands","title":"Techno-Economic and Environmental Analysis of Oil Crop and Forestry Residues Based Integrated Biorefineries in Brazil","author":[{"family":"Silva","given":"C.","non-dropping-particle":"da"}],"issued":{"date-parts":[["2016"]]}}}],"schema":"https://github.com/citation-style-language/schema/raw/master/csl-citation.json"} </w:instrText>
      </w:r>
      <w:r w:rsidR="002E4461" w:rsidRPr="00AE536D">
        <w:rPr>
          <w:spacing w:val="-3"/>
          <w:lang w:val="en-US"/>
        </w:rPr>
        <w:fldChar w:fldCharType="separate"/>
      </w:r>
      <w:r w:rsidR="00DE1CA2" w:rsidRPr="00AE536D">
        <w:t>[26]</w:t>
      </w:r>
      <w:r w:rsidR="002E4461" w:rsidRPr="00AE536D">
        <w:rPr>
          <w:spacing w:val="-3"/>
          <w:lang w:val="en-US"/>
        </w:rPr>
        <w:fldChar w:fldCharType="end"/>
      </w:r>
      <w:r w:rsidRPr="00AE536D">
        <w:rPr>
          <w:spacing w:val="-3"/>
          <w:lang w:val="en-US"/>
        </w:rPr>
        <w:t>. The conversion of H</w:t>
      </w:r>
      <w:r w:rsidRPr="00AE536D">
        <w:rPr>
          <w:spacing w:val="-3"/>
          <w:vertAlign w:val="subscript"/>
          <w:lang w:val="en-US"/>
        </w:rPr>
        <w:t>2</w:t>
      </w:r>
      <w:r w:rsidRPr="00AE536D">
        <w:rPr>
          <w:spacing w:val="-3"/>
          <w:lang w:val="en-US"/>
        </w:rPr>
        <w:t xml:space="preserve"> and CO to hydrocarbons considered the Anderson-Schulz-Flory distribution for cobalt catalysts</w:t>
      </w:r>
      <w:r w:rsidR="002E4461" w:rsidRPr="00AE536D">
        <w:rPr>
          <w:spacing w:val="-3"/>
          <w:lang w:val="en-US"/>
        </w:rPr>
        <w:t xml:space="preserve"> </w:t>
      </w:r>
      <w:r w:rsidR="002E4461" w:rsidRPr="00AE536D">
        <w:rPr>
          <w:spacing w:val="-3"/>
          <w:lang w:val="en-US"/>
        </w:rPr>
        <w:fldChar w:fldCharType="begin"/>
      </w:r>
      <w:r w:rsidR="00DE1CA2" w:rsidRPr="00AE536D">
        <w:rPr>
          <w:spacing w:val="-3"/>
          <w:lang w:val="en-US"/>
        </w:rPr>
        <w:instrText xml:space="preserve"> ADDIN ZOTERO_ITEM CSL_CITATION {"citationID":"mOK3utWq","properties":{"formattedCitation":"[33]","plainCitation":"[33]","noteIndex":0},"citationItems":[{"id":567,"uris":["http://zotero.org/users/5217225/items/7HTFJ8XZ"],"uri":["http://zotero.org/users/5217225/items/7HTFJ8XZ"],"itemData":{"id":567,"type":"report","abstract":"The U.S. Department of Energy's Office of Scientific and Technical Information","language":"English","note":"DOI: 10.2172/994017","number":"NREL/TP-6A20-46587","publisher":"National Renewable Energy Lab. (NREL), Golden, CO (United States)","source":"www.osti.gov","title":"Techno-Economic Analysis of Biofuels Production Based on Gasification","URL":"https://www.osti.gov/biblio/994017","author":[{"family":"Swanson","given":"R. M."},{"family":"Platon","given":"A."},{"family":"Satrio","given":"J. A."},{"family":"Brown","given":"R. C."},{"family":"Hsu","given":"D. D."}],"accessed":{"date-parts":[["2019",3,8]]},"issued":{"date-parts":[["2010",11,1]]}}}],"schema":"https://github.com/citation-style-language/schema/raw/master/csl-citation.json"} </w:instrText>
      </w:r>
      <w:r w:rsidR="002E4461" w:rsidRPr="00AE536D">
        <w:rPr>
          <w:spacing w:val="-3"/>
          <w:lang w:val="en-US"/>
        </w:rPr>
        <w:fldChar w:fldCharType="separate"/>
      </w:r>
      <w:r w:rsidR="00DE1CA2" w:rsidRPr="00AE536D">
        <w:t>[33]</w:t>
      </w:r>
      <w:r w:rsidR="002E4461" w:rsidRPr="00AE536D">
        <w:rPr>
          <w:spacing w:val="-3"/>
          <w:lang w:val="en-US"/>
        </w:rPr>
        <w:fldChar w:fldCharType="end"/>
      </w:r>
      <w:r w:rsidRPr="00AE536D">
        <w:rPr>
          <w:spacing w:val="-3"/>
          <w:lang w:val="en-US"/>
        </w:rPr>
        <w:t xml:space="preserve">. </w:t>
      </w:r>
      <w:r w:rsidR="00920976" w:rsidRPr="00AE536D">
        <w:rPr>
          <w:spacing w:val="-3"/>
          <w:lang w:val="en-US"/>
        </w:rPr>
        <w:t>Thus, t</w:t>
      </w:r>
      <w:r w:rsidRPr="00AE536D">
        <w:rPr>
          <w:spacing w:val="-3"/>
          <w:lang w:val="en-US"/>
        </w:rPr>
        <w:t xml:space="preserve">he </w:t>
      </w:r>
      <w:r w:rsidR="00707D47" w:rsidRPr="00AE536D">
        <w:rPr>
          <w:spacing w:val="-3"/>
          <w:lang w:val="en-US"/>
        </w:rPr>
        <w:t>higher heating value</w:t>
      </w:r>
      <w:r w:rsidRPr="00AE536D">
        <w:rPr>
          <w:spacing w:val="-3"/>
          <w:lang w:val="en-US"/>
        </w:rPr>
        <w:t xml:space="preserve"> </w:t>
      </w:r>
      <w:r w:rsidR="00707D47" w:rsidRPr="00AE536D">
        <w:rPr>
          <w:spacing w:val="-3"/>
          <w:lang w:val="en-US"/>
        </w:rPr>
        <w:t>(</w:t>
      </w:r>
      <w:r w:rsidRPr="00AE536D">
        <w:rPr>
          <w:spacing w:val="-3"/>
          <w:lang w:val="en-US"/>
        </w:rPr>
        <w:t>HHV</w:t>
      </w:r>
      <w:r w:rsidR="00707D47" w:rsidRPr="00AE536D">
        <w:rPr>
          <w:spacing w:val="-3"/>
          <w:lang w:val="en-US"/>
        </w:rPr>
        <w:t>) of the biofuels</w:t>
      </w:r>
      <w:r w:rsidRPr="00AE536D">
        <w:rPr>
          <w:spacing w:val="-3"/>
          <w:lang w:val="en-US"/>
        </w:rPr>
        <w:t xml:space="preserve"> were calculated from their hydrocarbon distribution in all cases and obtained </w:t>
      </w:r>
      <w:r w:rsidR="00B94C23" w:rsidRPr="00AE536D">
        <w:rPr>
          <w:spacing w:val="-3"/>
          <w:lang w:val="en-US"/>
        </w:rPr>
        <w:t>roughly</w:t>
      </w:r>
      <w:r w:rsidRPr="00AE536D">
        <w:rPr>
          <w:spacing w:val="-3"/>
          <w:lang w:val="en-US"/>
        </w:rPr>
        <w:t xml:space="preserve"> 45 MJ/kg.</w:t>
      </w:r>
    </w:p>
    <w:p w14:paraId="0793E145" w14:textId="77777777" w:rsidR="00421F57" w:rsidRPr="00AE536D" w:rsidRDefault="00421F57" w:rsidP="007B7863">
      <w:pPr>
        <w:pStyle w:val="Ttulo2"/>
        <w:numPr>
          <w:ilvl w:val="2"/>
          <w:numId w:val="9"/>
        </w:numPr>
        <w:ind w:left="426"/>
        <w:rPr>
          <w:lang w:val="en-US"/>
        </w:rPr>
      </w:pPr>
      <w:r w:rsidRPr="00AE536D">
        <w:rPr>
          <w:lang w:val="en-US"/>
        </w:rPr>
        <w:t>Fast pyrolysis with hydrotreatment (FPH)</w:t>
      </w:r>
    </w:p>
    <w:p w14:paraId="54DC9EF7" w14:textId="7ECD8E73" w:rsidR="00604C84" w:rsidRPr="00AE536D" w:rsidRDefault="00A972B0" w:rsidP="008E74FB">
      <w:pPr>
        <w:tabs>
          <w:tab w:val="left" w:pos="-1134"/>
          <w:tab w:val="left" w:pos="-414"/>
        </w:tabs>
        <w:suppressAutoHyphens/>
        <w:spacing w:line="360" w:lineRule="auto"/>
        <w:rPr>
          <w:spacing w:val="-3"/>
          <w:lang w:val="en-US"/>
        </w:rPr>
      </w:pPr>
      <w:r w:rsidRPr="00AE536D">
        <w:rPr>
          <w:spacing w:val="-3"/>
          <w:lang w:val="en-US"/>
        </w:rPr>
        <w:t>T</w:t>
      </w:r>
      <w:r w:rsidR="007D4F31" w:rsidRPr="00AE536D">
        <w:rPr>
          <w:spacing w:val="-3"/>
          <w:lang w:val="en-US"/>
        </w:rPr>
        <w:t xml:space="preserve">he fast pyrolysis </w:t>
      </w:r>
      <w:r w:rsidRPr="00AE536D">
        <w:rPr>
          <w:spacing w:val="-3"/>
          <w:lang w:val="en-US"/>
        </w:rPr>
        <w:t xml:space="preserve">process </w:t>
      </w:r>
      <w:r w:rsidR="007D4F31" w:rsidRPr="00AE536D">
        <w:rPr>
          <w:spacing w:val="-3"/>
          <w:lang w:val="en-US"/>
        </w:rPr>
        <w:t>occurred in a fluidized bed reactor</w:t>
      </w:r>
      <w:r w:rsidRPr="00AE536D">
        <w:rPr>
          <w:spacing w:val="-3"/>
          <w:lang w:val="en-US"/>
        </w:rPr>
        <w:t xml:space="preserve"> adopting</w:t>
      </w:r>
      <w:r w:rsidR="007D4F31" w:rsidRPr="00AE536D">
        <w:rPr>
          <w:spacing w:val="-3"/>
          <w:lang w:val="en-US"/>
        </w:rPr>
        <w:t xml:space="preserve"> the </w:t>
      </w:r>
      <w:r w:rsidRPr="00AE536D">
        <w:rPr>
          <w:spacing w:val="-3"/>
          <w:lang w:val="en-US"/>
        </w:rPr>
        <w:t>parameters</w:t>
      </w:r>
      <w:r w:rsidR="007D4F31" w:rsidRPr="00AE536D">
        <w:rPr>
          <w:spacing w:val="-3"/>
          <w:lang w:val="en-US"/>
        </w:rPr>
        <w:t xml:space="preserve"> </w:t>
      </w:r>
      <w:r w:rsidR="00FA758C" w:rsidRPr="00AE536D">
        <w:rPr>
          <w:spacing w:val="-3"/>
          <w:lang w:val="en-US"/>
        </w:rPr>
        <w:t>and yields</w:t>
      </w:r>
      <w:r w:rsidR="00267AAA" w:rsidRPr="00AE536D">
        <w:rPr>
          <w:spacing w:val="-3"/>
          <w:lang w:val="en-US"/>
        </w:rPr>
        <w:t xml:space="preserve"> presented in</w:t>
      </w:r>
      <w:r w:rsidR="00FA758C" w:rsidRPr="00AE536D">
        <w:rPr>
          <w:spacing w:val="-3"/>
          <w:lang w:val="en-US"/>
        </w:rPr>
        <w:t xml:space="preserve"> </w:t>
      </w:r>
      <w:r w:rsidR="007D4F31" w:rsidRPr="00AE536D">
        <w:rPr>
          <w:spacing w:val="-3"/>
          <w:lang w:val="en-US"/>
        </w:rPr>
        <w:t>Tab</w:t>
      </w:r>
      <w:r w:rsidR="00FA758C" w:rsidRPr="00AE536D">
        <w:rPr>
          <w:spacing w:val="-3"/>
          <w:lang w:val="en-US"/>
        </w:rPr>
        <w:t xml:space="preserve">. </w:t>
      </w:r>
      <w:r w:rsidR="007D4F31" w:rsidRPr="00AE536D">
        <w:rPr>
          <w:spacing w:val="-3"/>
          <w:lang w:val="en-US"/>
        </w:rPr>
        <w:t>4. It should be noted that the p</w:t>
      </w:r>
      <w:r w:rsidR="00421F57" w:rsidRPr="00AE536D">
        <w:rPr>
          <w:spacing w:val="-3"/>
          <w:lang w:val="en-US"/>
        </w:rPr>
        <w:t xml:space="preserve">ulverized biomass was rapidly heated </w:t>
      </w:r>
      <w:r w:rsidR="00654CD2" w:rsidRPr="00AE536D">
        <w:rPr>
          <w:spacing w:val="-3"/>
          <w:lang w:val="en-US"/>
        </w:rPr>
        <w:t xml:space="preserve">at 500°C </w:t>
      </w:r>
      <w:r w:rsidR="00421F57" w:rsidRPr="00AE536D">
        <w:rPr>
          <w:spacing w:val="-3"/>
          <w:lang w:val="en-US"/>
        </w:rPr>
        <w:t>in an anae</w:t>
      </w:r>
      <w:r w:rsidR="00604C84" w:rsidRPr="00AE536D">
        <w:rPr>
          <w:spacing w:val="-3"/>
          <w:lang w:val="en-US"/>
        </w:rPr>
        <w:t>robic environment</w:t>
      </w:r>
      <w:r w:rsidR="007D4F31" w:rsidRPr="00AE536D">
        <w:rPr>
          <w:spacing w:val="-3"/>
          <w:lang w:val="en-US"/>
        </w:rPr>
        <w:t xml:space="preserve">. Besides, </w:t>
      </w:r>
      <w:r w:rsidR="00654CD2" w:rsidRPr="00AE536D">
        <w:rPr>
          <w:spacing w:val="-3"/>
          <w:lang w:val="en-US"/>
        </w:rPr>
        <w:t xml:space="preserve">the combustion of the pyrolysis char was met primarily by </w:t>
      </w:r>
      <w:r w:rsidR="007D4F31" w:rsidRPr="00AE536D">
        <w:rPr>
          <w:spacing w:val="-3"/>
          <w:lang w:val="en-US"/>
        </w:rPr>
        <w:t>t</w:t>
      </w:r>
      <w:r w:rsidR="00604C84" w:rsidRPr="00AE536D">
        <w:rPr>
          <w:spacing w:val="-3"/>
          <w:lang w:val="en-US"/>
        </w:rPr>
        <w:t>he reactor heat demand</w:t>
      </w:r>
      <w:r w:rsidR="002E3518" w:rsidRPr="00AE536D">
        <w:rPr>
          <w:spacing w:val="-3"/>
          <w:lang w:val="en-US"/>
        </w:rPr>
        <w:t xml:space="preserve">. </w:t>
      </w:r>
      <w:r w:rsidR="007D4F31" w:rsidRPr="00AE536D">
        <w:rPr>
          <w:spacing w:val="-3"/>
          <w:lang w:val="en-US"/>
        </w:rPr>
        <w:t xml:space="preserve">Later, </w:t>
      </w:r>
      <w:r w:rsidR="002E3518" w:rsidRPr="00AE536D">
        <w:rPr>
          <w:spacing w:val="-3"/>
          <w:lang w:val="en-US"/>
        </w:rPr>
        <w:t>gas output</w:t>
      </w:r>
      <w:r w:rsidR="00604C84" w:rsidRPr="00AE536D">
        <w:rPr>
          <w:spacing w:val="-3"/>
          <w:lang w:val="en-US"/>
        </w:rPr>
        <w:t xml:space="preserve"> </w:t>
      </w:r>
      <w:r w:rsidR="000024A6" w:rsidRPr="00AE536D">
        <w:rPr>
          <w:spacing w:val="-3"/>
          <w:lang w:val="en-US"/>
        </w:rPr>
        <w:t>was partially</w:t>
      </w:r>
      <w:r w:rsidR="00604C84" w:rsidRPr="00AE536D">
        <w:rPr>
          <w:spacing w:val="-3"/>
          <w:lang w:val="en-US"/>
        </w:rPr>
        <w:t xml:space="preserve"> recycled for fluidization gas</w:t>
      </w:r>
      <w:r w:rsidR="00654CD2" w:rsidRPr="00AE536D">
        <w:rPr>
          <w:spacing w:val="-3"/>
          <w:lang w:val="en-US"/>
        </w:rPr>
        <w:t xml:space="preserve"> (FG) </w:t>
      </w:r>
      <w:r w:rsidR="00604C84" w:rsidRPr="00AE536D">
        <w:rPr>
          <w:spacing w:val="-3"/>
          <w:lang w:val="en-US"/>
        </w:rPr>
        <w:t xml:space="preserve">with the </w:t>
      </w:r>
      <w:r w:rsidR="00654CD2" w:rsidRPr="00AE536D">
        <w:rPr>
          <w:spacing w:val="-3"/>
          <w:lang w:val="en-US"/>
        </w:rPr>
        <w:t>remains</w:t>
      </w:r>
      <w:r w:rsidR="00604C84" w:rsidRPr="00AE536D">
        <w:rPr>
          <w:spacing w:val="-3"/>
          <w:lang w:val="en-US"/>
        </w:rPr>
        <w:t xml:space="preserve"> used to produce the </w:t>
      </w:r>
      <w:r w:rsidR="00654CD2" w:rsidRPr="00AE536D">
        <w:rPr>
          <w:spacing w:val="-3"/>
          <w:lang w:val="en-US"/>
        </w:rPr>
        <w:t>H</w:t>
      </w:r>
      <w:r w:rsidR="00654CD2" w:rsidRPr="00AE536D">
        <w:rPr>
          <w:spacing w:val="-3"/>
          <w:vertAlign w:val="subscript"/>
          <w:lang w:val="en-US"/>
        </w:rPr>
        <w:t>2</w:t>
      </w:r>
      <w:r w:rsidR="00604C84" w:rsidRPr="00AE536D">
        <w:rPr>
          <w:spacing w:val="-3"/>
          <w:lang w:val="en-US"/>
        </w:rPr>
        <w:t xml:space="preserve"> for hydrotreatment</w:t>
      </w:r>
      <w:r w:rsidR="00F562B2" w:rsidRPr="00AE536D">
        <w:rPr>
          <w:spacing w:val="-3"/>
          <w:lang w:val="en-US"/>
        </w:rPr>
        <w:t xml:space="preserve"> (Fig. 4)</w:t>
      </w:r>
      <w:r w:rsidR="00604C84" w:rsidRPr="00AE536D">
        <w:rPr>
          <w:spacing w:val="-3"/>
          <w:lang w:val="en-US"/>
        </w:rPr>
        <w:t xml:space="preserve">. </w:t>
      </w:r>
      <w:r w:rsidR="00687332" w:rsidRPr="00AE536D">
        <w:rPr>
          <w:spacing w:val="-3"/>
          <w:lang w:val="en-US"/>
        </w:rPr>
        <w:t>It was also assumed that t</w:t>
      </w:r>
      <w:r w:rsidR="00604C84" w:rsidRPr="00AE536D">
        <w:rPr>
          <w:spacing w:val="-3"/>
          <w:lang w:val="en-US"/>
        </w:rPr>
        <w:t xml:space="preserve">he organic content of the </w:t>
      </w:r>
      <w:r w:rsidR="00654CD2" w:rsidRPr="00AE536D">
        <w:rPr>
          <w:spacing w:val="-3"/>
          <w:lang w:val="en-US"/>
        </w:rPr>
        <w:t>FG flow</w:t>
      </w:r>
      <w:r w:rsidR="00604C84" w:rsidRPr="00AE536D">
        <w:rPr>
          <w:spacing w:val="-3"/>
          <w:lang w:val="en-US"/>
        </w:rPr>
        <w:t xml:space="preserve"> </w:t>
      </w:r>
      <w:r w:rsidR="00687332" w:rsidRPr="00AE536D">
        <w:rPr>
          <w:spacing w:val="-3"/>
          <w:lang w:val="en-US"/>
        </w:rPr>
        <w:t xml:space="preserve">does not </w:t>
      </w:r>
      <w:r w:rsidR="00AE34B4" w:rsidRPr="00AE536D">
        <w:rPr>
          <w:spacing w:val="-3"/>
          <w:lang w:val="en-US"/>
        </w:rPr>
        <w:t>influence</w:t>
      </w:r>
      <w:r w:rsidR="00604C84" w:rsidRPr="00AE536D">
        <w:rPr>
          <w:spacing w:val="-3"/>
          <w:lang w:val="en-US"/>
        </w:rPr>
        <w:t xml:space="preserve"> the pyrolysis yields</w:t>
      </w:r>
      <w:r w:rsidR="002E4461" w:rsidRPr="00AE536D">
        <w:rPr>
          <w:spacing w:val="-3"/>
          <w:lang w:val="en-US"/>
        </w:rPr>
        <w:t xml:space="preserve"> </w:t>
      </w:r>
      <w:r w:rsidR="002E4461" w:rsidRPr="00AE536D">
        <w:rPr>
          <w:spacing w:val="-3"/>
          <w:lang w:val="en-US"/>
        </w:rPr>
        <w:fldChar w:fldCharType="begin"/>
      </w:r>
      <w:r w:rsidR="00DE1CA2" w:rsidRPr="00AE536D">
        <w:rPr>
          <w:spacing w:val="-3"/>
          <w:lang w:val="en-US"/>
        </w:rPr>
        <w:instrText xml:space="preserve"> ADDIN ZOTERO_ITEM CSL_CITATION {"citationID":"4CMplThx","properties":{"formattedCitation":"[26]","plainCitation":"[26]","noteIndex":0},"citationItems":[{"id":887,"uris":["http://zotero.org/users/5217225/items/7V2EL4DK"],"uri":["http://zotero.org/users/5217225/items/7V2EL4DK"],"itemData":{"id":887,"type":"thesis","event-place":"Delft, the Netherlands","genre":"PDEng Thesis","publisher":"Delft University of Technology","publisher-place":"Delft, the Netherlands","title":"Techno-Economic and Environmental Analysis of Oil Crop and Forestry Residues Based Integrated Biorefineries in Brazil","author":[{"family":"Silva","given":"C.","non-dropping-particle":"da"}],"issued":{"date-parts":[["2016"]]}}}],"schema":"https://github.com/citation-style-language/schema/raw/master/csl-citation.json"} </w:instrText>
      </w:r>
      <w:r w:rsidR="002E4461" w:rsidRPr="00AE536D">
        <w:rPr>
          <w:spacing w:val="-3"/>
          <w:lang w:val="en-US"/>
        </w:rPr>
        <w:fldChar w:fldCharType="separate"/>
      </w:r>
      <w:r w:rsidR="00DE1CA2" w:rsidRPr="00AE536D">
        <w:t>[26]</w:t>
      </w:r>
      <w:r w:rsidR="002E4461" w:rsidRPr="00AE536D">
        <w:rPr>
          <w:spacing w:val="-3"/>
          <w:lang w:val="en-US"/>
        </w:rPr>
        <w:fldChar w:fldCharType="end"/>
      </w:r>
      <w:r w:rsidR="00604C84" w:rsidRPr="00AE536D">
        <w:rPr>
          <w:spacing w:val="-3"/>
          <w:lang w:val="en-US"/>
        </w:rPr>
        <w:t>.</w:t>
      </w:r>
    </w:p>
    <w:p w14:paraId="67027F95" w14:textId="7F4A714C" w:rsidR="00CC678D" w:rsidRPr="00AE536D" w:rsidRDefault="00CC678D" w:rsidP="008E74FB">
      <w:pPr>
        <w:tabs>
          <w:tab w:val="left" w:pos="-1134"/>
          <w:tab w:val="left" w:pos="-414"/>
        </w:tabs>
        <w:suppressAutoHyphens/>
        <w:spacing w:line="360" w:lineRule="auto"/>
        <w:rPr>
          <w:spacing w:val="-3"/>
          <w:lang w:val="en-US"/>
        </w:rPr>
      </w:pPr>
      <w:r w:rsidRPr="00AE536D">
        <w:rPr>
          <w:spacing w:val="-3"/>
          <w:lang w:val="en-US"/>
        </w:rPr>
        <w:lastRenderedPageBreak/>
        <w:t>The pyrolysis oil obtained is characterized by high oxygen content</w:t>
      </w:r>
      <w:r w:rsidR="00687332" w:rsidRPr="00AE536D">
        <w:rPr>
          <w:spacing w:val="-3"/>
          <w:lang w:val="en-US"/>
        </w:rPr>
        <w:t xml:space="preserve">. Thus, a hydrotreatment process was used to </w:t>
      </w:r>
      <w:r w:rsidRPr="00AE536D">
        <w:rPr>
          <w:spacing w:val="-3"/>
          <w:lang w:val="en-US"/>
        </w:rPr>
        <w:t>decrease</w:t>
      </w:r>
      <w:r w:rsidR="00687332" w:rsidRPr="00AE536D">
        <w:rPr>
          <w:spacing w:val="-3"/>
          <w:lang w:val="en-US"/>
        </w:rPr>
        <w:t xml:space="preserve"> it via catalytic reacting the oil with </w:t>
      </w:r>
      <w:r w:rsidR="00FE20B0" w:rsidRPr="00374A94">
        <w:rPr>
          <w:spacing w:val="-3"/>
          <w:highlight w:val="cyan"/>
          <w:lang w:val="en-US"/>
        </w:rPr>
        <w:t>H</w:t>
      </w:r>
      <w:r w:rsidR="00FE20B0" w:rsidRPr="00374A94">
        <w:rPr>
          <w:spacing w:val="-3"/>
          <w:highlight w:val="cyan"/>
          <w:vertAlign w:val="subscript"/>
          <w:lang w:val="en-US"/>
        </w:rPr>
        <w:t>2</w:t>
      </w:r>
      <w:r w:rsidR="00687332" w:rsidRPr="00AE536D">
        <w:rPr>
          <w:spacing w:val="-3"/>
          <w:lang w:val="en-US"/>
        </w:rPr>
        <w:t xml:space="preserve">, increasing the stability and energy content of the final </w:t>
      </w:r>
      <w:r w:rsidRPr="00AE536D">
        <w:rPr>
          <w:spacing w:val="-3"/>
          <w:lang w:val="en-US"/>
        </w:rPr>
        <w:t xml:space="preserve">marine </w:t>
      </w:r>
      <w:r w:rsidR="00687332" w:rsidRPr="00AE536D">
        <w:rPr>
          <w:spacing w:val="-3"/>
          <w:lang w:val="en-US"/>
        </w:rPr>
        <w:t>biofuel</w:t>
      </w:r>
      <w:r w:rsidR="00BA779F" w:rsidRPr="00AE536D">
        <w:rPr>
          <w:spacing w:val="-3"/>
          <w:lang w:val="en-US"/>
        </w:rPr>
        <w:t>.</w:t>
      </w:r>
      <w:r w:rsidR="00F562B2" w:rsidRPr="00AE536D">
        <w:rPr>
          <w:spacing w:val="-3"/>
          <w:lang w:val="en-US"/>
        </w:rPr>
        <w:t xml:space="preserve"> Hence, </w:t>
      </w:r>
      <w:r w:rsidR="00BA779F" w:rsidRPr="00AE536D">
        <w:rPr>
          <w:spacing w:val="-3"/>
          <w:lang w:val="en-US"/>
        </w:rPr>
        <w:t xml:space="preserve">the pyrolysis oil was deoxygenated in a hydrotreater with a 50% </w:t>
      </w:r>
      <w:r w:rsidRPr="00AE536D">
        <w:rPr>
          <w:spacing w:val="-3"/>
          <w:lang w:val="en-US"/>
        </w:rPr>
        <w:t>H</w:t>
      </w:r>
      <w:r w:rsidRPr="00AE536D">
        <w:rPr>
          <w:spacing w:val="-3"/>
          <w:vertAlign w:val="subscript"/>
          <w:lang w:val="en-US"/>
        </w:rPr>
        <w:t>2</w:t>
      </w:r>
      <w:r w:rsidR="00BA779F" w:rsidRPr="00AE536D">
        <w:rPr>
          <w:spacing w:val="-3"/>
          <w:lang w:val="en-US"/>
        </w:rPr>
        <w:t xml:space="preserve"> conversion rate. </w:t>
      </w:r>
      <w:r w:rsidRPr="00AE536D">
        <w:rPr>
          <w:spacing w:val="-3"/>
          <w:lang w:val="en-US"/>
        </w:rPr>
        <w:t>Near</w:t>
      </w:r>
      <w:r w:rsidR="00BA779F" w:rsidRPr="00AE536D">
        <w:rPr>
          <w:spacing w:val="-3"/>
          <w:lang w:val="en-US"/>
        </w:rPr>
        <w:t>ly half of the mass was recovered as biofuel, 40% lost to aqueous separation</w:t>
      </w:r>
      <w:r w:rsidR="005A4BE9" w:rsidRPr="00AE536D">
        <w:rPr>
          <w:spacing w:val="-3"/>
          <w:lang w:val="en-US"/>
        </w:rPr>
        <w:t>,</w:t>
      </w:r>
      <w:r w:rsidR="00BA779F" w:rsidRPr="00AE536D">
        <w:rPr>
          <w:spacing w:val="-3"/>
          <w:lang w:val="en-US"/>
        </w:rPr>
        <w:t xml:space="preserve"> and 10% </w:t>
      </w:r>
      <w:r w:rsidRPr="00AE536D">
        <w:rPr>
          <w:spacing w:val="-3"/>
          <w:lang w:val="en-US"/>
        </w:rPr>
        <w:t>gone</w:t>
      </w:r>
      <w:r w:rsidR="00BA779F" w:rsidRPr="00AE536D">
        <w:rPr>
          <w:spacing w:val="-3"/>
          <w:lang w:val="en-US"/>
        </w:rPr>
        <w:t xml:space="preserve"> to off-gases </w:t>
      </w:r>
      <w:r w:rsidR="00BA779F" w:rsidRPr="00AE536D">
        <w:rPr>
          <w:spacing w:val="-3"/>
          <w:lang w:val="en-US"/>
        </w:rPr>
        <w:fldChar w:fldCharType="begin"/>
      </w:r>
      <w:r w:rsidR="00DE1CA2" w:rsidRPr="00AE536D">
        <w:rPr>
          <w:spacing w:val="-3"/>
          <w:lang w:val="en-US"/>
        </w:rPr>
        <w:instrText xml:space="preserve"> ADDIN ZOTERO_ITEM CSL_CITATION {"citationID":"mXKhZxzY","properties":{"formattedCitation":"[43]","plainCitation":"[43]","noteIndex":0},"citationItems":[{"id":906,"uris":["http://zotero.org/users/5217225/items/C4JEE3BE"],"uri":["http://zotero.org/users/5217225/items/C4JEE3BE"],"itemData":{"id":906,"type":"article-journal","abstract":"This work shows preliminary results from techno-economic analysis and life cycle greenhouse gas analysis of the conversion of seven (7) biomass feedstocks to produce liquid transportation fuels via fast pyrolysis and upgrading via hydrodeoxygenation. The biomass consists of five (5) pure feeds (pine, tulip poplar, hybrid poplar, switchgrass, corn stover) and two blends. Blend 1 consists of equal weights of pine, tulip poplar, and switchgrass, and blend 2 is 67% pine and 33% hybrid poplar. Upgraded oil product yield is one of the most significant parameters affecting the process economics, and is a function of both fast pyrolysis oil yield and hydrotreating oil yield. Pure pine produced the highest overall yield, while switchgrass produced the lowest. Interestingly, herbaceous materials blended with woody biomass performed nearly as well as pure woody feedstock, suggesting a nontrivial relationship between feedstock attributes and production yield. Production costs are also highly dependent upon hydrotreating catalyst-related costs. The catalysts contribute an average of </w:instrText>
      </w:r>
      <w:r w:rsidR="00DE1CA2" w:rsidRPr="00AE536D">
        <w:rPr>
          <w:rFonts w:ascii="Cambria Math" w:hAnsi="Cambria Math" w:cs="Cambria Math"/>
          <w:spacing w:val="-3"/>
          <w:lang w:val="en-US"/>
        </w:rPr>
        <w:instrText>∼</w:instrText>
      </w:r>
      <w:r w:rsidR="00DE1CA2" w:rsidRPr="00AE536D">
        <w:rPr>
          <w:spacing w:val="-3"/>
          <w:lang w:val="en-US"/>
        </w:rPr>
        <w:instrText>15% to the total fuel cost, which can be reduced through research and development focused on achieving performance at increased space velocity (e.g., reduced catalyst loading) and prolonging catalyst lifetime. Greenhouse gas reduction does not necessarily align with favorable economics. From the greenhouse gas analysis, processing tulip poplar achieves the largest greenhouse gas emission reduction relative to petroleum (</w:instrText>
      </w:r>
      <w:r w:rsidR="00DE1CA2" w:rsidRPr="00AE536D">
        <w:rPr>
          <w:rFonts w:ascii="Cambria Math" w:hAnsi="Cambria Math" w:cs="Cambria Math"/>
          <w:spacing w:val="-3"/>
          <w:lang w:val="en-US"/>
        </w:rPr>
        <w:instrText>∼</w:instrText>
      </w:r>
      <w:r w:rsidR="00DE1CA2" w:rsidRPr="00AE536D">
        <w:rPr>
          <w:spacing w:val="-3"/>
          <w:lang w:val="en-US"/>
        </w:rPr>
        <w:instrText>70%) because of its lower natural gas requirement for hydrogen production. Conversely, processing blend 1 results in the smallest GHG emission reduction from petroleum (</w:instrText>
      </w:r>
      <w:r w:rsidR="00DE1CA2" w:rsidRPr="00AE536D">
        <w:rPr>
          <w:rFonts w:ascii="Cambria Math" w:hAnsi="Cambria Math" w:cs="Cambria Math"/>
          <w:spacing w:val="-3"/>
          <w:lang w:val="en-US"/>
        </w:rPr>
        <w:instrText>∼</w:instrText>
      </w:r>
      <w:r w:rsidR="00DE1CA2" w:rsidRPr="00AE536D">
        <w:rPr>
          <w:spacing w:val="-3"/>
          <w:lang w:val="en-US"/>
        </w:rPr>
        <w:instrText xml:space="preserve">58%) because of high natural gas demand for hydrogen production.","archive_location":"world","container-title":"Energy and Fuels","DOI":"10.1021/acs.energyfuels.6b01643","language":"EN","note":"publisher: American Chemical Society","source":"pubs.acs.org","title":"Field-to-Fuel Performance Testing of Lignocellulosic Feedstocks for Fast Pyrolysis and Upgrading: Techno-economic Analysis and Greenhouse Gas Life Cycle Analysis","title-short":"Field-to-Fuel Performance Testing of Lignocellulosic Feedstocks for Fast Pyrolysis and Upgrading","URL":"https://pubs.acs.org/doi/pdf/10.1021/acs.energyfuels.6b01643","author":[{"family":"Meyer","given":"Pimphan A."},{"family":"Snowden-Swan","given":"Lesley J."},{"family":"Rappé","given":"Kenneth G."},{"family":"Jones","given":"Susanne B."},{"family":"Westover","given":"Tyler L."},{"family":"Cafferty","given":"Kara G."}],"accessed":{"date-parts":[["2020",4,15]]},"issued":{"date-parts":[["2016",10,19]]}}}],"schema":"https://github.com/citation-style-language/schema/raw/master/csl-citation.json"} </w:instrText>
      </w:r>
      <w:r w:rsidR="00BA779F" w:rsidRPr="00AE536D">
        <w:rPr>
          <w:spacing w:val="-3"/>
          <w:lang w:val="en-US"/>
        </w:rPr>
        <w:fldChar w:fldCharType="separate"/>
      </w:r>
      <w:r w:rsidR="00DE1CA2" w:rsidRPr="00AE536D">
        <w:t>[43]</w:t>
      </w:r>
      <w:r w:rsidR="00BA779F" w:rsidRPr="00AE536D">
        <w:rPr>
          <w:spacing w:val="-3"/>
          <w:lang w:val="en-US"/>
        </w:rPr>
        <w:fldChar w:fldCharType="end"/>
      </w:r>
      <w:r w:rsidR="00BA779F" w:rsidRPr="00AE536D">
        <w:rPr>
          <w:spacing w:val="-3"/>
          <w:lang w:val="en-US"/>
        </w:rPr>
        <w:t xml:space="preserve">. For all </w:t>
      </w:r>
      <w:r w:rsidR="00794346" w:rsidRPr="00AE536D">
        <w:rPr>
          <w:spacing w:val="-3"/>
          <w:lang w:val="en-US"/>
        </w:rPr>
        <w:t>feedstocks</w:t>
      </w:r>
      <w:r w:rsidR="00BA779F" w:rsidRPr="00AE536D">
        <w:rPr>
          <w:spacing w:val="-3"/>
          <w:lang w:val="en-US"/>
        </w:rPr>
        <w:t xml:space="preserve">, the final biofuel was assumed to have an energy content of 35 MJ/kg </w:t>
      </w:r>
      <w:r w:rsidR="00BA779F" w:rsidRPr="00AE536D">
        <w:rPr>
          <w:spacing w:val="-3"/>
          <w:lang w:val="en-US"/>
        </w:rPr>
        <w:fldChar w:fldCharType="begin"/>
      </w:r>
      <w:r w:rsidR="00DE1CA2" w:rsidRPr="00AE536D">
        <w:rPr>
          <w:spacing w:val="-3"/>
          <w:lang w:val="en-US"/>
        </w:rPr>
        <w:instrText xml:space="preserve"> ADDIN ZOTERO_ITEM CSL_CITATION {"citationID":"6OSVgEoZ","properties":{"formattedCitation":"[44]","plainCitation":"[44]","noteIndex":0},"citationItems":[{"id":907,"uris":["http://zotero.org/users/5217225/items/74UJ9WAR"],"uri":["http://zotero.org/users/5217225/items/74UJ9WAR"],"itemData":{"id":907,"type":"thesis","genre":"PhD thesis","language":"English","publisher":"University of Groningen","title":"Pyrolysis Oil Upgrading to Transportation Fuels by Catalytic Hydrotreatment","URL":"https://www.rug.nl/research/portal/files/2648400/thesis.pdf","author":[{"family":"Wildschut","given":"J."}],"issued":{"date-parts":[["2009"]]}}}],"schema":"https://github.com/citation-style-language/schema/raw/master/csl-citation.json"} </w:instrText>
      </w:r>
      <w:r w:rsidR="00BA779F" w:rsidRPr="00AE536D">
        <w:rPr>
          <w:spacing w:val="-3"/>
          <w:lang w:val="en-US"/>
        </w:rPr>
        <w:fldChar w:fldCharType="separate"/>
      </w:r>
      <w:r w:rsidR="00DE1CA2" w:rsidRPr="00AE536D">
        <w:t>[44]</w:t>
      </w:r>
      <w:r w:rsidR="00BA779F" w:rsidRPr="00AE536D">
        <w:rPr>
          <w:spacing w:val="-3"/>
          <w:lang w:val="en-US"/>
        </w:rPr>
        <w:fldChar w:fldCharType="end"/>
      </w:r>
      <w:r w:rsidR="00BA779F" w:rsidRPr="00AE536D">
        <w:rPr>
          <w:spacing w:val="-3"/>
          <w:lang w:val="en-US"/>
        </w:rPr>
        <w:t xml:space="preserve">, </w:t>
      </w:r>
      <w:r w:rsidRPr="00AE536D">
        <w:rPr>
          <w:spacing w:val="-3"/>
          <w:lang w:val="en-US"/>
        </w:rPr>
        <w:t>when</w:t>
      </w:r>
      <w:r w:rsidR="00BA779F" w:rsidRPr="00AE536D">
        <w:rPr>
          <w:spacing w:val="-3"/>
          <w:lang w:val="en-US"/>
        </w:rPr>
        <w:t xml:space="preserve"> </w:t>
      </w:r>
      <w:r w:rsidR="00794346" w:rsidRPr="00AE536D">
        <w:rPr>
          <w:spacing w:val="-3"/>
          <w:lang w:val="en-US"/>
        </w:rPr>
        <w:t>raw material</w:t>
      </w:r>
      <w:r w:rsidR="00BA779F" w:rsidRPr="00AE536D">
        <w:rPr>
          <w:spacing w:val="-3"/>
          <w:lang w:val="en-US"/>
        </w:rPr>
        <w:t xml:space="preserve"> specific data were unavailable.</w:t>
      </w:r>
    </w:p>
    <w:p w14:paraId="6E17047B" w14:textId="77777777" w:rsidR="00AE536D" w:rsidRPr="00AE536D" w:rsidRDefault="00AE536D" w:rsidP="008E74FB">
      <w:pPr>
        <w:tabs>
          <w:tab w:val="left" w:pos="-1134"/>
          <w:tab w:val="left" w:pos="-414"/>
        </w:tabs>
        <w:suppressAutoHyphens/>
        <w:spacing w:line="360" w:lineRule="auto"/>
        <w:rPr>
          <w:spacing w:val="-3"/>
          <w:lang w:val="en-US"/>
        </w:rPr>
      </w:pPr>
    </w:p>
    <w:p w14:paraId="3A95198D" w14:textId="44AE4EEF" w:rsidR="00421F57" w:rsidRPr="00AE536D" w:rsidRDefault="00BA779F" w:rsidP="008E74FB">
      <w:pPr>
        <w:tabs>
          <w:tab w:val="left" w:pos="-1134"/>
          <w:tab w:val="left" w:pos="-414"/>
        </w:tabs>
        <w:suppressAutoHyphens/>
        <w:spacing w:line="360" w:lineRule="auto"/>
        <w:rPr>
          <w:spacing w:val="-3"/>
          <w:lang w:val="en-US"/>
        </w:rPr>
      </w:pPr>
      <w:r w:rsidRPr="00AE536D">
        <w:rPr>
          <w:spacing w:val="-3"/>
          <w:lang w:val="en-US"/>
        </w:rPr>
        <w:t xml:space="preserve">The </w:t>
      </w:r>
      <w:r w:rsidR="00CC678D" w:rsidRPr="00AE536D">
        <w:rPr>
          <w:spacing w:val="-3"/>
          <w:lang w:val="en-US"/>
        </w:rPr>
        <w:t xml:space="preserve">hydrogen </w:t>
      </w:r>
      <w:r w:rsidRPr="00AE536D">
        <w:rPr>
          <w:spacing w:val="-3"/>
          <w:lang w:val="en-US"/>
        </w:rPr>
        <w:t xml:space="preserve">unreacted (85%) was </w:t>
      </w:r>
      <w:r w:rsidR="00F562B2" w:rsidRPr="00AE536D">
        <w:rPr>
          <w:spacing w:val="-3"/>
          <w:lang w:val="en-US"/>
        </w:rPr>
        <w:t>recuperated</w:t>
      </w:r>
      <w:r w:rsidRPr="00AE536D">
        <w:rPr>
          <w:spacing w:val="-3"/>
          <w:lang w:val="en-US"/>
        </w:rPr>
        <w:t xml:space="preserve"> by pressure swing absorption (PSA) and recycled.</w:t>
      </w:r>
      <w:r w:rsidR="00CC678D" w:rsidRPr="00AE536D">
        <w:rPr>
          <w:spacing w:val="-3"/>
          <w:lang w:val="en-US"/>
        </w:rPr>
        <w:t xml:space="preserve"> </w:t>
      </w:r>
      <w:bookmarkStart w:id="2" w:name="_Hlk58864008"/>
      <w:r w:rsidR="00CC678D" w:rsidRPr="00AE536D">
        <w:rPr>
          <w:spacing w:val="-3"/>
          <w:lang w:val="en-US"/>
        </w:rPr>
        <w:t>H</w:t>
      </w:r>
      <w:r w:rsidR="00CC678D" w:rsidRPr="00AE536D">
        <w:rPr>
          <w:spacing w:val="-3"/>
          <w:vertAlign w:val="subscript"/>
          <w:lang w:val="en-US"/>
        </w:rPr>
        <w:t>2</w:t>
      </w:r>
      <w:bookmarkEnd w:id="2"/>
      <w:r w:rsidR="00421F57" w:rsidRPr="00AE536D">
        <w:rPr>
          <w:spacing w:val="-3"/>
          <w:lang w:val="en-US"/>
        </w:rPr>
        <w:t xml:space="preserve"> was produced via steam methane reforming (SMR) and a water gas shift (WGS), </w:t>
      </w:r>
      <w:r w:rsidR="00FD687E" w:rsidRPr="00AE536D">
        <w:rPr>
          <w:spacing w:val="-3"/>
          <w:lang w:val="en-US"/>
        </w:rPr>
        <w:t>adopt</w:t>
      </w:r>
      <w:r w:rsidR="00421F57" w:rsidRPr="00AE536D">
        <w:rPr>
          <w:spacing w:val="-3"/>
          <w:lang w:val="en-US"/>
        </w:rPr>
        <w:t xml:space="preserve">ing a 100% conversion efficiency for a 1.5:1 </w:t>
      </w:r>
      <w:proofErr w:type="spellStart"/>
      <w:r w:rsidR="00421F57" w:rsidRPr="00AE536D">
        <w:rPr>
          <w:spacing w:val="-3"/>
          <w:lang w:val="en-US"/>
        </w:rPr>
        <w:t>steam:hydrocarbon</w:t>
      </w:r>
      <w:proofErr w:type="spellEnd"/>
      <w:r w:rsidR="00421F57" w:rsidRPr="00AE536D">
        <w:rPr>
          <w:spacing w:val="-3"/>
          <w:lang w:val="en-US"/>
        </w:rPr>
        <w:t xml:space="preserve"> ratio, with an 85% recovery of hydrogen via PSA</w:t>
      </w:r>
      <w:r w:rsidR="00FD687E" w:rsidRPr="00AE536D">
        <w:rPr>
          <w:spacing w:val="-3"/>
          <w:lang w:val="en-US"/>
        </w:rPr>
        <w:t xml:space="preserve"> </w:t>
      </w:r>
      <w:r w:rsidR="00FD687E" w:rsidRPr="00AE536D">
        <w:rPr>
          <w:spacing w:val="-3"/>
          <w:lang w:val="en-US"/>
        </w:rPr>
        <w:fldChar w:fldCharType="begin"/>
      </w:r>
      <w:r w:rsidR="00FD687E" w:rsidRPr="00AE536D">
        <w:rPr>
          <w:spacing w:val="-3"/>
          <w:lang w:val="en-US"/>
        </w:rPr>
        <w:instrText xml:space="preserve"> ADDIN ZOTERO_ITEM CSL_CITATION {"citationID":"WLh0BMMp","properties":{"formattedCitation":"[8]","plainCitation":"[8]","noteIndex":0},"citationItems":[{"id":857,"uris":["http://zotero.org/users/5217225/items/LEPWVKW8"],"uri":["http://zotero.org/users/5217225/items/LEPWVKW8"],"itemData":{"id":857,"type":"article-journal","abstract":"The impending restrictions on the sulfur content and greenhouse gas emissions of marine fuels represent a challenge for the maritime shipping industry and an opportunity for alternative fuels that may have lower environmental impacts but are not currently economically competitive. This study developed an integrated screening model to compare the technological, economic, and environmental performance of 33 “drop-in” marine biofuel blendstock supply chains, considering nine agroforestry residues and three thermochemical technologies. The biofuel production was modeled for 500 tonne per day “first-of-a-kind” biorefineries to reflect near-term production. Supply chains were modeled for biofuel production in both Brazil and Sweden to explore the impact of regional differences on the biofuels’ break-even prices and their life cycle emissions of greenhouse gases, SO2, and NOX. This study indicates that in the immediate term, marine biofuels from lignocellulosic feedstocks may have a minimum fuel selling price three or more times higher than current fossil marine fuel prices. Biofuels made from agricultural residues saw a 40–100 kg/GJ decrease in life cycle GHG emissions, but forestry residue emissions depended highly on biogenic carbon dioxide accounting. SO2, and NOX emissions were dominated primarily by combustion, which for SO2 were estimated to be much lower than fossil fuels, due to the negligible sulfur content of the biomass. Overall, no single biofuel was a clear winner in terms of economic and environmental performance in the model, but space is opened for deeper research, as the new regulations come into effect.","container-title":"Journal of Cleaner Production","DOI":"10.1016/j.jclepro.2019.117845","ISSN":"0959-6526","journalAbbreviation":"Journal of Cleaner Production","language":"en","page":"117845","source":"ScienceDirect","title":"Lignocellulosic marine biofuel: Technoeconomic and environmental assessment for production in Brazil and Sweden","title-short":"Lignocellulosic marine biofuel","volume":"239","author":[{"family":"Tanzer","given":"Samantha Eleanor"},{"family":"Posada","given":"John"},{"family":"Geraedts","given":"Sjors"},{"family":"Ramírez","given":"Andrea"}],"issued":{"date-parts":[["2019",12,1]]}}}],"schema":"https://github.com/citation-style-language/schema/raw/master/csl-citation.json"} </w:instrText>
      </w:r>
      <w:r w:rsidR="00FD687E" w:rsidRPr="00AE536D">
        <w:rPr>
          <w:spacing w:val="-3"/>
          <w:lang w:val="en-US"/>
        </w:rPr>
        <w:fldChar w:fldCharType="separate"/>
      </w:r>
      <w:r w:rsidR="00FD687E" w:rsidRPr="00AE536D">
        <w:t>[8]</w:t>
      </w:r>
      <w:r w:rsidR="00FD687E" w:rsidRPr="00AE536D">
        <w:rPr>
          <w:spacing w:val="-3"/>
          <w:lang w:val="en-US"/>
        </w:rPr>
        <w:fldChar w:fldCharType="end"/>
      </w:r>
      <w:r w:rsidR="00421F57" w:rsidRPr="00AE536D">
        <w:rPr>
          <w:spacing w:val="-3"/>
          <w:lang w:val="en-US"/>
        </w:rPr>
        <w:t xml:space="preserve">. </w:t>
      </w:r>
      <w:r w:rsidR="00240952" w:rsidRPr="00AE536D">
        <w:rPr>
          <w:spacing w:val="-3"/>
          <w:lang w:val="en-US"/>
        </w:rPr>
        <w:t xml:space="preserve">When </w:t>
      </w:r>
      <w:r w:rsidR="00421F57" w:rsidRPr="00AE536D">
        <w:rPr>
          <w:spacing w:val="-3"/>
          <w:lang w:val="en-US"/>
        </w:rPr>
        <w:t>off</w:t>
      </w:r>
      <w:r w:rsidR="00A30DF9" w:rsidRPr="00AE536D">
        <w:rPr>
          <w:spacing w:val="-3"/>
          <w:lang w:val="en-US"/>
        </w:rPr>
        <w:t>-</w:t>
      </w:r>
      <w:r w:rsidR="00421F57" w:rsidRPr="00AE536D">
        <w:rPr>
          <w:spacing w:val="-3"/>
          <w:lang w:val="en-US"/>
        </w:rPr>
        <w:t xml:space="preserve">gases did not </w:t>
      </w:r>
      <w:r w:rsidR="00FD687E" w:rsidRPr="00AE536D">
        <w:rPr>
          <w:spacing w:val="-3"/>
          <w:lang w:val="en-US"/>
        </w:rPr>
        <w:t>cover the</w:t>
      </w:r>
      <w:r w:rsidR="00421F57" w:rsidRPr="00AE536D">
        <w:rPr>
          <w:spacing w:val="-3"/>
          <w:lang w:val="en-US"/>
        </w:rPr>
        <w:t xml:space="preserve"> </w:t>
      </w:r>
      <w:r w:rsidR="00FD687E" w:rsidRPr="00AE536D">
        <w:rPr>
          <w:spacing w:val="-3"/>
          <w:lang w:val="en-US"/>
        </w:rPr>
        <w:t>H</w:t>
      </w:r>
      <w:r w:rsidR="00FD687E" w:rsidRPr="00AE536D">
        <w:rPr>
          <w:spacing w:val="-3"/>
          <w:vertAlign w:val="subscript"/>
          <w:lang w:val="en-US"/>
        </w:rPr>
        <w:t>2</w:t>
      </w:r>
      <w:r w:rsidR="00421F57" w:rsidRPr="00AE536D">
        <w:rPr>
          <w:spacing w:val="-3"/>
          <w:lang w:val="en-US"/>
        </w:rPr>
        <w:t xml:space="preserve"> demand, natural gas was </w:t>
      </w:r>
      <w:r w:rsidR="00240952" w:rsidRPr="00AE536D">
        <w:rPr>
          <w:spacing w:val="-3"/>
          <w:lang w:val="en-US"/>
        </w:rPr>
        <w:t>used as supplementary fuel. Lastly, a</w:t>
      </w:r>
      <w:r w:rsidR="00421F57" w:rsidRPr="00AE536D">
        <w:rPr>
          <w:spacing w:val="-3"/>
          <w:lang w:val="en-US"/>
        </w:rPr>
        <w:t>ny excess off</w:t>
      </w:r>
      <w:r w:rsidR="00A30DF9" w:rsidRPr="00AE536D">
        <w:rPr>
          <w:spacing w:val="-3"/>
          <w:lang w:val="en-US"/>
        </w:rPr>
        <w:t>-</w:t>
      </w:r>
      <w:r w:rsidR="00421F57" w:rsidRPr="00AE536D">
        <w:rPr>
          <w:spacing w:val="-3"/>
          <w:lang w:val="en-US"/>
        </w:rPr>
        <w:t xml:space="preserve">gases were </w:t>
      </w:r>
      <w:r w:rsidR="00F562B2" w:rsidRPr="00AE536D">
        <w:rPr>
          <w:spacing w:val="-3"/>
          <w:lang w:val="en-US"/>
        </w:rPr>
        <w:t>address</w:t>
      </w:r>
      <w:r w:rsidR="00421F57" w:rsidRPr="00AE536D">
        <w:rPr>
          <w:spacing w:val="-3"/>
          <w:lang w:val="en-US"/>
        </w:rPr>
        <w:t xml:space="preserve">ed for </w:t>
      </w:r>
      <w:r w:rsidR="0055653F" w:rsidRPr="00AE536D">
        <w:rPr>
          <w:spacing w:val="-3"/>
          <w:lang w:val="en-US"/>
        </w:rPr>
        <w:t xml:space="preserve">the </w:t>
      </w:r>
      <w:r w:rsidR="00240952" w:rsidRPr="00AE536D">
        <w:rPr>
          <w:spacing w:val="-3"/>
          <w:lang w:val="en-US"/>
        </w:rPr>
        <w:t>COGEN plant.</w:t>
      </w:r>
    </w:p>
    <w:p w14:paraId="7143948F" w14:textId="77777777" w:rsidR="00105D53" w:rsidRPr="009361EA" w:rsidRDefault="00105D53" w:rsidP="0030147C">
      <w:pPr>
        <w:rPr>
          <w:lang w:val="en-US" w:eastAsia="ja-JP"/>
        </w:rPr>
      </w:pPr>
    </w:p>
    <w:p w14:paraId="3CAA766A" w14:textId="77777777" w:rsidR="0030147C" w:rsidRPr="009361EA" w:rsidRDefault="0030147C" w:rsidP="007B7863">
      <w:pPr>
        <w:pStyle w:val="Ttulo2"/>
        <w:numPr>
          <w:ilvl w:val="1"/>
          <w:numId w:val="9"/>
        </w:numPr>
        <w:ind w:hanging="792"/>
        <w:rPr>
          <w:lang w:val="en-US"/>
        </w:rPr>
      </w:pPr>
      <w:r w:rsidRPr="00027CD8">
        <w:rPr>
          <w:lang w:val="en-US"/>
        </w:rPr>
        <w:t xml:space="preserve">Exergy </w:t>
      </w:r>
      <w:r w:rsidR="00450415" w:rsidRPr="00027CD8">
        <w:rPr>
          <w:lang w:val="en-US"/>
        </w:rPr>
        <w:t>Analysis</w:t>
      </w:r>
    </w:p>
    <w:p w14:paraId="728D9300" w14:textId="310BEF81" w:rsidR="00450415" w:rsidRPr="00F562B2" w:rsidRDefault="00450415" w:rsidP="008E74FB">
      <w:pPr>
        <w:pStyle w:val="SemEspaamento"/>
        <w:spacing w:line="360" w:lineRule="auto"/>
        <w:rPr>
          <w:lang w:val="en-US"/>
        </w:rPr>
      </w:pPr>
      <w:r w:rsidRPr="009361EA">
        <w:rPr>
          <w:lang w:val="en-US"/>
        </w:rPr>
        <w:t xml:space="preserve">Exergy analysis can play an </w:t>
      </w:r>
      <w:r w:rsidR="003A41BC">
        <w:rPr>
          <w:lang w:val="en-US"/>
        </w:rPr>
        <w:t>essential</w:t>
      </w:r>
      <w:r w:rsidRPr="009361EA">
        <w:rPr>
          <w:lang w:val="en-US"/>
        </w:rPr>
        <w:t xml:space="preserve"> role in identifying opportunities for improving efficiency at scales ranging from individual processes to the economy. It can also help by determining the feasibility of emerging technologies and identifying limits to </w:t>
      </w:r>
      <w:r w:rsidRPr="00F562B2">
        <w:rPr>
          <w:lang w:val="en-US"/>
        </w:rPr>
        <w:t>efficiency improvement through</w:t>
      </w:r>
    </w:p>
    <w:p w14:paraId="3C4D66AE" w14:textId="0C17EC79" w:rsidR="009137BB" w:rsidRPr="00F562B2" w:rsidRDefault="00450415" w:rsidP="008E74FB">
      <w:pPr>
        <w:pStyle w:val="SemEspaamento"/>
        <w:spacing w:line="360" w:lineRule="auto"/>
        <w:rPr>
          <w:lang w:val="en-US"/>
        </w:rPr>
      </w:pPr>
      <w:r w:rsidRPr="00F562B2">
        <w:rPr>
          <w:lang w:val="en-US"/>
        </w:rPr>
        <w:t xml:space="preserve">the First and Second Law of Thermodynamics </w:t>
      </w:r>
      <w:r w:rsidR="00F4460E" w:rsidRPr="00F562B2">
        <w:rPr>
          <w:lang w:val="en-US"/>
        </w:rPr>
        <w:fldChar w:fldCharType="begin"/>
      </w:r>
      <w:r w:rsidR="00DE1CA2">
        <w:rPr>
          <w:lang w:val="en-US"/>
        </w:rPr>
        <w:instrText xml:space="preserve"> ADDIN ZOTERO_ITEM CSL_CITATION {"citationID":"3TgVkwzv","properties":{"formattedCitation":"[45]","plainCitation":"[45]","noteIndex":0},"citationItems":[{"id":916,"uris":["http://zotero.org/users/5217225/items/IFSNA5MB"],"uri":["http://zotero.org/users/5217225/items/IFSNA5MB"],"itemData":{"id":916,"type":"book","language":"English","publisher":"Cambridge University Press","title":"Sustainable Engineering","URL":"https://doi.org/10.1017/9781108333726","author":[{"family":"Bakshi","given":"B."}],"issued":{"date-parts":[["2019"]]}}}],"schema":"https://github.com/citation-style-language/schema/raw/master/csl-citation.json"} </w:instrText>
      </w:r>
      <w:r w:rsidR="00F4460E" w:rsidRPr="00F562B2">
        <w:rPr>
          <w:lang w:val="en-US"/>
        </w:rPr>
        <w:fldChar w:fldCharType="separate"/>
      </w:r>
      <w:r w:rsidR="00DE1CA2" w:rsidRPr="00DE1CA2">
        <w:t>[45]</w:t>
      </w:r>
      <w:r w:rsidR="00F4460E" w:rsidRPr="00F562B2">
        <w:rPr>
          <w:lang w:val="en-US"/>
        </w:rPr>
        <w:fldChar w:fldCharType="end"/>
      </w:r>
      <w:r w:rsidRPr="00F562B2">
        <w:rPr>
          <w:lang w:val="en-US"/>
        </w:rPr>
        <w:t xml:space="preserve">. </w:t>
      </w:r>
      <w:r w:rsidR="009137BB" w:rsidRPr="00F562B2">
        <w:rPr>
          <w:lang w:val="en-US"/>
        </w:rPr>
        <w:t xml:space="preserve">Exergy is defined as </w:t>
      </w:r>
      <w:r w:rsidR="00AE34B4" w:rsidRPr="00F562B2">
        <w:rPr>
          <w:lang w:val="en-US"/>
        </w:rPr>
        <w:t xml:space="preserve">the </w:t>
      </w:r>
      <w:r w:rsidR="009137BB" w:rsidRPr="00F562B2">
        <w:rPr>
          <w:lang w:val="en-US"/>
        </w:rPr>
        <w:t xml:space="preserve">thermodynamic </w:t>
      </w:r>
      <w:r w:rsidR="00CE1BA9" w:rsidRPr="00CE1BA9">
        <w:rPr>
          <w:lang w:val="en-US"/>
        </w:rPr>
        <w:t>property</w:t>
      </w:r>
      <w:r w:rsidR="009137BB" w:rsidRPr="00F562B2">
        <w:rPr>
          <w:lang w:val="en-US"/>
        </w:rPr>
        <w:t xml:space="preserve"> that represents the maximum work that could be </w:t>
      </w:r>
      <w:r w:rsidR="00CE1BA9" w:rsidRPr="00CE1BA9">
        <w:rPr>
          <w:lang w:val="en-US"/>
        </w:rPr>
        <w:t>achieved</w:t>
      </w:r>
      <w:r w:rsidR="009137BB" w:rsidRPr="00F562B2">
        <w:rPr>
          <w:lang w:val="en-US"/>
        </w:rPr>
        <w:t xml:space="preserve"> </w:t>
      </w:r>
      <w:r w:rsidR="00AE34B4" w:rsidRPr="00F562B2">
        <w:rPr>
          <w:lang w:val="en-US"/>
        </w:rPr>
        <w:t>using</w:t>
      </w:r>
      <w:r w:rsidR="009137BB" w:rsidRPr="00F562B2">
        <w:rPr>
          <w:lang w:val="en-US"/>
        </w:rPr>
        <w:t xml:space="preserve"> reversible processes from a system that interacts with the components of the environment until the equilibrium state is </w:t>
      </w:r>
      <w:r w:rsidR="00CE1BA9" w:rsidRPr="00CE1BA9">
        <w:rPr>
          <w:lang w:val="en-US"/>
        </w:rPr>
        <w:t>reached</w:t>
      </w:r>
      <w:r w:rsidR="009137BB" w:rsidRPr="00F562B2">
        <w:rPr>
          <w:lang w:val="en-US"/>
        </w:rPr>
        <w:t xml:space="preserve"> </w:t>
      </w:r>
      <w:r w:rsidR="009137BB" w:rsidRPr="00F562B2">
        <w:rPr>
          <w:lang w:val="en-US"/>
        </w:rPr>
        <w:fldChar w:fldCharType="begin"/>
      </w:r>
      <w:r w:rsidR="00DE1CA2">
        <w:rPr>
          <w:lang w:val="en-US"/>
        </w:rPr>
        <w:instrText xml:space="preserve"> ADDIN ZOTERO_ITEM CSL_CITATION {"citationID":"f6ma0vev","properties":{"formattedCitation":"[46]","plainCitation":"[46]","noteIndex":0},"citationItems":[{"id":283,"uris":["http://zotero.org/users/5217225/items/ENBIKFZE"],"uri":["http://zotero.org/users/5217225/items/ENBIKFZE"],"itemData":{"id":283,"type":"book","event-place":"New York","publisher":"Hemisphere Publishing Corporation","publisher-place":"New York","title":"Exergy analysis of thermal, chemical, and metallurgical processes.","author":[{"family":"SZARGUT","given":"J."},{"family":"MORRIS","given":"D."},{"family":"STEWARD","given":"F."}],"issued":{"date-parts":[["1988"]]}}}],"schema":"https://github.com/citation-style-language/schema/raw/master/csl-citation.json"} </w:instrText>
      </w:r>
      <w:r w:rsidR="009137BB" w:rsidRPr="00F562B2">
        <w:rPr>
          <w:lang w:val="en-US"/>
        </w:rPr>
        <w:fldChar w:fldCharType="separate"/>
      </w:r>
      <w:r w:rsidR="00DE1CA2" w:rsidRPr="00DE1CA2">
        <w:t>[46]</w:t>
      </w:r>
      <w:r w:rsidR="009137BB" w:rsidRPr="00F562B2">
        <w:rPr>
          <w:lang w:val="en-US"/>
        </w:rPr>
        <w:fldChar w:fldCharType="end"/>
      </w:r>
      <w:r w:rsidR="009137BB" w:rsidRPr="00F562B2">
        <w:rPr>
          <w:lang w:val="en-US"/>
        </w:rPr>
        <w:t>.</w:t>
      </w:r>
    </w:p>
    <w:p w14:paraId="0068E879" w14:textId="77777777" w:rsidR="0030147C" w:rsidRPr="00F562B2" w:rsidRDefault="0030147C" w:rsidP="008E74FB">
      <w:pPr>
        <w:tabs>
          <w:tab w:val="left" w:pos="-720"/>
        </w:tabs>
        <w:suppressAutoHyphens/>
        <w:spacing w:line="360" w:lineRule="auto"/>
        <w:rPr>
          <w:iCs/>
          <w:spacing w:val="-3"/>
          <w:u w:val="single"/>
          <w:lang w:val="en-US"/>
        </w:rPr>
      </w:pPr>
    </w:p>
    <w:p w14:paraId="53AB1377" w14:textId="07DE2F70" w:rsidR="00603AEA" w:rsidRPr="009361EA" w:rsidRDefault="00603AEA" w:rsidP="008E74FB">
      <w:pPr>
        <w:autoSpaceDE/>
        <w:autoSpaceDN/>
        <w:spacing w:line="360" w:lineRule="auto"/>
        <w:rPr>
          <w:rFonts w:eastAsia="MS Mincho"/>
          <w:szCs w:val="22"/>
          <w:lang w:val="en-US"/>
        </w:rPr>
      </w:pPr>
      <w:r w:rsidRPr="00F562B2">
        <w:rPr>
          <w:i/>
          <w:iCs/>
          <w:spacing w:val="-3"/>
          <w:u w:val="single"/>
          <w:lang w:val="en-US"/>
        </w:rPr>
        <w:t>Exergy balance.</w:t>
      </w:r>
      <w:r w:rsidRPr="00F562B2">
        <w:rPr>
          <w:spacing w:val="-3"/>
          <w:lang w:val="en-US"/>
        </w:rPr>
        <w:t xml:space="preserve">  </w:t>
      </w:r>
      <w:r w:rsidR="009137BB" w:rsidRPr="00F562B2">
        <w:rPr>
          <w:rFonts w:eastAsia="MS Mincho"/>
          <w:szCs w:val="22"/>
          <w:lang w:val="en-US"/>
        </w:rPr>
        <w:t xml:space="preserve">The </w:t>
      </w:r>
      <w:r w:rsidRPr="00F562B2">
        <w:rPr>
          <w:rFonts w:eastAsia="MS Mincho"/>
          <w:szCs w:val="22"/>
          <w:lang w:val="en-US"/>
        </w:rPr>
        <w:t xml:space="preserve">thermochemical conversion </w:t>
      </w:r>
      <w:r w:rsidR="009137BB" w:rsidRPr="00F562B2">
        <w:rPr>
          <w:rFonts w:eastAsia="MS Mincho"/>
          <w:szCs w:val="22"/>
          <w:lang w:val="en-US"/>
        </w:rPr>
        <w:t>scenarios are based</w:t>
      </w:r>
      <w:r w:rsidR="009137BB" w:rsidRPr="009361EA">
        <w:rPr>
          <w:rFonts w:eastAsia="MS Mincho"/>
          <w:szCs w:val="22"/>
          <w:lang w:val="en-US"/>
        </w:rPr>
        <w:t xml:space="preserve"> on the calculation of the steady-state mass, energy, and exergy </w:t>
      </w:r>
      <w:r w:rsidR="009137BB" w:rsidRPr="003F27AB">
        <w:rPr>
          <w:rFonts w:eastAsia="MS Mincho"/>
          <w:szCs w:val="22"/>
          <w:lang w:val="en-US"/>
        </w:rPr>
        <w:t>balances</w:t>
      </w:r>
      <w:r w:rsidR="003A41BC" w:rsidRPr="003F27AB">
        <w:rPr>
          <w:rFonts w:eastAsia="MS Mincho"/>
          <w:szCs w:val="22"/>
          <w:lang w:val="en-US"/>
        </w:rPr>
        <w:t xml:space="preserve"> for each one of the control </w:t>
      </w:r>
      <w:proofErr w:type="gramStart"/>
      <w:r w:rsidR="003A41BC" w:rsidRPr="003F27AB">
        <w:rPr>
          <w:rFonts w:eastAsia="MS Mincho"/>
          <w:szCs w:val="22"/>
          <w:lang w:val="en-US"/>
        </w:rPr>
        <w:t>volume</w:t>
      </w:r>
      <w:proofErr w:type="gramEnd"/>
      <w:r w:rsidR="003A41BC" w:rsidRPr="003F27AB">
        <w:rPr>
          <w:rFonts w:eastAsia="MS Mincho"/>
          <w:szCs w:val="22"/>
          <w:lang w:val="en-US"/>
        </w:rPr>
        <w:t xml:space="preserve">, according </w:t>
      </w:r>
      <w:r w:rsidR="003A41BC">
        <w:rPr>
          <w:rFonts w:eastAsia="MS Mincho"/>
          <w:szCs w:val="22"/>
          <w:lang w:val="en-US"/>
        </w:rPr>
        <w:t>to Equations (1-3)</w:t>
      </w:r>
      <w:r w:rsidR="009137BB" w:rsidRPr="009361EA">
        <w:rPr>
          <w:rFonts w:eastAsia="MS Mincho"/>
          <w:szCs w:val="22"/>
          <w:lang w:val="en-US"/>
        </w:rPr>
        <w:t>.</w:t>
      </w:r>
      <w:r w:rsidRPr="009361EA">
        <w:rPr>
          <w:rFonts w:eastAsia="MS Mincho"/>
          <w:szCs w:val="22"/>
          <w:lang w:val="en-US"/>
        </w:rPr>
        <w:t xml:space="preserve"> Where </w:t>
      </w:r>
      <m:oMath>
        <m:nary>
          <m:naryPr>
            <m:chr m:val="∑"/>
            <m:limLoc m:val="undOvr"/>
            <m:supHide m:val="1"/>
            <m:ctrlPr>
              <w:rPr>
                <w:rFonts w:ascii="Cambria Math" w:eastAsia="MS Mincho" w:hAnsi="Cambria Math"/>
                <w:szCs w:val="22"/>
                <w:lang w:val="en-US"/>
              </w:rPr>
            </m:ctrlPr>
          </m:naryPr>
          <m:sub>
            <m:r>
              <w:rPr>
                <w:rFonts w:ascii="Cambria Math" w:eastAsia="MS Mincho" w:hAnsi="Cambria Math"/>
                <w:szCs w:val="22"/>
                <w:lang w:val="en-US"/>
              </w:rPr>
              <m:t>inlet</m:t>
            </m:r>
          </m:sub>
          <m:sup/>
          <m:e>
            <m:sSub>
              <m:sSubPr>
                <m:ctrlPr>
                  <w:rPr>
                    <w:rFonts w:ascii="Cambria Math" w:eastAsia="MS Mincho" w:hAnsi="Cambria Math"/>
                    <w:szCs w:val="22"/>
                    <w:lang w:val="en-US"/>
                  </w:rPr>
                </m:ctrlPr>
              </m:sSubPr>
              <m:e>
                <m:acc>
                  <m:accPr>
                    <m:chr m:val="̇"/>
                    <m:ctrlPr>
                      <w:rPr>
                        <w:rFonts w:ascii="Cambria Math" w:eastAsia="MS Mincho" w:hAnsi="Cambria Math"/>
                        <w:szCs w:val="22"/>
                        <w:lang w:val="en-US"/>
                      </w:rPr>
                    </m:ctrlPr>
                  </m:accPr>
                  <m:e>
                    <m:r>
                      <w:rPr>
                        <w:rFonts w:ascii="Cambria Math" w:eastAsia="MS Mincho" w:hAnsi="Cambria Math"/>
                        <w:szCs w:val="22"/>
                        <w:lang w:val="en-US"/>
                      </w:rPr>
                      <m:t>m</m:t>
                    </m:r>
                  </m:e>
                </m:acc>
              </m:e>
              <m:sub>
                <m:r>
                  <w:rPr>
                    <w:rFonts w:ascii="Cambria Math" w:eastAsia="MS Mincho" w:hAnsi="Cambria Math"/>
                    <w:szCs w:val="22"/>
                    <w:lang w:val="en-US"/>
                  </w:rPr>
                  <m:t>i</m:t>
                </m:r>
              </m:sub>
            </m:sSub>
            <m:sSub>
              <m:sSubPr>
                <m:ctrlPr>
                  <w:rPr>
                    <w:rFonts w:ascii="Cambria Math" w:eastAsia="MS Mincho" w:hAnsi="Cambria Math"/>
                    <w:szCs w:val="22"/>
                    <w:lang w:val="en-US"/>
                  </w:rPr>
                </m:ctrlPr>
              </m:sSubPr>
              <m:e>
                <m:r>
                  <w:rPr>
                    <w:rFonts w:ascii="Cambria Math" w:eastAsia="MS Mincho" w:hAnsi="Cambria Math"/>
                    <w:szCs w:val="22"/>
                    <w:lang w:val="en-US"/>
                  </w:rPr>
                  <m:t>b</m:t>
                </m:r>
              </m:e>
              <m:sub>
                <m:r>
                  <w:rPr>
                    <w:rFonts w:ascii="Cambria Math" w:eastAsia="MS Mincho" w:hAnsi="Cambria Math"/>
                    <w:szCs w:val="22"/>
                    <w:lang w:val="en-US"/>
                  </w:rPr>
                  <m:t>i</m:t>
                </m:r>
              </m:sub>
            </m:sSub>
          </m:e>
        </m:nary>
      </m:oMath>
      <w:r w:rsidRPr="009361EA">
        <w:rPr>
          <w:rFonts w:eastAsia="MS Mincho"/>
          <w:szCs w:val="22"/>
          <w:lang w:val="en-US"/>
        </w:rPr>
        <w:t xml:space="preserve"> represents the exergy of the process inputs (</w:t>
      </w:r>
      <m:oMath>
        <m:sSub>
          <m:sSubPr>
            <m:ctrlPr>
              <w:rPr>
                <w:rFonts w:ascii="Cambria Math" w:eastAsia="MS Mincho" w:hAnsi="Cambria Math"/>
                <w:szCs w:val="22"/>
                <w:lang w:val="en-US"/>
              </w:rPr>
            </m:ctrlPr>
          </m:sSubPr>
          <m:e>
            <m:acc>
              <m:accPr>
                <m:chr m:val="̇"/>
                <m:ctrlPr>
                  <w:rPr>
                    <w:rFonts w:ascii="Cambria Math" w:eastAsia="MS Mincho" w:hAnsi="Cambria Math"/>
                    <w:szCs w:val="22"/>
                    <w:lang w:val="en-US"/>
                  </w:rPr>
                </m:ctrlPr>
              </m:accPr>
              <m:e>
                <m:r>
                  <w:rPr>
                    <w:rFonts w:ascii="Cambria Math" w:eastAsia="MS Mincho" w:hAnsi="Cambria Math"/>
                    <w:szCs w:val="22"/>
                    <w:lang w:val="en-US"/>
                  </w:rPr>
                  <m:t>B</m:t>
                </m:r>
              </m:e>
            </m:acc>
          </m:e>
          <m:sub>
            <m:r>
              <w:rPr>
                <w:rFonts w:ascii="Cambria Math" w:eastAsia="MS Mincho" w:hAnsi="Cambria Math"/>
                <w:szCs w:val="22"/>
                <w:lang w:val="en-US"/>
              </w:rPr>
              <m:t>inputs</m:t>
            </m:r>
          </m:sub>
        </m:sSub>
      </m:oMath>
      <w:r w:rsidRPr="009361EA">
        <w:rPr>
          <w:rFonts w:eastAsia="MS Mincho"/>
          <w:szCs w:val="22"/>
          <w:lang w:val="en-US"/>
        </w:rPr>
        <w:t xml:space="preserve">), </w:t>
      </w:r>
      <m:oMath>
        <m:nary>
          <m:naryPr>
            <m:chr m:val="∑"/>
            <m:limLoc m:val="undOvr"/>
            <m:supHide m:val="1"/>
            <m:ctrlPr>
              <w:rPr>
                <w:rFonts w:ascii="Cambria Math" w:eastAsia="MS Mincho" w:hAnsi="Cambria Math"/>
                <w:szCs w:val="22"/>
                <w:lang w:val="en-US"/>
              </w:rPr>
            </m:ctrlPr>
          </m:naryPr>
          <m:sub>
            <m:r>
              <w:rPr>
                <w:rFonts w:ascii="Cambria Math" w:eastAsia="MS Mincho" w:hAnsi="Cambria Math"/>
                <w:szCs w:val="22"/>
                <w:lang w:val="en-US"/>
              </w:rPr>
              <m:t>outlet</m:t>
            </m:r>
          </m:sub>
          <m:sup/>
          <m:e>
            <m:sSub>
              <m:sSubPr>
                <m:ctrlPr>
                  <w:rPr>
                    <w:rFonts w:ascii="Cambria Math" w:eastAsia="MS Mincho" w:hAnsi="Cambria Math"/>
                    <w:szCs w:val="22"/>
                    <w:lang w:val="en-US"/>
                  </w:rPr>
                </m:ctrlPr>
              </m:sSubPr>
              <m:e>
                <m:acc>
                  <m:accPr>
                    <m:chr m:val="̇"/>
                    <m:ctrlPr>
                      <w:rPr>
                        <w:rFonts w:ascii="Cambria Math" w:eastAsia="MS Mincho" w:hAnsi="Cambria Math"/>
                        <w:szCs w:val="22"/>
                        <w:lang w:val="en-US"/>
                      </w:rPr>
                    </m:ctrlPr>
                  </m:accPr>
                  <m:e>
                    <m:r>
                      <w:rPr>
                        <w:rFonts w:ascii="Cambria Math" w:eastAsia="MS Mincho" w:hAnsi="Cambria Math"/>
                        <w:szCs w:val="22"/>
                        <w:lang w:val="en-US"/>
                      </w:rPr>
                      <m:t>m</m:t>
                    </m:r>
                  </m:e>
                </m:acc>
              </m:e>
              <m:sub>
                <m:r>
                  <w:rPr>
                    <w:rFonts w:ascii="Cambria Math" w:eastAsia="MS Mincho" w:hAnsi="Cambria Math"/>
                    <w:szCs w:val="22"/>
                    <w:lang w:val="en-US"/>
                  </w:rPr>
                  <m:t>e</m:t>
                </m:r>
              </m:sub>
            </m:sSub>
            <m:sSub>
              <m:sSubPr>
                <m:ctrlPr>
                  <w:rPr>
                    <w:rFonts w:ascii="Cambria Math" w:eastAsia="MS Mincho" w:hAnsi="Cambria Math"/>
                    <w:szCs w:val="22"/>
                    <w:lang w:val="en-US"/>
                  </w:rPr>
                </m:ctrlPr>
              </m:sSubPr>
              <m:e>
                <m:r>
                  <w:rPr>
                    <w:rFonts w:ascii="Cambria Math" w:eastAsia="MS Mincho" w:hAnsi="Cambria Math"/>
                    <w:szCs w:val="22"/>
                    <w:lang w:val="en-US"/>
                  </w:rPr>
                  <m:t>b</m:t>
                </m:r>
              </m:e>
              <m:sub>
                <m:r>
                  <w:rPr>
                    <w:rFonts w:ascii="Cambria Math" w:eastAsia="MS Mincho" w:hAnsi="Cambria Math"/>
                    <w:szCs w:val="22"/>
                    <w:lang w:val="en-US"/>
                  </w:rPr>
                  <m:t>e</m:t>
                </m:r>
              </m:sub>
            </m:sSub>
          </m:e>
        </m:nary>
      </m:oMath>
      <w:r w:rsidRPr="009361EA">
        <w:rPr>
          <w:rFonts w:eastAsia="MS Mincho"/>
          <w:szCs w:val="22"/>
          <w:lang w:val="en-US"/>
        </w:rPr>
        <w:t xml:space="preserve"> the exergy of the process output (</w:t>
      </w:r>
      <m:oMath>
        <m:sSub>
          <m:sSubPr>
            <m:ctrlPr>
              <w:rPr>
                <w:rFonts w:ascii="Cambria Math" w:eastAsia="MS Mincho" w:hAnsi="Cambria Math"/>
                <w:szCs w:val="22"/>
                <w:lang w:val="en-US"/>
              </w:rPr>
            </m:ctrlPr>
          </m:sSubPr>
          <m:e>
            <m:acc>
              <m:accPr>
                <m:chr m:val="̇"/>
                <m:ctrlPr>
                  <w:rPr>
                    <w:rFonts w:ascii="Cambria Math" w:eastAsia="MS Mincho" w:hAnsi="Cambria Math"/>
                    <w:szCs w:val="22"/>
                    <w:lang w:val="en-US"/>
                  </w:rPr>
                </m:ctrlPr>
              </m:accPr>
              <m:e>
                <m:r>
                  <w:rPr>
                    <w:rFonts w:ascii="Cambria Math" w:eastAsia="MS Mincho" w:hAnsi="Cambria Math"/>
                    <w:szCs w:val="22"/>
                    <w:lang w:val="en-US"/>
                  </w:rPr>
                  <m:t>B</m:t>
                </m:r>
              </m:e>
            </m:acc>
          </m:e>
          <m:sub>
            <m:r>
              <w:rPr>
                <w:rFonts w:ascii="Cambria Math" w:eastAsia="MS Mincho" w:hAnsi="Cambria Math"/>
                <w:szCs w:val="22"/>
                <w:lang w:val="en-US"/>
              </w:rPr>
              <m:t>products</m:t>
            </m:r>
          </m:sub>
        </m:sSub>
      </m:oMath>
      <w:r w:rsidRPr="009361EA">
        <w:rPr>
          <w:rFonts w:eastAsia="MS Mincho"/>
          <w:szCs w:val="22"/>
          <w:lang w:val="en-US"/>
        </w:rPr>
        <w:t xml:space="preserve">), and </w:t>
      </w:r>
      <m:oMath>
        <m:r>
          <m:rPr>
            <m:sty m:val="p"/>
          </m:rPr>
          <w:rPr>
            <w:rFonts w:ascii="Cambria Math" w:eastAsia="MS Mincho" w:hAnsi="Cambria Math"/>
            <w:szCs w:val="22"/>
            <w:lang w:val="en-US"/>
          </w:rPr>
          <m:t>(</m:t>
        </m:r>
        <m:acc>
          <m:accPr>
            <m:chr m:val="̇"/>
            <m:ctrlPr>
              <w:rPr>
                <w:rFonts w:ascii="Cambria Math" w:eastAsia="MS Mincho" w:hAnsi="Cambria Math"/>
                <w:szCs w:val="22"/>
                <w:lang w:val="en-US"/>
              </w:rPr>
            </m:ctrlPr>
          </m:accPr>
          <m:e>
            <m:r>
              <w:rPr>
                <w:rFonts w:ascii="Cambria Math" w:eastAsia="MS Mincho" w:hAnsi="Cambria Math"/>
                <w:szCs w:val="22"/>
                <w:lang w:val="en-US"/>
              </w:rPr>
              <m:t>I</m:t>
            </m:r>
          </m:e>
        </m:acc>
        <m:r>
          <m:rPr>
            <m:sty m:val="p"/>
          </m:rPr>
          <w:rPr>
            <w:rFonts w:ascii="Cambria Math" w:eastAsia="MS Mincho" w:hAnsi="Cambria Math"/>
            <w:szCs w:val="22"/>
            <w:lang w:val="en-US"/>
          </w:rPr>
          <m:t>)</m:t>
        </m:r>
      </m:oMath>
      <w:r w:rsidRPr="009361EA">
        <w:rPr>
          <w:rFonts w:eastAsia="MS Mincho"/>
          <w:szCs w:val="22"/>
          <w:lang w:val="en-US"/>
        </w:rPr>
        <w:t xml:space="preserve"> the Irreversibility (exergy losses).</w:t>
      </w:r>
    </w:p>
    <w:p w14:paraId="6516AE32" w14:textId="77777777" w:rsidR="00C34DCB" w:rsidRPr="009361EA" w:rsidRDefault="00C34DCB" w:rsidP="009137BB">
      <w:pPr>
        <w:autoSpaceDE/>
        <w:autoSpaceDN/>
        <w:rPr>
          <w:rFonts w:eastAsia="MS Mincho"/>
          <w:szCs w:val="22"/>
          <w:lang w:val="en-US"/>
        </w:rPr>
      </w:pPr>
    </w:p>
    <w:tbl>
      <w:tblPr>
        <w:tblW w:w="5112" w:type="pct"/>
        <w:tblCellMar>
          <w:left w:w="70" w:type="dxa"/>
          <w:right w:w="70" w:type="dxa"/>
        </w:tblCellMar>
        <w:tblLook w:val="0000" w:firstRow="0" w:lastRow="0" w:firstColumn="0" w:lastColumn="0" w:noHBand="0" w:noVBand="0"/>
      </w:tblPr>
      <w:tblGrid>
        <w:gridCol w:w="8431"/>
        <w:gridCol w:w="842"/>
      </w:tblGrid>
      <w:tr w:rsidR="009361EA" w:rsidRPr="009361EA" w14:paraId="587E8640" w14:textId="77777777" w:rsidTr="00FD4F17">
        <w:tc>
          <w:tcPr>
            <w:tcW w:w="4546" w:type="pct"/>
            <w:tcBorders>
              <w:top w:val="nil"/>
              <w:left w:val="nil"/>
              <w:bottom w:val="nil"/>
              <w:right w:val="nil"/>
            </w:tcBorders>
            <w:vAlign w:val="center"/>
          </w:tcPr>
          <w:p w14:paraId="3225A6F5" w14:textId="77777777" w:rsidR="009137BB" w:rsidRPr="009361EA" w:rsidRDefault="00B849AD" w:rsidP="009137BB">
            <w:pPr>
              <w:autoSpaceDE/>
              <w:autoSpaceDN/>
              <w:rPr>
                <w:rFonts w:eastAsia="MS Mincho"/>
                <w:sz w:val="20"/>
                <w:szCs w:val="20"/>
                <w:lang w:val="en-US"/>
              </w:rPr>
            </w:pPr>
            <m:oMathPara>
              <m:oMath>
                <m:nary>
                  <m:naryPr>
                    <m:chr m:val="∑"/>
                    <m:limLoc m:val="undOvr"/>
                    <m:supHide m:val="1"/>
                    <m:ctrlPr>
                      <w:rPr>
                        <w:rFonts w:ascii="Cambria Math" w:eastAsia="MS Mincho" w:hAnsi="Cambria Math"/>
                        <w:sz w:val="20"/>
                        <w:szCs w:val="20"/>
                        <w:lang w:val="en-US"/>
                      </w:rPr>
                    </m:ctrlPr>
                  </m:naryPr>
                  <m:sub>
                    <m:r>
                      <w:rPr>
                        <w:rFonts w:ascii="Cambria Math" w:eastAsia="MS Mincho" w:hAnsi="Cambria Math"/>
                        <w:sz w:val="20"/>
                        <w:szCs w:val="20"/>
                        <w:lang w:val="en-US"/>
                      </w:rPr>
                      <m:t>inlet</m:t>
                    </m:r>
                  </m:sub>
                  <m:sup/>
                  <m:e>
                    <m:sSub>
                      <m:sSubPr>
                        <m:ctrlPr>
                          <w:rPr>
                            <w:rFonts w:ascii="Cambria Math" w:eastAsia="MS Mincho" w:hAnsi="Cambria Math"/>
                            <w:sz w:val="20"/>
                            <w:szCs w:val="20"/>
                            <w:lang w:val="en-US"/>
                          </w:rPr>
                        </m:ctrlPr>
                      </m:sSubPr>
                      <m:e>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m</m:t>
                            </m:r>
                          </m:e>
                        </m:acc>
                      </m:e>
                      <m:sub>
                        <m:r>
                          <w:rPr>
                            <w:rFonts w:ascii="Cambria Math" w:eastAsia="MS Mincho" w:hAnsi="Cambria Math"/>
                            <w:sz w:val="20"/>
                            <w:szCs w:val="20"/>
                            <w:lang w:val="en-US"/>
                          </w:rPr>
                          <m:t>i</m:t>
                        </m:r>
                      </m:sub>
                    </m:sSub>
                  </m:e>
                </m:nary>
                <m:r>
                  <m:rPr>
                    <m:sty m:val="p"/>
                  </m:rPr>
                  <w:rPr>
                    <w:rFonts w:ascii="Cambria Math" w:eastAsia="MS Mincho" w:hAnsi="Cambria Math"/>
                    <w:sz w:val="20"/>
                    <w:szCs w:val="20"/>
                    <w:lang w:val="en-US"/>
                  </w:rPr>
                  <m:t>=</m:t>
                </m:r>
                <m:nary>
                  <m:naryPr>
                    <m:chr m:val="∑"/>
                    <m:limLoc m:val="undOvr"/>
                    <m:supHide m:val="1"/>
                    <m:ctrlPr>
                      <w:rPr>
                        <w:rFonts w:ascii="Cambria Math" w:eastAsia="MS Mincho" w:hAnsi="Cambria Math"/>
                        <w:sz w:val="20"/>
                        <w:szCs w:val="20"/>
                        <w:lang w:val="en-US"/>
                      </w:rPr>
                    </m:ctrlPr>
                  </m:naryPr>
                  <m:sub>
                    <m:r>
                      <w:rPr>
                        <w:rFonts w:ascii="Cambria Math" w:eastAsia="MS Mincho" w:hAnsi="Cambria Math"/>
                        <w:sz w:val="20"/>
                        <w:szCs w:val="20"/>
                        <w:lang w:val="en-US"/>
                      </w:rPr>
                      <m:t>outlet</m:t>
                    </m:r>
                  </m:sub>
                  <m:sup/>
                  <m:e>
                    <m:sSub>
                      <m:sSubPr>
                        <m:ctrlPr>
                          <w:rPr>
                            <w:rFonts w:ascii="Cambria Math" w:eastAsia="MS Mincho" w:hAnsi="Cambria Math"/>
                            <w:sz w:val="20"/>
                            <w:szCs w:val="20"/>
                            <w:lang w:val="en-US"/>
                          </w:rPr>
                        </m:ctrlPr>
                      </m:sSubPr>
                      <m:e>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m</m:t>
                            </m:r>
                          </m:e>
                        </m:acc>
                      </m:e>
                      <m:sub>
                        <m:r>
                          <w:rPr>
                            <w:rFonts w:ascii="Cambria Math" w:eastAsia="MS Mincho" w:hAnsi="Cambria Math"/>
                            <w:sz w:val="20"/>
                            <w:szCs w:val="20"/>
                            <w:lang w:val="en-US"/>
                          </w:rPr>
                          <m:t>e</m:t>
                        </m:r>
                      </m:sub>
                    </m:sSub>
                  </m:e>
                </m:nary>
              </m:oMath>
            </m:oMathPara>
          </w:p>
        </w:tc>
        <w:tc>
          <w:tcPr>
            <w:tcW w:w="454" w:type="pct"/>
            <w:tcBorders>
              <w:top w:val="nil"/>
              <w:left w:val="nil"/>
              <w:bottom w:val="nil"/>
              <w:right w:val="nil"/>
            </w:tcBorders>
            <w:vAlign w:val="center"/>
          </w:tcPr>
          <w:p w14:paraId="6982C2F8" w14:textId="77777777" w:rsidR="009137BB" w:rsidRPr="009361EA" w:rsidRDefault="009137BB" w:rsidP="009137BB">
            <w:pPr>
              <w:autoSpaceDE/>
              <w:autoSpaceDN/>
              <w:rPr>
                <w:rFonts w:eastAsia="MS Mincho"/>
                <w:szCs w:val="22"/>
                <w:lang w:val="en-US"/>
              </w:rPr>
            </w:pPr>
            <w:r w:rsidRPr="009361EA">
              <w:rPr>
                <w:rFonts w:eastAsia="MS Mincho"/>
                <w:szCs w:val="22"/>
                <w:lang w:val="en-US"/>
              </w:rPr>
              <w:t>(</w:t>
            </w:r>
            <w:r w:rsidRPr="009361EA">
              <w:rPr>
                <w:rFonts w:eastAsia="MS Mincho"/>
                <w:noProof/>
                <w:szCs w:val="22"/>
                <w:lang w:val="en-US"/>
              </w:rPr>
              <w:t>1</w:t>
            </w:r>
            <w:r w:rsidRPr="009361EA">
              <w:rPr>
                <w:rFonts w:eastAsia="MS Mincho"/>
                <w:szCs w:val="22"/>
                <w:lang w:val="en-US"/>
              </w:rPr>
              <w:t>)</w:t>
            </w:r>
          </w:p>
        </w:tc>
      </w:tr>
      <w:tr w:rsidR="009361EA" w:rsidRPr="009361EA" w14:paraId="511C2FC6" w14:textId="77777777" w:rsidTr="00FD4F17">
        <w:tc>
          <w:tcPr>
            <w:tcW w:w="4546" w:type="pct"/>
            <w:tcBorders>
              <w:top w:val="nil"/>
              <w:left w:val="nil"/>
              <w:bottom w:val="nil"/>
              <w:right w:val="nil"/>
            </w:tcBorders>
            <w:vAlign w:val="center"/>
          </w:tcPr>
          <w:p w14:paraId="08F11D25" w14:textId="77777777" w:rsidR="009137BB" w:rsidRPr="009361EA" w:rsidRDefault="00B849AD" w:rsidP="009137BB">
            <w:pPr>
              <w:autoSpaceDE/>
              <w:autoSpaceDN/>
              <w:rPr>
                <w:rFonts w:eastAsia="MS Mincho"/>
                <w:sz w:val="20"/>
                <w:szCs w:val="20"/>
                <w:lang w:val="en-US"/>
              </w:rPr>
            </w:pPr>
            <m:oMathPara>
              <m:oMath>
                <m:nary>
                  <m:naryPr>
                    <m:chr m:val="∑"/>
                    <m:limLoc m:val="undOvr"/>
                    <m:supHide m:val="1"/>
                    <m:ctrlPr>
                      <w:rPr>
                        <w:rFonts w:ascii="Cambria Math" w:eastAsia="MS Mincho" w:hAnsi="Cambria Math"/>
                        <w:sz w:val="20"/>
                        <w:szCs w:val="20"/>
                        <w:lang w:val="en-US"/>
                      </w:rPr>
                    </m:ctrlPr>
                  </m:naryPr>
                  <m:sub>
                    <m:r>
                      <w:rPr>
                        <w:rFonts w:ascii="Cambria Math" w:eastAsia="MS Mincho" w:hAnsi="Cambria Math"/>
                        <w:sz w:val="20"/>
                        <w:szCs w:val="20"/>
                        <w:lang w:val="en-US"/>
                      </w:rPr>
                      <m:t>inlet</m:t>
                    </m:r>
                  </m:sub>
                  <m:sup/>
                  <m:e>
                    <m:sSub>
                      <m:sSubPr>
                        <m:ctrlPr>
                          <w:rPr>
                            <w:rFonts w:ascii="Cambria Math" w:eastAsia="MS Mincho" w:hAnsi="Cambria Math"/>
                            <w:sz w:val="20"/>
                            <w:szCs w:val="20"/>
                            <w:lang w:val="en-US"/>
                          </w:rPr>
                        </m:ctrlPr>
                      </m:sSubPr>
                      <m:e>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m</m:t>
                            </m:r>
                          </m:e>
                        </m:acc>
                      </m:e>
                      <m:sub>
                        <m:r>
                          <w:rPr>
                            <w:rFonts w:ascii="Cambria Math" w:eastAsia="MS Mincho" w:hAnsi="Cambria Math"/>
                            <w:sz w:val="20"/>
                            <w:szCs w:val="20"/>
                            <w:lang w:val="en-US"/>
                          </w:rPr>
                          <m:t>i</m:t>
                        </m:r>
                      </m:sub>
                    </m:sSub>
                    <m:sSub>
                      <m:sSubPr>
                        <m:ctrlPr>
                          <w:rPr>
                            <w:rFonts w:ascii="Cambria Math" w:eastAsia="MS Mincho" w:hAnsi="Cambria Math"/>
                            <w:sz w:val="20"/>
                            <w:szCs w:val="20"/>
                            <w:lang w:val="en-US"/>
                          </w:rPr>
                        </m:ctrlPr>
                      </m:sSubPr>
                      <m:e>
                        <m:r>
                          <w:rPr>
                            <w:rFonts w:ascii="Cambria Math" w:eastAsia="MS Mincho" w:hAnsi="Cambria Math"/>
                            <w:sz w:val="20"/>
                            <w:szCs w:val="20"/>
                            <w:lang w:val="en-US"/>
                          </w:rPr>
                          <m:t>h</m:t>
                        </m:r>
                      </m:e>
                      <m:sub>
                        <m:r>
                          <w:rPr>
                            <w:rFonts w:ascii="Cambria Math" w:eastAsia="MS Mincho" w:hAnsi="Cambria Math"/>
                            <w:sz w:val="20"/>
                            <w:szCs w:val="20"/>
                            <w:lang w:val="en-US"/>
                          </w:rPr>
                          <m:t>i</m:t>
                        </m:r>
                      </m:sub>
                    </m:sSub>
                  </m:e>
                </m:nary>
                <m:r>
                  <m:rPr>
                    <m:sty m:val="p"/>
                  </m:rPr>
                  <w:rPr>
                    <w:rFonts w:ascii="Cambria Math" w:eastAsia="MS Mincho" w:hAnsi="Cambria Math"/>
                    <w:sz w:val="20"/>
                    <w:szCs w:val="20"/>
                    <w:lang w:val="en-US"/>
                  </w:rPr>
                  <m:t>+</m:t>
                </m:r>
                <m:sSub>
                  <m:sSubPr>
                    <m:ctrlPr>
                      <w:rPr>
                        <w:rFonts w:ascii="Cambria Math" w:eastAsia="MS Mincho" w:hAnsi="Cambria Math"/>
                        <w:sz w:val="20"/>
                        <w:szCs w:val="20"/>
                        <w:lang w:val="en-US"/>
                      </w:rPr>
                    </m:ctrlPr>
                  </m:sSubPr>
                  <m:e>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Q</m:t>
                        </m:r>
                      </m:e>
                    </m:acc>
                  </m:e>
                  <m:sub>
                    <m:r>
                      <w:rPr>
                        <w:rFonts w:ascii="Cambria Math" w:eastAsia="MS Mincho" w:hAnsi="Cambria Math"/>
                        <w:sz w:val="20"/>
                        <w:szCs w:val="20"/>
                        <w:lang w:val="en-US"/>
                      </w:rPr>
                      <m:t>CV</m:t>
                    </m:r>
                  </m:sub>
                </m:sSub>
                <m:r>
                  <m:rPr>
                    <m:sty m:val="p"/>
                  </m:rPr>
                  <w:rPr>
                    <w:rFonts w:ascii="Cambria Math" w:eastAsia="MS Mincho" w:hAnsi="Cambria Math"/>
                    <w:sz w:val="20"/>
                    <w:szCs w:val="20"/>
                    <w:lang w:val="en-US"/>
                  </w:rPr>
                  <m:t>=</m:t>
                </m:r>
                <m:nary>
                  <m:naryPr>
                    <m:chr m:val="∑"/>
                    <m:limLoc m:val="undOvr"/>
                    <m:supHide m:val="1"/>
                    <m:ctrlPr>
                      <w:rPr>
                        <w:rFonts w:ascii="Cambria Math" w:eastAsia="MS Mincho" w:hAnsi="Cambria Math"/>
                        <w:sz w:val="20"/>
                        <w:szCs w:val="20"/>
                        <w:lang w:val="en-US"/>
                      </w:rPr>
                    </m:ctrlPr>
                  </m:naryPr>
                  <m:sub>
                    <m:r>
                      <w:rPr>
                        <w:rFonts w:ascii="Cambria Math" w:eastAsia="MS Mincho" w:hAnsi="Cambria Math"/>
                        <w:sz w:val="20"/>
                        <w:szCs w:val="20"/>
                        <w:lang w:val="en-US"/>
                      </w:rPr>
                      <m:t>outlet</m:t>
                    </m:r>
                  </m:sub>
                  <m:sup/>
                  <m:e>
                    <m:sSub>
                      <m:sSubPr>
                        <m:ctrlPr>
                          <w:rPr>
                            <w:rFonts w:ascii="Cambria Math" w:eastAsia="MS Mincho" w:hAnsi="Cambria Math"/>
                            <w:sz w:val="20"/>
                            <w:szCs w:val="20"/>
                            <w:lang w:val="en-US"/>
                          </w:rPr>
                        </m:ctrlPr>
                      </m:sSubPr>
                      <m:e>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m</m:t>
                            </m:r>
                          </m:e>
                        </m:acc>
                      </m:e>
                      <m:sub>
                        <m:r>
                          <w:rPr>
                            <w:rFonts w:ascii="Cambria Math" w:eastAsia="MS Mincho" w:hAnsi="Cambria Math"/>
                            <w:sz w:val="20"/>
                            <w:szCs w:val="20"/>
                            <w:lang w:val="en-US"/>
                          </w:rPr>
                          <m:t>e</m:t>
                        </m:r>
                      </m:sub>
                    </m:sSub>
                    <m:sSub>
                      <m:sSubPr>
                        <m:ctrlPr>
                          <w:rPr>
                            <w:rFonts w:ascii="Cambria Math" w:eastAsia="MS Mincho" w:hAnsi="Cambria Math"/>
                            <w:sz w:val="20"/>
                            <w:szCs w:val="20"/>
                            <w:lang w:val="en-US"/>
                          </w:rPr>
                        </m:ctrlPr>
                      </m:sSubPr>
                      <m:e>
                        <m:r>
                          <w:rPr>
                            <w:rFonts w:ascii="Cambria Math" w:eastAsia="MS Mincho" w:hAnsi="Cambria Math"/>
                            <w:sz w:val="20"/>
                            <w:szCs w:val="20"/>
                            <w:lang w:val="en-US"/>
                          </w:rPr>
                          <m:t>h</m:t>
                        </m:r>
                      </m:e>
                      <m:sub>
                        <m:r>
                          <w:rPr>
                            <w:rFonts w:ascii="Cambria Math" w:eastAsia="MS Mincho" w:hAnsi="Cambria Math"/>
                            <w:sz w:val="20"/>
                            <w:szCs w:val="20"/>
                            <w:lang w:val="en-US"/>
                          </w:rPr>
                          <m:t>e</m:t>
                        </m:r>
                      </m:sub>
                    </m:sSub>
                    <m:r>
                      <m:rPr>
                        <m:sty m:val="p"/>
                      </m:rPr>
                      <w:rPr>
                        <w:rFonts w:ascii="Cambria Math" w:eastAsia="MS Mincho" w:hAnsi="Cambria Math"/>
                        <w:sz w:val="20"/>
                        <w:szCs w:val="20"/>
                        <w:lang w:val="en-US"/>
                      </w:rPr>
                      <m:t>+</m:t>
                    </m:r>
                  </m:e>
                </m:nary>
                <m:sSub>
                  <m:sSubPr>
                    <m:ctrlPr>
                      <w:rPr>
                        <w:rFonts w:ascii="Cambria Math" w:eastAsia="MS Mincho" w:hAnsi="Cambria Math"/>
                        <w:sz w:val="20"/>
                        <w:szCs w:val="20"/>
                        <w:lang w:val="en-US"/>
                      </w:rPr>
                    </m:ctrlPr>
                  </m:sSubPr>
                  <m:e>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W</m:t>
                        </m:r>
                      </m:e>
                    </m:acc>
                  </m:e>
                  <m:sub>
                    <m:r>
                      <w:rPr>
                        <w:rFonts w:ascii="Cambria Math" w:eastAsia="MS Mincho" w:hAnsi="Cambria Math"/>
                        <w:sz w:val="20"/>
                        <w:szCs w:val="20"/>
                        <w:lang w:val="en-US"/>
                      </w:rPr>
                      <m:t>CV</m:t>
                    </m:r>
                  </m:sub>
                </m:sSub>
              </m:oMath>
            </m:oMathPara>
          </w:p>
        </w:tc>
        <w:tc>
          <w:tcPr>
            <w:tcW w:w="454" w:type="pct"/>
            <w:tcBorders>
              <w:top w:val="nil"/>
              <w:left w:val="nil"/>
              <w:bottom w:val="nil"/>
              <w:right w:val="nil"/>
            </w:tcBorders>
            <w:vAlign w:val="center"/>
          </w:tcPr>
          <w:p w14:paraId="24F7CA64" w14:textId="77777777" w:rsidR="009137BB" w:rsidRPr="009361EA" w:rsidRDefault="009137BB" w:rsidP="009137BB">
            <w:pPr>
              <w:autoSpaceDE/>
              <w:autoSpaceDN/>
              <w:rPr>
                <w:rFonts w:eastAsia="MS Mincho"/>
                <w:szCs w:val="22"/>
                <w:lang w:val="en-US"/>
              </w:rPr>
            </w:pPr>
            <w:r w:rsidRPr="009361EA">
              <w:rPr>
                <w:rFonts w:eastAsia="MS Mincho"/>
                <w:szCs w:val="22"/>
                <w:lang w:val="en-US"/>
              </w:rPr>
              <w:t>(</w:t>
            </w:r>
            <w:r w:rsidRPr="009361EA">
              <w:rPr>
                <w:rFonts w:eastAsia="MS Mincho"/>
                <w:noProof/>
                <w:szCs w:val="22"/>
                <w:lang w:val="en-US"/>
              </w:rPr>
              <w:t>2</w:t>
            </w:r>
            <w:r w:rsidRPr="009361EA">
              <w:rPr>
                <w:rFonts w:eastAsia="MS Mincho"/>
                <w:szCs w:val="22"/>
                <w:lang w:val="en-US"/>
              </w:rPr>
              <w:t>)</w:t>
            </w:r>
          </w:p>
        </w:tc>
      </w:tr>
      <w:tr w:rsidR="009137BB" w:rsidRPr="009361EA" w14:paraId="55A9D5BB" w14:textId="77777777" w:rsidTr="00FD4F17">
        <w:tc>
          <w:tcPr>
            <w:tcW w:w="4546" w:type="pct"/>
            <w:tcBorders>
              <w:top w:val="nil"/>
              <w:left w:val="nil"/>
              <w:bottom w:val="nil"/>
              <w:right w:val="nil"/>
            </w:tcBorders>
            <w:shd w:val="clear" w:color="auto" w:fill="auto"/>
            <w:vAlign w:val="center"/>
          </w:tcPr>
          <w:p w14:paraId="4161A9C7" w14:textId="77777777" w:rsidR="009137BB" w:rsidRPr="009361EA" w:rsidRDefault="00B849AD" w:rsidP="009137BB">
            <w:pPr>
              <w:autoSpaceDE/>
              <w:autoSpaceDN/>
              <w:rPr>
                <w:rFonts w:eastAsia="MS Mincho"/>
                <w:sz w:val="20"/>
                <w:szCs w:val="20"/>
                <w:lang w:val="en-US"/>
              </w:rPr>
            </w:pPr>
            <m:oMathPara>
              <m:oMath>
                <m:nary>
                  <m:naryPr>
                    <m:chr m:val="∑"/>
                    <m:limLoc m:val="undOvr"/>
                    <m:supHide m:val="1"/>
                    <m:ctrlPr>
                      <w:rPr>
                        <w:rFonts w:ascii="Cambria Math" w:eastAsia="MS Mincho" w:hAnsi="Cambria Math"/>
                        <w:sz w:val="20"/>
                        <w:szCs w:val="20"/>
                        <w:lang w:val="en-US"/>
                      </w:rPr>
                    </m:ctrlPr>
                  </m:naryPr>
                  <m:sub>
                    <m:r>
                      <w:rPr>
                        <w:rFonts w:ascii="Cambria Math" w:eastAsia="MS Mincho" w:hAnsi="Cambria Math"/>
                        <w:sz w:val="20"/>
                        <w:szCs w:val="20"/>
                        <w:lang w:val="en-US"/>
                      </w:rPr>
                      <m:t>inlet</m:t>
                    </m:r>
                  </m:sub>
                  <m:sup/>
                  <m:e>
                    <m:sSub>
                      <m:sSubPr>
                        <m:ctrlPr>
                          <w:rPr>
                            <w:rFonts w:ascii="Cambria Math" w:eastAsia="MS Mincho" w:hAnsi="Cambria Math"/>
                            <w:sz w:val="20"/>
                            <w:szCs w:val="20"/>
                            <w:lang w:val="en-US"/>
                          </w:rPr>
                        </m:ctrlPr>
                      </m:sSubPr>
                      <m:e>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m</m:t>
                            </m:r>
                          </m:e>
                        </m:acc>
                      </m:e>
                      <m:sub>
                        <m:r>
                          <w:rPr>
                            <w:rFonts w:ascii="Cambria Math" w:eastAsia="MS Mincho" w:hAnsi="Cambria Math"/>
                            <w:sz w:val="20"/>
                            <w:szCs w:val="20"/>
                            <w:lang w:val="en-US"/>
                          </w:rPr>
                          <m:t>i</m:t>
                        </m:r>
                      </m:sub>
                    </m:sSub>
                    <m:sSub>
                      <m:sSubPr>
                        <m:ctrlPr>
                          <w:rPr>
                            <w:rFonts w:ascii="Cambria Math" w:eastAsia="MS Mincho" w:hAnsi="Cambria Math"/>
                            <w:sz w:val="20"/>
                            <w:szCs w:val="20"/>
                            <w:lang w:val="en-US"/>
                          </w:rPr>
                        </m:ctrlPr>
                      </m:sSubPr>
                      <m:e>
                        <m:r>
                          <w:rPr>
                            <w:rFonts w:ascii="Cambria Math" w:eastAsia="MS Mincho" w:hAnsi="Cambria Math"/>
                            <w:sz w:val="20"/>
                            <w:szCs w:val="20"/>
                            <w:lang w:val="en-US"/>
                          </w:rPr>
                          <m:t>b</m:t>
                        </m:r>
                      </m:e>
                      <m:sub>
                        <m:r>
                          <w:rPr>
                            <w:rFonts w:ascii="Cambria Math" w:eastAsia="MS Mincho" w:hAnsi="Cambria Math"/>
                            <w:sz w:val="20"/>
                            <w:szCs w:val="20"/>
                            <w:lang w:val="en-US"/>
                          </w:rPr>
                          <m:t>i</m:t>
                        </m:r>
                      </m:sub>
                    </m:sSub>
                  </m:e>
                </m:nary>
                <m:r>
                  <m:rPr>
                    <m:sty m:val="p"/>
                  </m:rPr>
                  <w:rPr>
                    <w:rFonts w:ascii="Cambria Math" w:eastAsia="MS Mincho" w:hAnsi="Cambria Math"/>
                    <w:sz w:val="20"/>
                    <w:szCs w:val="20"/>
                    <w:lang w:val="en-US"/>
                  </w:rPr>
                  <m:t>+</m:t>
                </m:r>
                <m:sSub>
                  <m:sSubPr>
                    <m:ctrlPr>
                      <w:rPr>
                        <w:rFonts w:ascii="Cambria Math" w:eastAsia="MS Mincho" w:hAnsi="Cambria Math"/>
                        <w:sz w:val="20"/>
                        <w:szCs w:val="20"/>
                        <w:lang w:val="en-US"/>
                      </w:rPr>
                    </m:ctrlPr>
                  </m:sSubPr>
                  <m:e>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Q</m:t>
                        </m:r>
                      </m:e>
                    </m:acc>
                  </m:e>
                  <m:sub>
                    <m:sSub>
                      <m:sSubPr>
                        <m:ctrlPr>
                          <w:rPr>
                            <w:rFonts w:ascii="Cambria Math" w:eastAsia="MS Mincho" w:hAnsi="Cambria Math"/>
                            <w:i/>
                            <w:sz w:val="20"/>
                            <w:szCs w:val="20"/>
                            <w:lang w:val="en-US"/>
                          </w:rPr>
                        </m:ctrlPr>
                      </m:sSubPr>
                      <m:e>
                        <m:r>
                          <w:rPr>
                            <w:rFonts w:ascii="Cambria Math" w:eastAsia="MS Mincho" w:hAnsi="Cambria Math"/>
                            <w:sz w:val="20"/>
                            <w:szCs w:val="20"/>
                            <w:lang w:val="en-US"/>
                          </w:rPr>
                          <m:t>CV</m:t>
                        </m:r>
                      </m:e>
                      <m:sub>
                        <m:r>
                          <w:rPr>
                            <w:rFonts w:ascii="Cambria Math" w:eastAsia="MS Mincho" w:hAnsi="Cambria Math"/>
                            <w:sz w:val="20"/>
                            <w:szCs w:val="20"/>
                            <w:lang w:val="en-US"/>
                          </w:rPr>
                          <m:t>i</m:t>
                        </m:r>
                      </m:sub>
                    </m:sSub>
                  </m:sub>
                </m:sSub>
                <m:d>
                  <m:dPr>
                    <m:ctrlPr>
                      <w:rPr>
                        <w:rFonts w:ascii="Cambria Math" w:eastAsia="MS Mincho" w:hAnsi="Cambria Math"/>
                        <w:sz w:val="20"/>
                        <w:szCs w:val="20"/>
                        <w:lang w:val="en-US"/>
                      </w:rPr>
                    </m:ctrlPr>
                  </m:dPr>
                  <m:e>
                    <m:r>
                      <m:rPr>
                        <m:sty m:val="p"/>
                      </m:rPr>
                      <w:rPr>
                        <w:rFonts w:ascii="Cambria Math" w:eastAsia="MS Mincho" w:hAnsi="Cambria Math"/>
                        <w:sz w:val="20"/>
                        <w:szCs w:val="20"/>
                        <w:lang w:val="en-US"/>
                      </w:rPr>
                      <m:t>1-</m:t>
                    </m:r>
                    <m:f>
                      <m:fPr>
                        <m:ctrlPr>
                          <w:rPr>
                            <w:rFonts w:ascii="Cambria Math" w:eastAsia="MS Mincho" w:hAnsi="Cambria Math"/>
                            <w:sz w:val="20"/>
                            <w:szCs w:val="20"/>
                            <w:lang w:val="en-US"/>
                          </w:rPr>
                        </m:ctrlPr>
                      </m:fPr>
                      <m:num>
                        <m:r>
                          <w:rPr>
                            <w:rFonts w:ascii="Cambria Math" w:eastAsia="MS Mincho" w:hAnsi="Cambria Math"/>
                            <w:sz w:val="20"/>
                            <w:szCs w:val="20"/>
                            <w:lang w:val="en-US"/>
                          </w:rPr>
                          <m:t>To</m:t>
                        </m:r>
                      </m:num>
                      <m:den>
                        <m:r>
                          <w:rPr>
                            <w:rFonts w:ascii="Cambria Math" w:eastAsia="MS Mincho" w:hAnsi="Cambria Math"/>
                            <w:sz w:val="20"/>
                            <w:szCs w:val="20"/>
                            <w:lang w:val="en-US"/>
                          </w:rPr>
                          <m:t>T</m:t>
                        </m:r>
                      </m:den>
                    </m:f>
                  </m:e>
                </m:d>
                <m:r>
                  <m:rPr>
                    <m:sty m:val="p"/>
                  </m:rPr>
                  <w:rPr>
                    <w:rFonts w:ascii="Cambria Math" w:eastAsia="MS Mincho" w:hAnsi="Cambria Math"/>
                    <w:sz w:val="20"/>
                    <w:szCs w:val="20"/>
                    <w:lang w:val="en-US"/>
                  </w:rPr>
                  <m:t>=</m:t>
                </m:r>
                <m:nary>
                  <m:naryPr>
                    <m:chr m:val="∑"/>
                    <m:limLoc m:val="undOvr"/>
                    <m:supHide m:val="1"/>
                    <m:ctrlPr>
                      <w:rPr>
                        <w:rFonts w:ascii="Cambria Math" w:eastAsia="MS Mincho" w:hAnsi="Cambria Math"/>
                        <w:sz w:val="20"/>
                        <w:szCs w:val="20"/>
                        <w:lang w:val="en-US"/>
                      </w:rPr>
                    </m:ctrlPr>
                  </m:naryPr>
                  <m:sub>
                    <m:r>
                      <w:rPr>
                        <w:rFonts w:ascii="Cambria Math" w:eastAsia="MS Mincho" w:hAnsi="Cambria Math"/>
                        <w:sz w:val="20"/>
                        <w:szCs w:val="20"/>
                        <w:lang w:val="en-US"/>
                      </w:rPr>
                      <m:t>outlet</m:t>
                    </m:r>
                  </m:sub>
                  <m:sup/>
                  <m:e>
                    <m:sSub>
                      <m:sSubPr>
                        <m:ctrlPr>
                          <w:rPr>
                            <w:rFonts w:ascii="Cambria Math" w:eastAsia="MS Mincho" w:hAnsi="Cambria Math"/>
                            <w:sz w:val="20"/>
                            <w:szCs w:val="20"/>
                            <w:lang w:val="en-US"/>
                          </w:rPr>
                        </m:ctrlPr>
                      </m:sSubPr>
                      <m:e>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m</m:t>
                            </m:r>
                          </m:e>
                        </m:acc>
                      </m:e>
                      <m:sub>
                        <m:r>
                          <w:rPr>
                            <w:rFonts w:ascii="Cambria Math" w:eastAsia="MS Mincho" w:hAnsi="Cambria Math"/>
                            <w:sz w:val="20"/>
                            <w:szCs w:val="20"/>
                            <w:lang w:val="en-US"/>
                          </w:rPr>
                          <m:t>e</m:t>
                        </m:r>
                      </m:sub>
                    </m:sSub>
                    <m:sSub>
                      <m:sSubPr>
                        <m:ctrlPr>
                          <w:rPr>
                            <w:rFonts w:ascii="Cambria Math" w:eastAsia="MS Mincho" w:hAnsi="Cambria Math"/>
                            <w:sz w:val="20"/>
                            <w:szCs w:val="20"/>
                            <w:lang w:val="en-US"/>
                          </w:rPr>
                        </m:ctrlPr>
                      </m:sSubPr>
                      <m:e>
                        <m:r>
                          <w:rPr>
                            <w:rFonts w:ascii="Cambria Math" w:eastAsia="MS Mincho" w:hAnsi="Cambria Math"/>
                            <w:sz w:val="20"/>
                            <w:szCs w:val="20"/>
                            <w:lang w:val="en-US"/>
                          </w:rPr>
                          <m:t>b</m:t>
                        </m:r>
                      </m:e>
                      <m:sub>
                        <m:r>
                          <w:rPr>
                            <w:rFonts w:ascii="Cambria Math" w:eastAsia="MS Mincho" w:hAnsi="Cambria Math"/>
                            <w:sz w:val="20"/>
                            <w:szCs w:val="20"/>
                            <w:lang w:val="en-US"/>
                          </w:rPr>
                          <m:t>e</m:t>
                        </m:r>
                      </m:sub>
                    </m:sSub>
                  </m:e>
                </m:nary>
                <m:sSub>
                  <m:sSubPr>
                    <m:ctrlPr>
                      <w:rPr>
                        <w:rFonts w:ascii="Cambria Math" w:eastAsia="MS Mincho" w:hAnsi="Cambria Math"/>
                        <w:sz w:val="20"/>
                        <w:szCs w:val="20"/>
                        <w:lang w:val="en-US"/>
                      </w:rPr>
                    </m:ctrlPr>
                  </m:sSubPr>
                  <m:e>
                    <m:r>
                      <m:rPr>
                        <m:sty m:val="p"/>
                      </m:rPr>
                      <w:rPr>
                        <w:rFonts w:ascii="Cambria Math" w:eastAsia="MS Mincho" w:hAnsi="Cambria Math"/>
                        <w:sz w:val="20"/>
                        <w:szCs w:val="20"/>
                        <w:lang w:val="en-US"/>
                      </w:rPr>
                      <m:t xml:space="preserve">+ </m:t>
                    </m:r>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W</m:t>
                        </m:r>
                      </m:e>
                    </m:acc>
                  </m:e>
                  <m:sub>
                    <m:sSub>
                      <m:sSubPr>
                        <m:ctrlPr>
                          <w:rPr>
                            <w:rFonts w:ascii="Cambria Math" w:eastAsia="MS Mincho" w:hAnsi="Cambria Math"/>
                            <w:i/>
                            <w:sz w:val="20"/>
                            <w:szCs w:val="20"/>
                            <w:lang w:val="en-US"/>
                          </w:rPr>
                        </m:ctrlPr>
                      </m:sSubPr>
                      <m:e>
                        <m:r>
                          <w:rPr>
                            <w:rFonts w:ascii="Cambria Math" w:eastAsia="MS Mincho" w:hAnsi="Cambria Math"/>
                            <w:sz w:val="20"/>
                            <w:szCs w:val="20"/>
                            <w:lang w:val="en-US"/>
                          </w:rPr>
                          <m:t>CV</m:t>
                        </m:r>
                      </m:e>
                      <m:sub>
                        <m:r>
                          <w:rPr>
                            <w:rFonts w:ascii="Cambria Math" w:eastAsia="MS Mincho" w:hAnsi="Cambria Math"/>
                            <w:sz w:val="20"/>
                            <w:szCs w:val="20"/>
                            <w:lang w:val="en-US"/>
                          </w:rPr>
                          <m:t>e</m:t>
                        </m:r>
                      </m:sub>
                    </m:sSub>
                  </m:sub>
                </m:sSub>
                <m:r>
                  <m:rPr>
                    <m:sty m:val="p"/>
                  </m:rPr>
                  <w:rPr>
                    <w:rFonts w:ascii="Cambria Math" w:eastAsia="MS Mincho" w:hAnsi="Cambria Math"/>
                    <w:sz w:val="20"/>
                    <w:szCs w:val="20"/>
                    <w:lang w:val="en-US"/>
                  </w:rPr>
                  <m:t>+</m:t>
                </m:r>
                <m:acc>
                  <m:accPr>
                    <m:chr m:val="̇"/>
                    <m:ctrlPr>
                      <w:rPr>
                        <w:rFonts w:ascii="Cambria Math" w:eastAsia="MS Mincho" w:hAnsi="Cambria Math"/>
                        <w:sz w:val="20"/>
                        <w:szCs w:val="20"/>
                        <w:lang w:val="en-US"/>
                      </w:rPr>
                    </m:ctrlPr>
                  </m:accPr>
                  <m:e>
                    <m:r>
                      <w:rPr>
                        <w:rFonts w:ascii="Cambria Math" w:eastAsia="MS Mincho" w:hAnsi="Cambria Math"/>
                        <w:sz w:val="20"/>
                        <w:szCs w:val="20"/>
                        <w:lang w:val="en-US"/>
                      </w:rPr>
                      <m:t>I</m:t>
                    </m:r>
                  </m:e>
                </m:acc>
              </m:oMath>
            </m:oMathPara>
          </w:p>
        </w:tc>
        <w:tc>
          <w:tcPr>
            <w:tcW w:w="454" w:type="pct"/>
            <w:tcBorders>
              <w:top w:val="nil"/>
              <w:left w:val="nil"/>
              <w:bottom w:val="nil"/>
              <w:right w:val="nil"/>
            </w:tcBorders>
            <w:vAlign w:val="center"/>
          </w:tcPr>
          <w:p w14:paraId="5ABB11E1" w14:textId="77777777" w:rsidR="009137BB" w:rsidRPr="009361EA" w:rsidRDefault="009137BB" w:rsidP="009137BB">
            <w:pPr>
              <w:autoSpaceDE/>
              <w:autoSpaceDN/>
              <w:rPr>
                <w:rFonts w:eastAsia="MS Mincho"/>
                <w:sz w:val="16"/>
                <w:szCs w:val="16"/>
                <w:lang w:val="en-US"/>
              </w:rPr>
            </w:pPr>
            <w:r w:rsidRPr="009361EA">
              <w:rPr>
                <w:rFonts w:eastAsia="MS Mincho"/>
                <w:szCs w:val="22"/>
                <w:lang w:val="en-US"/>
              </w:rPr>
              <w:t>(3)</w:t>
            </w:r>
          </w:p>
        </w:tc>
      </w:tr>
    </w:tbl>
    <w:p w14:paraId="6F793D79" w14:textId="77777777" w:rsidR="0089654B" w:rsidRPr="009361EA" w:rsidRDefault="0089654B" w:rsidP="009137BB">
      <w:pPr>
        <w:autoSpaceDE/>
        <w:autoSpaceDN/>
        <w:rPr>
          <w:rFonts w:eastAsia="MS Mincho"/>
          <w:szCs w:val="22"/>
          <w:lang w:val="en-US"/>
        </w:rPr>
      </w:pPr>
    </w:p>
    <w:p w14:paraId="1938434B" w14:textId="6AF92470" w:rsidR="00603AEA" w:rsidRPr="009361EA" w:rsidRDefault="009137BB" w:rsidP="008E74FB">
      <w:pPr>
        <w:autoSpaceDE/>
        <w:autoSpaceDN/>
        <w:spacing w:line="360" w:lineRule="auto"/>
        <w:rPr>
          <w:rFonts w:eastAsia="MS Mincho"/>
          <w:szCs w:val="22"/>
          <w:lang w:val="en-US"/>
        </w:rPr>
      </w:pPr>
      <w:r w:rsidRPr="009361EA">
        <w:rPr>
          <w:rFonts w:eastAsia="MS Mincho"/>
          <w:szCs w:val="22"/>
          <w:lang w:val="en-US"/>
        </w:rPr>
        <w:lastRenderedPageBreak/>
        <w:t>In this work, the chemical (</w:t>
      </w:r>
      <w:proofErr w:type="spellStart"/>
      <w:r w:rsidRPr="009361EA">
        <w:rPr>
          <w:rFonts w:eastAsia="MS Mincho"/>
          <w:szCs w:val="22"/>
          <w:lang w:val="en-US"/>
        </w:rPr>
        <w:t>b</w:t>
      </w:r>
      <w:r w:rsidRPr="009361EA">
        <w:rPr>
          <w:rFonts w:eastAsia="MS Mincho"/>
          <w:szCs w:val="22"/>
          <w:vertAlign w:val="subscript"/>
          <w:lang w:val="en-US"/>
        </w:rPr>
        <w:t>CH</w:t>
      </w:r>
      <w:proofErr w:type="spellEnd"/>
      <w:r w:rsidRPr="009361EA">
        <w:rPr>
          <w:rFonts w:eastAsia="MS Mincho"/>
          <w:szCs w:val="22"/>
          <w:lang w:val="en-US"/>
        </w:rPr>
        <w:t>) and physical (</w:t>
      </w:r>
      <w:proofErr w:type="spellStart"/>
      <w:r w:rsidRPr="009361EA">
        <w:rPr>
          <w:rFonts w:eastAsia="MS Mincho"/>
          <w:szCs w:val="22"/>
          <w:lang w:val="en-US"/>
        </w:rPr>
        <w:t>b</w:t>
      </w:r>
      <w:r w:rsidRPr="009361EA">
        <w:rPr>
          <w:rFonts w:eastAsia="MS Mincho"/>
          <w:szCs w:val="22"/>
          <w:vertAlign w:val="subscript"/>
          <w:lang w:val="en-US"/>
        </w:rPr>
        <w:t>PH</w:t>
      </w:r>
      <w:proofErr w:type="spellEnd"/>
      <w:r w:rsidRPr="009361EA">
        <w:rPr>
          <w:rFonts w:eastAsia="MS Mincho"/>
          <w:szCs w:val="22"/>
          <w:lang w:val="en-US"/>
        </w:rPr>
        <w:t xml:space="preserve">) </w:t>
      </w:r>
      <w:r w:rsidRPr="00F562B2">
        <w:rPr>
          <w:rFonts w:eastAsia="MS Mincho"/>
          <w:szCs w:val="22"/>
          <w:lang w:val="en-US"/>
        </w:rPr>
        <w:t xml:space="preserve">exergies are measured due to the physic-chemical processes </w:t>
      </w:r>
      <w:r w:rsidR="00CE1BA9">
        <w:rPr>
          <w:rFonts w:eastAsia="MS Mincho"/>
          <w:szCs w:val="22"/>
          <w:lang w:val="en-US"/>
        </w:rPr>
        <w:t>associated to the biofuel marine configurations</w:t>
      </w:r>
      <w:r w:rsidRPr="00F562B2">
        <w:rPr>
          <w:rFonts w:eastAsia="MS Mincho"/>
          <w:szCs w:val="22"/>
          <w:lang w:val="en-US"/>
        </w:rPr>
        <w:t xml:space="preserve">. Thus, </w:t>
      </w:r>
      <w:proofErr w:type="spellStart"/>
      <w:r w:rsidRPr="00F562B2">
        <w:rPr>
          <w:rFonts w:eastAsia="MS Mincho"/>
          <w:szCs w:val="22"/>
          <w:lang w:val="en-US"/>
        </w:rPr>
        <w:t>b</w:t>
      </w:r>
      <w:r w:rsidRPr="00F562B2">
        <w:rPr>
          <w:rFonts w:eastAsia="MS Mincho"/>
          <w:szCs w:val="22"/>
          <w:vertAlign w:val="subscript"/>
          <w:lang w:val="en-US"/>
        </w:rPr>
        <w:t>PH</w:t>
      </w:r>
      <w:proofErr w:type="spellEnd"/>
      <w:r w:rsidRPr="00F562B2">
        <w:rPr>
          <w:rFonts w:eastAsia="MS Mincho"/>
          <w:szCs w:val="22"/>
          <w:lang w:val="en-US"/>
        </w:rPr>
        <w:t xml:space="preserve"> was </w:t>
      </w:r>
      <w:r w:rsidR="00603AEA" w:rsidRPr="00F562B2">
        <w:rPr>
          <w:rFonts w:eastAsia="MS Mincho"/>
          <w:szCs w:val="22"/>
          <w:lang w:val="en-US"/>
        </w:rPr>
        <w:t>defined</w:t>
      </w:r>
      <w:r w:rsidRPr="00F562B2">
        <w:rPr>
          <w:rFonts w:eastAsia="MS Mincho"/>
          <w:szCs w:val="22"/>
          <w:lang w:val="en-US"/>
        </w:rPr>
        <w:t xml:space="preserve"> </w:t>
      </w:r>
      <w:r w:rsidR="00CE1BA9">
        <w:rPr>
          <w:rFonts w:eastAsia="MS Mincho"/>
          <w:szCs w:val="22"/>
          <w:lang w:val="en-US"/>
        </w:rPr>
        <w:t>by</w:t>
      </w:r>
      <w:r w:rsidRPr="00F562B2">
        <w:rPr>
          <w:rFonts w:eastAsia="MS Mincho"/>
          <w:szCs w:val="22"/>
          <w:lang w:val="en-US"/>
        </w:rPr>
        <w:t xml:space="preserve"> equation (4).</w:t>
      </w:r>
      <w:r w:rsidR="00603AEA" w:rsidRPr="00F562B2">
        <w:rPr>
          <w:rFonts w:eastAsia="MS Mincho"/>
          <w:szCs w:val="22"/>
          <w:lang w:val="en-US"/>
        </w:rPr>
        <w:t xml:space="preserve"> Where </w:t>
      </w:r>
      <w:r w:rsidR="00603AEA" w:rsidRPr="00F562B2">
        <w:rPr>
          <w:rFonts w:eastAsia="MS Mincho"/>
          <w:i/>
          <w:szCs w:val="22"/>
          <w:lang w:val="en-US"/>
        </w:rPr>
        <w:t>H</w:t>
      </w:r>
      <w:r w:rsidR="00603AEA" w:rsidRPr="00F562B2">
        <w:rPr>
          <w:rFonts w:eastAsia="MS Mincho"/>
          <w:szCs w:val="22"/>
          <w:lang w:val="en-US"/>
        </w:rPr>
        <w:t xml:space="preserve"> (in kW) is the enthalpy flow rate at P, T, </w:t>
      </w:r>
      <w:r w:rsidR="00603AEA" w:rsidRPr="00F562B2">
        <w:rPr>
          <w:rFonts w:eastAsia="MS Mincho"/>
          <w:i/>
          <w:szCs w:val="22"/>
          <w:lang w:val="en-US"/>
        </w:rPr>
        <w:t>S</w:t>
      </w:r>
      <w:r w:rsidR="00603AEA" w:rsidRPr="00F562B2">
        <w:rPr>
          <w:rFonts w:eastAsia="MS Mincho"/>
          <w:szCs w:val="22"/>
          <w:lang w:val="en-US"/>
        </w:rPr>
        <w:t xml:space="preserve"> (in kW/K) represents the</w:t>
      </w:r>
      <w:r w:rsidR="00603AEA" w:rsidRPr="00687332">
        <w:rPr>
          <w:rFonts w:eastAsia="MS Mincho"/>
          <w:szCs w:val="22"/>
          <w:lang w:val="en-US"/>
        </w:rPr>
        <w:t xml:space="preserve"> entropy rate/flow rate at P, T, </w:t>
      </w:r>
      <w:r w:rsidR="00603AEA" w:rsidRPr="00687332">
        <w:rPr>
          <w:rFonts w:eastAsia="MS Mincho"/>
          <w:i/>
          <w:szCs w:val="22"/>
          <w:lang w:val="en-US"/>
        </w:rPr>
        <w:t>T</w:t>
      </w:r>
      <w:r w:rsidR="00603AEA" w:rsidRPr="00687332">
        <w:rPr>
          <w:rFonts w:eastAsia="MS Mincho"/>
          <w:i/>
          <w:szCs w:val="22"/>
          <w:vertAlign w:val="subscript"/>
          <w:lang w:val="en-US"/>
        </w:rPr>
        <w:t>o</w:t>
      </w:r>
      <w:r w:rsidR="00F4460E" w:rsidRPr="00687332">
        <w:rPr>
          <w:rFonts w:eastAsia="MS Mincho"/>
          <w:szCs w:val="22"/>
          <w:lang w:val="en-US"/>
        </w:rPr>
        <w:t xml:space="preserve"> (in K) is the t</w:t>
      </w:r>
      <w:r w:rsidR="00603AEA" w:rsidRPr="00687332">
        <w:rPr>
          <w:rFonts w:eastAsia="MS Mincho"/>
          <w:szCs w:val="22"/>
          <w:lang w:val="en-US"/>
        </w:rPr>
        <w:t xml:space="preserve">emperature at the reference state, </w:t>
      </w:r>
      <w:r w:rsidR="00603AEA" w:rsidRPr="00687332">
        <w:rPr>
          <w:rFonts w:eastAsia="MS Mincho"/>
          <w:i/>
          <w:szCs w:val="22"/>
          <w:lang w:val="en-US"/>
        </w:rPr>
        <w:t>H</w:t>
      </w:r>
      <w:r w:rsidR="00603AEA" w:rsidRPr="00687332">
        <w:rPr>
          <w:rFonts w:eastAsia="MS Mincho"/>
          <w:i/>
          <w:szCs w:val="22"/>
          <w:vertAlign w:val="subscript"/>
          <w:lang w:val="en-US"/>
        </w:rPr>
        <w:t>o</w:t>
      </w:r>
      <w:r w:rsidR="00F4460E" w:rsidRPr="00687332">
        <w:rPr>
          <w:rFonts w:eastAsia="MS Mincho"/>
          <w:szCs w:val="22"/>
          <w:lang w:val="en-US"/>
        </w:rPr>
        <w:t xml:space="preserve"> (in kW) </w:t>
      </w:r>
      <w:r w:rsidR="00CE1BA9" w:rsidRPr="00CE1BA9">
        <w:rPr>
          <w:rFonts w:eastAsia="MS Mincho"/>
          <w:szCs w:val="22"/>
          <w:lang w:val="en-US"/>
        </w:rPr>
        <w:t>depicts</w:t>
      </w:r>
      <w:r w:rsidR="00F4460E" w:rsidRPr="00687332">
        <w:rPr>
          <w:rFonts w:eastAsia="MS Mincho"/>
          <w:szCs w:val="22"/>
          <w:lang w:val="en-US"/>
        </w:rPr>
        <w:t xml:space="preserve"> the e</w:t>
      </w:r>
      <w:r w:rsidR="00603AEA" w:rsidRPr="00687332">
        <w:rPr>
          <w:rFonts w:eastAsia="MS Mincho"/>
          <w:szCs w:val="22"/>
          <w:lang w:val="en-US"/>
        </w:rPr>
        <w:t>nthalpy flow rate at P</w:t>
      </w:r>
      <w:r w:rsidR="00603AEA" w:rsidRPr="00687332">
        <w:rPr>
          <w:rFonts w:eastAsia="MS Mincho"/>
          <w:szCs w:val="22"/>
          <w:vertAlign w:val="subscript"/>
          <w:lang w:val="en-US"/>
        </w:rPr>
        <w:t>o</w:t>
      </w:r>
      <w:r w:rsidR="00603AEA" w:rsidRPr="00687332">
        <w:rPr>
          <w:rFonts w:eastAsia="MS Mincho"/>
          <w:szCs w:val="22"/>
          <w:lang w:val="en-US"/>
        </w:rPr>
        <w:t>, T</w:t>
      </w:r>
      <w:r w:rsidR="00603AEA" w:rsidRPr="00687332">
        <w:rPr>
          <w:rFonts w:eastAsia="MS Mincho"/>
          <w:szCs w:val="22"/>
          <w:vertAlign w:val="subscript"/>
          <w:lang w:val="en-US"/>
        </w:rPr>
        <w:t>o</w:t>
      </w:r>
      <w:r w:rsidR="00603AEA" w:rsidRPr="00687332">
        <w:rPr>
          <w:rFonts w:eastAsia="MS Mincho"/>
          <w:szCs w:val="22"/>
          <w:lang w:val="en-US"/>
        </w:rPr>
        <w:t xml:space="preserve"> and </w:t>
      </w:r>
      <w:r w:rsidR="00603AEA" w:rsidRPr="00687332">
        <w:rPr>
          <w:rFonts w:eastAsia="MS Mincho"/>
          <w:i/>
          <w:szCs w:val="22"/>
          <w:lang w:val="en-US"/>
        </w:rPr>
        <w:t>S</w:t>
      </w:r>
      <w:r w:rsidR="00603AEA" w:rsidRPr="00687332">
        <w:rPr>
          <w:rFonts w:eastAsia="MS Mincho"/>
          <w:i/>
          <w:szCs w:val="22"/>
          <w:vertAlign w:val="subscript"/>
          <w:lang w:val="en-US"/>
        </w:rPr>
        <w:t>o</w:t>
      </w:r>
      <w:r w:rsidR="00603AEA" w:rsidRPr="00687332">
        <w:rPr>
          <w:rFonts w:eastAsia="MS Mincho"/>
          <w:szCs w:val="22"/>
          <w:lang w:val="en-US"/>
        </w:rPr>
        <w:t xml:space="preserve"> (in kW/K) is the entropy rate/flow rate at </w:t>
      </w:r>
      <w:proofErr w:type="spellStart"/>
      <w:proofErr w:type="gramStart"/>
      <w:r w:rsidR="00603AEA" w:rsidRPr="00687332">
        <w:rPr>
          <w:rFonts w:eastAsia="MS Mincho"/>
          <w:szCs w:val="22"/>
          <w:lang w:val="en-US"/>
        </w:rPr>
        <w:t>P</w:t>
      </w:r>
      <w:r w:rsidR="00603AEA" w:rsidRPr="00687332">
        <w:rPr>
          <w:rFonts w:eastAsia="MS Mincho"/>
          <w:szCs w:val="22"/>
          <w:vertAlign w:val="subscript"/>
          <w:lang w:val="en-US"/>
        </w:rPr>
        <w:t>o</w:t>
      </w:r>
      <w:r w:rsidR="00603AEA" w:rsidRPr="00687332">
        <w:rPr>
          <w:rFonts w:eastAsia="MS Mincho"/>
          <w:szCs w:val="22"/>
          <w:lang w:val="en-US"/>
        </w:rPr>
        <w:t>,T</w:t>
      </w:r>
      <w:r w:rsidR="00603AEA" w:rsidRPr="00687332">
        <w:rPr>
          <w:rFonts w:eastAsia="MS Mincho"/>
          <w:szCs w:val="22"/>
          <w:vertAlign w:val="subscript"/>
          <w:lang w:val="en-US"/>
        </w:rPr>
        <w:t>o</w:t>
      </w:r>
      <w:proofErr w:type="spellEnd"/>
      <w:proofErr w:type="gramEnd"/>
      <w:r w:rsidR="00603AEA" w:rsidRPr="00687332">
        <w:rPr>
          <w:rFonts w:eastAsia="MS Mincho"/>
          <w:szCs w:val="22"/>
          <w:lang w:val="en-US"/>
        </w:rPr>
        <w:t>.</w:t>
      </w:r>
    </w:p>
    <w:p w14:paraId="1E7A634C" w14:textId="77777777" w:rsidR="00450415" w:rsidRPr="009361EA" w:rsidRDefault="00450415" w:rsidP="009137BB">
      <w:pPr>
        <w:autoSpaceDE/>
        <w:autoSpaceDN/>
        <w:rPr>
          <w:rFonts w:eastAsia="MS Mincho"/>
          <w:szCs w:val="22"/>
          <w:lang w:val="en-US"/>
        </w:rPr>
      </w:pPr>
    </w:p>
    <w:tbl>
      <w:tblPr>
        <w:tblW w:w="0" w:type="auto"/>
        <w:tblInd w:w="108" w:type="dxa"/>
        <w:tblLook w:val="04A0" w:firstRow="1" w:lastRow="0" w:firstColumn="1" w:lastColumn="0" w:noHBand="0" w:noVBand="1"/>
      </w:tblPr>
      <w:tblGrid>
        <w:gridCol w:w="8119"/>
        <w:gridCol w:w="843"/>
      </w:tblGrid>
      <w:tr w:rsidR="009137BB" w:rsidRPr="009361EA" w14:paraId="7DC774D4" w14:textId="77777777" w:rsidTr="00FD4F17">
        <w:tc>
          <w:tcPr>
            <w:tcW w:w="8660" w:type="dxa"/>
            <w:shd w:val="clear" w:color="auto" w:fill="auto"/>
            <w:vAlign w:val="center"/>
          </w:tcPr>
          <w:p w14:paraId="58402649" w14:textId="77777777" w:rsidR="009137BB" w:rsidRPr="009361EA" w:rsidRDefault="00B849AD" w:rsidP="00FD4F17">
            <w:pPr>
              <w:autoSpaceDE/>
              <w:autoSpaceDN/>
              <w:rPr>
                <w:rFonts w:eastAsia="MS Mincho"/>
                <w:sz w:val="22"/>
                <w:szCs w:val="22"/>
                <w:lang w:val="en-US"/>
              </w:rPr>
            </w:pPr>
            <m:oMathPara>
              <m:oMath>
                <m:sSub>
                  <m:sSubPr>
                    <m:ctrlPr>
                      <w:rPr>
                        <w:rFonts w:ascii="Cambria Math" w:eastAsia="MS Mincho" w:hAnsi="Cambria Math"/>
                        <w:i/>
                        <w:sz w:val="20"/>
                        <w:szCs w:val="22"/>
                        <w:lang w:val="en-US"/>
                      </w:rPr>
                    </m:ctrlPr>
                  </m:sSubPr>
                  <m:e>
                    <m:r>
                      <w:rPr>
                        <w:rFonts w:ascii="Cambria Math" w:eastAsia="MS Mincho" w:hAnsi="Cambria Math"/>
                        <w:sz w:val="20"/>
                        <w:szCs w:val="22"/>
                        <w:lang w:val="en-US"/>
                      </w:rPr>
                      <m:t>B</m:t>
                    </m:r>
                  </m:e>
                  <m:sub>
                    <m:r>
                      <w:rPr>
                        <w:rFonts w:ascii="Cambria Math" w:eastAsia="MS Mincho" w:hAnsi="Cambria Math"/>
                        <w:sz w:val="20"/>
                        <w:szCs w:val="22"/>
                        <w:lang w:val="en-US"/>
                      </w:rPr>
                      <m:t>PH</m:t>
                    </m:r>
                  </m:sub>
                </m:sSub>
                <m:r>
                  <w:rPr>
                    <w:rFonts w:ascii="Cambria Math" w:eastAsia="MS Mincho" w:hAnsi="Cambria Math"/>
                    <w:sz w:val="20"/>
                    <w:szCs w:val="22"/>
                    <w:lang w:val="en-US"/>
                  </w:rPr>
                  <m:t>=H-</m:t>
                </m:r>
                <m:sSub>
                  <m:sSubPr>
                    <m:ctrlPr>
                      <w:rPr>
                        <w:rFonts w:ascii="Cambria Math" w:eastAsia="MS Mincho" w:hAnsi="Cambria Math"/>
                        <w:i/>
                        <w:sz w:val="20"/>
                        <w:szCs w:val="22"/>
                        <w:lang w:val="en-US"/>
                      </w:rPr>
                    </m:ctrlPr>
                  </m:sSubPr>
                  <m:e>
                    <m:r>
                      <w:rPr>
                        <w:rFonts w:ascii="Cambria Math" w:eastAsia="MS Mincho" w:hAnsi="Cambria Math"/>
                        <w:sz w:val="20"/>
                        <w:szCs w:val="22"/>
                        <w:lang w:val="en-US"/>
                      </w:rPr>
                      <m:t>H</m:t>
                    </m:r>
                  </m:e>
                  <m:sub>
                    <m:r>
                      <w:rPr>
                        <w:rFonts w:ascii="Cambria Math" w:eastAsia="MS Mincho" w:hAnsi="Cambria Math"/>
                        <w:sz w:val="20"/>
                        <w:szCs w:val="22"/>
                        <w:lang w:val="en-US"/>
                      </w:rPr>
                      <m:t>0</m:t>
                    </m:r>
                  </m:sub>
                </m:sSub>
                <m:r>
                  <w:rPr>
                    <w:rFonts w:ascii="Cambria Math" w:eastAsia="MS Mincho" w:hAnsi="Cambria Math"/>
                    <w:sz w:val="20"/>
                    <w:szCs w:val="22"/>
                    <w:lang w:val="en-US"/>
                  </w:rPr>
                  <m:t>-</m:t>
                </m:r>
                <m:sSub>
                  <m:sSubPr>
                    <m:ctrlPr>
                      <w:rPr>
                        <w:rFonts w:ascii="Cambria Math" w:eastAsia="MS Mincho" w:hAnsi="Cambria Math"/>
                        <w:i/>
                        <w:sz w:val="20"/>
                        <w:szCs w:val="22"/>
                        <w:lang w:val="en-US"/>
                      </w:rPr>
                    </m:ctrlPr>
                  </m:sSubPr>
                  <m:e>
                    <m:r>
                      <w:rPr>
                        <w:rFonts w:ascii="Cambria Math" w:eastAsia="MS Mincho" w:hAnsi="Cambria Math"/>
                        <w:sz w:val="20"/>
                        <w:szCs w:val="22"/>
                        <w:lang w:val="en-US"/>
                      </w:rPr>
                      <m:t>T</m:t>
                    </m:r>
                  </m:e>
                  <m:sub>
                    <m:r>
                      <w:rPr>
                        <w:rFonts w:ascii="Cambria Math" w:eastAsia="MS Mincho" w:hAnsi="Cambria Math"/>
                        <w:sz w:val="20"/>
                        <w:szCs w:val="22"/>
                        <w:lang w:val="en-US"/>
                      </w:rPr>
                      <m:t>0</m:t>
                    </m:r>
                  </m:sub>
                </m:sSub>
                <m:r>
                  <w:rPr>
                    <w:rFonts w:ascii="Cambria Math" w:eastAsia="MS Mincho" w:hAnsi="Cambria Math"/>
                    <w:sz w:val="20"/>
                    <w:szCs w:val="22"/>
                    <w:lang w:val="en-US"/>
                  </w:rPr>
                  <m:t>(S-</m:t>
                </m:r>
                <m:sSub>
                  <m:sSubPr>
                    <m:ctrlPr>
                      <w:rPr>
                        <w:rFonts w:ascii="Cambria Math" w:eastAsia="MS Mincho" w:hAnsi="Cambria Math"/>
                        <w:i/>
                        <w:sz w:val="20"/>
                        <w:szCs w:val="22"/>
                        <w:lang w:val="en-US"/>
                      </w:rPr>
                    </m:ctrlPr>
                  </m:sSubPr>
                  <m:e>
                    <m:r>
                      <w:rPr>
                        <w:rFonts w:ascii="Cambria Math" w:eastAsia="MS Mincho" w:hAnsi="Cambria Math"/>
                        <w:sz w:val="20"/>
                        <w:szCs w:val="22"/>
                        <w:lang w:val="en-US"/>
                      </w:rPr>
                      <m:t>S</m:t>
                    </m:r>
                  </m:e>
                  <m:sub>
                    <m:r>
                      <w:rPr>
                        <w:rFonts w:ascii="Cambria Math" w:eastAsia="MS Mincho" w:hAnsi="Cambria Math"/>
                        <w:sz w:val="20"/>
                        <w:szCs w:val="22"/>
                        <w:lang w:val="en-US"/>
                      </w:rPr>
                      <m:t>0</m:t>
                    </m:r>
                  </m:sub>
                </m:sSub>
                <m:r>
                  <w:rPr>
                    <w:rFonts w:ascii="Cambria Math" w:eastAsia="MS Mincho" w:hAnsi="Cambria Math"/>
                    <w:sz w:val="20"/>
                    <w:szCs w:val="22"/>
                    <w:lang w:val="en-US"/>
                  </w:rPr>
                  <m:t>)</m:t>
                </m:r>
              </m:oMath>
            </m:oMathPara>
          </w:p>
        </w:tc>
        <w:tc>
          <w:tcPr>
            <w:tcW w:w="870" w:type="dxa"/>
            <w:shd w:val="clear" w:color="auto" w:fill="auto"/>
            <w:vAlign w:val="center"/>
          </w:tcPr>
          <w:p w14:paraId="3009A9E5" w14:textId="77777777" w:rsidR="009137BB" w:rsidRPr="009361EA" w:rsidRDefault="009137BB" w:rsidP="00FD4F17">
            <w:pPr>
              <w:autoSpaceDE/>
              <w:autoSpaceDN/>
              <w:rPr>
                <w:rFonts w:eastAsia="MS Mincho"/>
                <w:sz w:val="22"/>
                <w:szCs w:val="22"/>
                <w:lang w:val="en-US"/>
              </w:rPr>
            </w:pPr>
            <w:r w:rsidRPr="009361EA">
              <w:rPr>
                <w:rFonts w:eastAsia="MS Mincho"/>
                <w:sz w:val="22"/>
                <w:szCs w:val="22"/>
                <w:lang w:val="en-US"/>
              </w:rPr>
              <w:t>(4)</w:t>
            </w:r>
          </w:p>
        </w:tc>
      </w:tr>
    </w:tbl>
    <w:p w14:paraId="67D9E385" w14:textId="77777777" w:rsidR="002E3518" w:rsidRPr="009361EA" w:rsidRDefault="002E3518" w:rsidP="00603AEA">
      <w:pPr>
        <w:autoSpaceDE/>
        <w:autoSpaceDN/>
        <w:rPr>
          <w:rFonts w:eastAsia="MS Mincho"/>
          <w:szCs w:val="22"/>
          <w:lang w:val="en-US"/>
        </w:rPr>
      </w:pPr>
    </w:p>
    <w:p w14:paraId="2CFA64EC" w14:textId="4289970D" w:rsidR="009137BB" w:rsidRPr="009361EA" w:rsidRDefault="009137BB" w:rsidP="004D1D74">
      <w:pPr>
        <w:autoSpaceDE/>
        <w:autoSpaceDN/>
        <w:spacing w:line="360" w:lineRule="auto"/>
        <w:rPr>
          <w:rFonts w:eastAsia="MS Mincho"/>
          <w:szCs w:val="22"/>
          <w:lang w:val="en-US"/>
        </w:rPr>
      </w:pPr>
      <w:r w:rsidRPr="009361EA">
        <w:rPr>
          <w:rFonts w:eastAsia="MS Mincho"/>
          <w:szCs w:val="22"/>
          <w:lang w:val="en-US"/>
        </w:rPr>
        <w:t xml:space="preserve">Conceptually, </w:t>
      </w:r>
      <w:proofErr w:type="spellStart"/>
      <w:r w:rsidRPr="009361EA">
        <w:rPr>
          <w:rFonts w:eastAsia="MS Mincho"/>
          <w:szCs w:val="22"/>
          <w:lang w:val="en-US"/>
        </w:rPr>
        <w:t>b</w:t>
      </w:r>
      <w:r w:rsidRPr="009361EA">
        <w:rPr>
          <w:rFonts w:eastAsia="MS Mincho"/>
          <w:szCs w:val="22"/>
          <w:vertAlign w:val="subscript"/>
          <w:lang w:val="en-US"/>
        </w:rPr>
        <w:t>CH</w:t>
      </w:r>
      <w:proofErr w:type="spellEnd"/>
      <w:r w:rsidRPr="009361EA">
        <w:rPr>
          <w:rFonts w:eastAsia="MS Mincho"/>
          <w:szCs w:val="22"/>
          <w:lang w:val="en-US"/>
        </w:rPr>
        <w:t xml:space="preserve"> quantifies the chemical substance</w:t>
      </w:r>
      <w:r w:rsidR="00CE1BA9" w:rsidRPr="00CE1BA9">
        <w:rPr>
          <w:rFonts w:eastAsia="MS Mincho"/>
          <w:szCs w:val="22"/>
          <w:lang w:val="en-US"/>
        </w:rPr>
        <w:t xml:space="preserve"> </w:t>
      </w:r>
      <w:r w:rsidR="00CE1BA9" w:rsidRPr="009361EA">
        <w:rPr>
          <w:rFonts w:eastAsia="MS Mincho"/>
          <w:szCs w:val="22"/>
          <w:lang w:val="en-US"/>
        </w:rPr>
        <w:t>value</w:t>
      </w:r>
      <w:r w:rsidRPr="009361EA">
        <w:rPr>
          <w:rFonts w:eastAsia="MS Mincho"/>
          <w:szCs w:val="22"/>
          <w:lang w:val="en-US"/>
        </w:rPr>
        <w:t xml:space="preserve">, as measured against a </w:t>
      </w:r>
      <w:r w:rsidR="00CE1BA9" w:rsidRPr="009361EA">
        <w:rPr>
          <w:rFonts w:eastAsia="MS Mincho"/>
          <w:szCs w:val="22"/>
          <w:lang w:val="en-US"/>
        </w:rPr>
        <w:t>particular</w:t>
      </w:r>
      <w:r w:rsidRPr="009361EA">
        <w:rPr>
          <w:rFonts w:eastAsia="MS Mincho"/>
          <w:szCs w:val="22"/>
          <w:lang w:val="en-US"/>
        </w:rPr>
        <w:t xml:space="preserve"> reference environment </w:t>
      </w:r>
      <w:r w:rsidRPr="009361EA">
        <w:rPr>
          <w:rFonts w:eastAsia="MS Mincho"/>
          <w:szCs w:val="22"/>
          <w:lang w:val="en-US"/>
        </w:rPr>
        <w:fldChar w:fldCharType="begin"/>
      </w:r>
      <w:r w:rsidR="00DE1CA2">
        <w:rPr>
          <w:rFonts w:eastAsia="MS Mincho"/>
          <w:szCs w:val="22"/>
          <w:lang w:val="en-US"/>
        </w:rPr>
        <w:instrText xml:space="preserve"> ADDIN ZOTERO_ITEM CSL_CITATION {"citationID":"48yGa21y","properties":{"formattedCitation":"[47]","plainCitation":"[47]","noteIndex":0},"citationItems":[{"id":46,"uris":["http://zotero.org/users/5217225/items/A2WRH66P"],"uri":["http://zotero.org/users/5217225/items/A2WRH66P"],"itemData":{"id":46,"type":"article-journal","abstract":"The complexity and multi-domain nature of petrochemical (PC) plants make the application of conventional model-based fault detection and isolation (FDI) techniques a challenging endeavour. Although hybrid FDI schemes aim to address this shortfall, many are simply a combination of data-driven techniques that exclude physical system information. In this work, a hybrid approach to FDI of a PC process is proposed that is based on an exergy-data abstraction. Data from an actual system is abstracted to system exergy, based on physical knowledge of the system and then used as a diagnostic metric for the FDI scheme. In this paper, it is shown why energy-based approaches are lacking when considering petrochemical processes. After presenting a novel method for the real-time, automatic calculation of chemical exergy in Aspen HySys® the applicability of exergy-based fault detection is investigated. Application of the exergy-based fault detection scheme shows a marked improvement over the energy-based approach with perfect detectability and isolability of the considered process faults. The exergy-based fault detection technique shows merit in comparison to the energy-based detection scheme. Additionally, and more importantly, exergy-based characterisation allows the use of more sophisticated model-based fault detection schemes to petrochemical processes.","container-title":"Journal of Process Control","DOI":"10.1016/j.jprocont.2017.11.005","ISSN":"0959-1524","journalAbbreviation":"Journal of Process Control","source":"ScienceDirect","title":"The merits of exergy-based fault detection in petrochemical processes","URL":"http://www.sciencedirect.com/science/article/pii/S095915241730207X","author":[{"family":"Marais","given":"Henri"},{"family":"Schoor","given":"George","non-dropping-particle":"van"},{"family":"Uren","given":"Kenneth R."}],"accessed":{"date-parts":[["2018",10,9]]},"issued":{"date-parts":[["2017",11,20]]}}}],"schema":"https://github.com/citation-style-language/schema/raw/master/csl-citation.json"} </w:instrText>
      </w:r>
      <w:r w:rsidRPr="009361EA">
        <w:rPr>
          <w:rFonts w:eastAsia="MS Mincho"/>
          <w:szCs w:val="22"/>
          <w:lang w:val="en-US"/>
        </w:rPr>
        <w:fldChar w:fldCharType="separate"/>
      </w:r>
      <w:r w:rsidR="00DE1CA2" w:rsidRPr="00DE1CA2">
        <w:rPr>
          <w:rFonts w:eastAsia="MS Mincho"/>
        </w:rPr>
        <w:t>[47]</w:t>
      </w:r>
      <w:r w:rsidRPr="009361EA">
        <w:rPr>
          <w:rFonts w:eastAsia="MS Mincho"/>
          <w:szCs w:val="22"/>
          <w:lang w:val="en-US"/>
        </w:rPr>
        <w:fldChar w:fldCharType="end"/>
      </w:r>
      <w:r w:rsidRPr="009361EA">
        <w:rPr>
          <w:rFonts w:eastAsia="MS Mincho"/>
          <w:szCs w:val="22"/>
          <w:lang w:val="en-US"/>
        </w:rPr>
        <w:t xml:space="preserve">. </w:t>
      </w:r>
      <w:bookmarkStart w:id="3" w:name="_Hlk59578029"/>
      <w:r w:rsidRPr="009361EA">
        <w:rPr>
          <w:rFonts w:eastAsia="MS Mincho"/>
          <w:szCs w:val="22"/>
          <w:lang w:val="en-US"/>
        </w:rPr>
        <w:t xml:space="preserve">Equation (5) </w:t>
      </w:r>
      <w:bookmarkEnd w:id="3"/>
      <w:r w:rsidR="00603AEA" w:rsidRPr="009361EA">
        <w:rPr>
          <w:rFonts w:eastAsia="MS Mincho"/>
          <w:szCs w:val="22"/>
          <w:lang w:val="en-US"/>
        </w:rPr>
        <w:t xml:space="preserve">was adopted to define the chemical exergy of the components. Where </w:t>
      </w:r>
      <w:proofErr w:type="spellStart"/>
      <w:r w:rsidR="00603AEA" w:rsidRPr="009361EA">
        <w:rPr>
          <w:rFonts w:eastAsia="MS Mincho"/>
          <w:i/>
          <w:szCs w:val="22"/>
          <w:lang w:val="en-US"/>
        </w:rPr>
        <w:t>n</w:t>
      </w:r>
      <w:r w:rsidR="00603AEA" w:rsidRPr="009361EA">
        <w:rPr>
          <w:rFonts w:eastAsia="MS Mincho"/>
          <w:i/>
          <w:szCs w:val="22"/>
          <w:vertAlign w:val="subscript"/>
          <w:lang w:val="en-US"/>
        </w:rPr>
        <w:t>mix</w:t>
      </w:r>
      <w:proofErr w:type="spellEnd"/>
      <w:r w:rsidR="00603AEA" w:rsidRPr="009361EA">
        <w:rPr>
          <w:rFonts w:eastAsia="MS Mincho"/>
          <w:szCs w:val="22"/>
          <w:lang w:val="en-US"/>
        </w:rPr>
        <w:t xml:space="preserve"> is the total </w:t>
      </w:r>
      <w:r w:rsidR="00CE1BA9">
        <w:rPr>
          <w:rFonts w:eastAsia="MS Mincho"/>
          <w:szCs w:val="22"/>
          <w:lang w:val="en-US"/>
        </w:rPr>
        <w:t>quantity</w:t>
      </w:r>
      <w:r w:rsidR="00603AEA" w:rsidRPr="009361EA">
        <w:rPr>
          <w:rFonts w:eastAsia="MS Mincho"/>
          <w:szCs w:val="22"/>
          <w:lang w:val="en-US"/>
        </w:rPr>
        <w:t xml:space="preserve"> of moles of all constituents in a mixture, </w:t>
      </w:r>
      <w:r w:rsidR="00603AEA" w:rsidRPr="009361EA">
        <w:rPr>
          <w:rFonts w:eastAsia="MS Mincho"/>
          <w:i/>
          <w:szCs w:val="22"/>
          <w:lang w:val="en-US"/>
        </w:rPr>
        <w:t>x</w:t>
      </w:r>
      <w:r w:rsidR="00603AEA" w:rsidRPr="009361EA">
        <w:rPr>
          <w:rFonts w:eastAsia="MS Mincho"/>
          <w:i/>
          <w:szCs w:val="22"/>
          <w:vertAlign w:val="subscript"/>
          <w:lang w:val="en-US"/>
        </w:rPr>
        <w:t>i</w:t>
      </w:r>
      <w:r w:rsidR="00603AEA" w:rsidRPr="009361EA">
        <w:rPr>
          <w:rFonts w:eastAsia="MS Mincho"/>
          <w:szCs w:val="22"/>
          <w:lang w:val="en-US"/>
        </w:rPr>
        <w:t xml:space="preserve"> is the mole fraction of component</w:t>
      </w:r>
      <w:r w:rsidR="00603AEA" w:rsidRPr="009361EA">
        <w:rPr>
          <w:rFonts w:eastAsia="MS Mincho"/>
          <w:i/>
          <w:szCs w:val="22"/>
          <w:lang w:val="en-US"/>
        </w:rPr>
        <w:t xml:space="preserve"> </w:t>
      </w:r>
      <w:proofErr w:type="spellStart"/>
      <w:r w:rsidR="00603AEA" w:rsidRPr="009361EA">
        <w:rPr>
          <w:rFonts w:eastAsia="MS Mincho"/>
          <w:i/>
          <w:szCs w:val="22"/>
          <w:lang w:val="en-US"/>
        </w:rPr>
        <w:t>i</w:t>
      </w:r>
      <w:proofErr w:type="spellEnd"/>
      <w:r w:rsidR="00603AEA" w:rsidRPr="009361EA">
        <w:rPr>
          <w:rFonts w:eastAsia="MS Mincho"/>
          <w:szCs w:val="22"/>
          <w:lang w:val="en-US"/>
        </w:rPr>
        <w:t>.</w:t>
      </w:r>
    </w:p>
    <w:p w14:paraId="1CFE7206" w14:textId="77777777" w:rsidR="00450415" w:rsidRPr="009361EA" w:rsidRDefault="00450415" w:rsidP="009137BB">
      <w:pPr>
        <w:autoSpaceDE/>
        <w:autoSpaceDN/>
        <w:rPr>
          <w:rFonts w:eastAsia="MS Mincho"/>
          <w:szCs w:val="22"/>
          <w:lang w:val="en-US"/>
        </w:rPr>
      </w:pPr>
    </w:p>
    <w:tbl>
      <w:tblPr>
        <w:tblW w:w="0" w:type="auto"/>
        <w:tblInd w:w="108" w:type="dxa"/>
        <w:tblLook w:val="04A0" w:firstRow="1" w:lastRow="0" w:firstColumn="1" w:lastColumn="0" w:noHBand="0" w:noVBand="1"/>
      </w:tblPr>
      <w:tblGrid>
        <w:gridCol w:w="8123"/>
        <w:gridCol w:w="839"/>
      </w:tblGrid>
      <w:tr w:rsidR="009137BB" w:rsidRPr="009361EA" w14:paraId="4DB2F854" w14:textId="77777777" w:rsidTr="00FD4F17">
        <w:tc>
          <w:tcPr>
            <w:tcW w:w="8660" w:type="dxa"/>
            <w:shd w:val="clear" w:color="auto" w:fill="auto"/>
            <w:vAlign w:val="center"/>
          </w:tcPr>
          <w:p w14:paraId="6869242C" w14:textId="77777777" w:rsidR="009137BB" w:rsidRPr="009361EA" w:rsidRDefault="00B849AD" w:rsidP="00FD4F17">
            <w:pPr>
              <w:autoSpaceDE/>
              <w:autoSpaceDN/>
              <w:rPr>
                <w:rFonts w:eastAsia="MS Mincho"/>
                <w:sz w:val="22"/>
                <w:szCs w:val="22"/>
                <w:lang w:val="en-US"/>
              </w:rPr>
            </w:pPr>
            <m:oMathPara>
              <m:oMath>
                <m:sSub>
                  <m:sSubPr>
                    <m:ctrlPr>
                      <w:rPr>
                        <w:rFonts w:ascii="Cambria Math" w:eastAsia="MS Mincho" w:hAnsi="Cambria Math"/>
                        <w:sz w:val="18"/>
                        <w:szCs w:val="18"/>
                        <w:lang w:val="en-US"/>
                      </w:rPr>
                    </m:ctrlPr>
                  </m:sSubPr>
                  <m:e>
                    <m:r>
                      <w:rPr>
                        <w:rFonts w:ascii="Cambria Math" w:eastAsia="MS Mincho" w:hAnsi="Cambria Math"/>
                        <w:sz w:val="18"/>
                        <w:szCs w:val="18"/>
                        <w:lang w:val="en-US"/>
                      </w:rPr>
                      <m:t>B</m:t>
                    </m:r>
                  </m:e>
                  <m:sub>
                    <m:r>
                      <w:rPr>
                        <w:rFonts w:ascii="Cambria Math" w:eastAsia="MS Mincho" w:hAnsi="Cambria Math"/>
                        <w:sz w:val="18"/>
                        <w:szCs w:val="18"/>
                        <w:lang w:val="en-US"/>
                      </w:rPr>
                      <m:t>CH</m:t>
                    </m:r>
                  </m:sub>
                </m:sSub>
                <m:r>
                  <m:rPr>
                    <m:sty m:val="p"/>
                  </m:rPr>
                  <w:rPr>
                    <w:rFonts w:ascii="Cambria Math" w:eastAsia="MS Mincho" w:hAnsi="Cambria Math"/>
                    <w:sz w:val="18"/>
                    <w:szCs w:val="18"/>
                    <w:lang w:val="en-US"/>
                  </w:rPr>
                  <m:t>=</m:t>
                </m:r>
                <m:sSub>
                  <m:sSubPr>
                    <m:ctrlPr>
                      <w:rPr>
                        <w:rFonts w:ascii="Cambria Math" w:eastAsia="MS Mincho" w:hAnsi="Cambria Math"/>
                        <w:sz w:val="18"/>
                        <w:szCs w:val="18"/>
                        <w:lang w:val="en-US"/>
                      </w:rPr>
                    </m:ctrlPr>
                  </m:sSubPr>
                  <m:e>
                    <m:r>
                      <m:rPr>
                        <m:sty m:val="p"/>
                      </m:rPr>
                      <w:rPr>
                        <w:rFonts w:ascii="Cambria Math" w:eastAsia="MS Mincho" w:hAnsi="Cambria Math"/>
                        <w:sz w:val="18"/>
                        <w:szCs w:val="18"/>
                        <w:lang w:val="en-US"/>
                      </w:rPr>
                      <m:t>n</m:t>
                    </m:r>
                  </m:e>
                  <m:sub>
                    <m:r>
                      <w:rPr>
                        <w:rFonts w:ascii="Cambria Math" w:eastAsia="MS Mincho" w:hAnsi="Cambria Math"/>
                        <w:sz w:val="18"/>
                        <w:szCs w:val="18"/>
                        <w:lang w:val="en-US"/>
                      </w:rPr>
                      <m:t>mix</m:t>
                    </m:r>
                  </m:sub>
                </m:sSub>
                <m:d>
                  <m:dPr>
                    <m:begChr m:val="["/>
                    <m:endChr m:val="]"/>
                    <m:ctrlPr>
                      <w:rPr>
                        <w:rFonts w:ascii="Cambria Math" w:eastAsia="MS Mincho" w:hAnsi="Cambria Math"/>
                        <w:sz w:val="18"/>
                        <w:szCs w:val="18"/>
                        <w:lang w:val="en-US"/>
                      </w:rPr>
                    </m:ctrlPr>
                  </m:dPr>
                  <m:e>
                    <m:nary>
                      <m:naryPr>
                        <m:chr m:val="∑"/>
                        <m:limLoc m:val="undOvr"/>
                        <m:supHide m:val="1"/>
                        <m:ctrlPr>
                          <w:rPr>
                            <w:rFonts w:ascii="Cambria Math" w:eastAsia="MS Mincho" w:hAnsi="Cambria Math"/>
                            <w:sz w:val="18"/>
                            <w:szCs w:val="18"/>
                            <w:lang w:val="en-US"/>
                          </w:rPr>
                        </m:ctrlPr>
                      </m:naryPr>
                      <m:sub>
                        <m:r>
                          <w:rPr>
                            <w:rFonts w:ascii="Cambria Math" w:eastAsia="MS Mincho" w:hAnsi="Cambria Math"/>
                            <w:sz w:val="18"/>
                            <w:szCs w:val="18"/>
                            <w:lang w:val="en-US"/>
                          </w:rPr>
                          <m:t>i</m:t>
                        </m:r>
                      </m:sub>
                      <m:sup/>
                      <m:e>
                        <m:sSub>
                          <m:sSubPr>
                            <m:ctrlPr>
                              <w:rPr>
                                <w:rFonts w:ascii="Cambria Math" w:eastAsia="MS Mincho" w:hAnsi="Cambria Math"/>
                                <w:sz w:val="18"/>
                                <w:szCs w:val="18"/>
                                <w:lang w:val="en-US"/>
                              </w:rPr>
                            </m:ctrlPr>
                          </m:sSubPr>
                          <m:e>
                            <m:r>
                              <w:rPr>
                                <w:rFonts w:ascii="Cambria Math" w:eastAsia="MS Mincho" w:hAnsi="Cambria Math"/>
                                <w:sz w:val="18"/>
                                <w:szCs w:val="18"/>
                                <w:lang w:val="en-US"/>
                              </w:rPr>
                              <m:t>x</m:t>
                            </m:r>
                          </m:e>
                          <m:sub>
                            <m:r>
                              <w:rPr>
                                <w:rFonts w:ascii="Cambria Math" w:eastAsia="MS Mincho" w:hAnsi="Cambria Math"/>
                                <w:sz w:val="18"/>
                                <w:szCs w:val="18"/>
                                <w:lang w:val="en-US"/>
                              </w:rPr>
                              <m:t>i</m:t>
                            </m:r>
                          </m:sub>
                        </m:sSub>
                        <m:sSubSup>
                          <m:sSubSupPr>
                            <m:ctrlPr>
                              <w:rPr>
                                <w:rFonts w:ascii="Cambria Math" w:eastAsia="MS Mincho" w:hAnsi="Cambria Math"/>
                                <w:sz w:val="18"/>
                                <w:szCs w:val="18"/>
                                <w:lang w:val="en-US"/>
                              </w:rPr>
                            </m:ctrlPr>
                          </m:sSubSupPr>
                          <m:e>
                            <m:r>
                              <w:rPr>
                                <w:rFonts w:ascii="Cambria Math" w:eastAsia="MS Mincho" w:hAnsi="Cambria Math"/>
                                <w:sz w:val="18"/>
                                <w:szCs w:val="18"/>
                                <w:lang w:val="en-US"/>
                              </w:rPr>
                              <m:t>b</m:t>
                            </m:r>
                          </m:e>
                          <m:sub>
                            <m:r>
                              <w:rPr>
                                <w:rFonts w:ascii="Cambria Math" w:eastAsia="MS Mincho" w:hAnsi="Cambria Math"/>
                                <w:sz w:val="18"/>
                                <w:szCs w:val="18"/>
                                <w:lang w:val="en-US"/>
                              </w:rPr>
                              <m:t>i</m:t>
                            </m:r>
                          </m:sub>
                          <m:sup>
                            <m:r>
                              <w:rPr>
                                <w:rFonts w:ascii="Cambria Math" w:eastAsia="MS Mincho" w:hAnsi="Cambria Math"/>
                                <w:sz w:val="18"/>
                                <w:szCs w:val="18"/>
                                <w:lang w:val="en-US"/>
                              </w:rPr>
                              <m:t>ch</m:t>
                            </m:r>
                          </m:sup>
                        </m:sSubSup>
                      </m:e>
                    </m:nary>
                    <m:r>
                      <m:rPr>
                        <m:sty m:val="p"/>
                      </m:rPr>
                      <w:rPr>
                        <w:rFonts w:ascii="Cambria Math" w:eastAsia="MS Mincho" w:hAnsi="Cambria Math"/>
                        <w:sz w:val="18"/>
                        <w:szCs w:val="18"/>
                        <w:lang w:val="en-US"/>
                      </w:rPr>
                      <m:t>+</m:t>
                    </m:r>
                    <m:sSub>
                      <m:sSubPr>
                        <m:ctrlPr>
                          <w:rPr>
                            <w:rFonts w:ascii="Cambria Math" w:eastAsia="MS Mincho" w:hAnsi="Cambria Math"/>
                            <w:sz w:val="18"/>
                            <w:szCs w:val="18"/>
                            <w:lang w:val="en-US"/>
                          </w:rPr>
                        </m:ctrlPr>
                      </m:sSubPr>
                      <m:e>
                        <m:r>
                          <w:rPr>
                            <w:rFonts w:ascii="Cambria Math" w:eastAsia="MS Mincho" w:hAnsi="Cambria Math"/>
                            <w:sz w:val="18"/>
                            <w:szCs w:val="18"/>
                            <w:lang w:val="en-US"/>
                          </w:rPr>
                          <m:t>R</m:t>
                        </m:r>
                      </m:e>
                      <m:sub>
                        <m:r>
                          <w:rPr>
                            <w:rFonts w:ascii="Cambria Math" w:eastAsia="MS Mincho" w:hAnsi="Cambria Math"/>
                            <w:sz w:val="18"/>
                            <w:szCs w:val="18"/>
                            <w:lang w:val="en-US"/>
                          </w:rPr>
                          <m:t>u</m:t>
                        </m:r>
                      </m:sub>
                    </m:sSub>
                    <m:sSub>
                      <m:sSubPr>
                        <m:ctrlPr>
                          <w:rPr>
                            <w:rFonts w:ascii="Cambria Math" w:eastAsia="MS Mincho" w:hAnsi="Cambria Math"/>
                            <w:sz w:val="18"/>
                            <w:szCs w:val="18"/>
                            <w:lang w:val="en-US"/>
                          </w:rPr>
                        </m:ctrlPr>
                      </m:sSubPr>
                      <m:e>
                        <m:r>
                          <w:rPr>
                            <w:rFonts w:ascii="Cambria Math" w:eastAsia="MS Mincho" w:hAnsi="Cambria Math"/>
                            <w:sz w:val="18"/>
                            <w:szCs w:val="18"/>
                            <w:lang w:val="en-US"/>
                          </w:rPr>
                          <m:t>T</m:t>
                        </m:r>
                      </m:e>
                      <m:sub>
                        <m:r>
                          <m:rPr>
                            <m:sty m:val="p"/>
                          </m:rPr>
                          <w:rPr>
                            <w:rFonts w:ascii="Cambria Math" w:eastAsia="MS Mincho" w:hAnsi="Cambria Math"/>
                            <w:sz w:val="18"/>
                            <w:szCs w:val="18"/>
                            <w:lang w:val="en-US"/>
                          </w:rPr>
                          <m:t>0</m:t>
                        </m:r>
                      </m:sub>
                    </m:sSub>
                    <m:nary>
                      <m:naryPr>
                        <m:chr m:val="∑"/>
                        <m:limLoc m:val="undOvr"/>
                        <m:supHide m:val="1"/>
                        <m:ctrlPr>
                          <w:rPr>
                            <w:rFonts w:ascii="Cambria Math" w:eastAsia="MS Mincho" w:hAnsi="Cambria Math"/>
                            <w:sz w:val="18"/>
                            <w:szCs w:val="18"/>
                            <w:lang w:val="en-US"/>
                          </w:rPr>
                        </m:ctrlPr>
                      </m:naryPr>
                      <m:sub>
                        <m:r>
                          <w:rPr>
                            <w:rFonts w:ascii="Cambria Math" w:eastAsia="MS Mincho" w:hAnsi="Cambria Math"/>
                            <w:sz w:val="18"/>
                            <w:szCs w:val="18"/>
                            <w:lang w:val="en-US"/>
                          </w:rPr>
                          <m:t>i</m:t>
                        </m:r>
                      </m:sub>
                      <m:sup/>
                      <m:e>
                        <m:sSub>
                          <m:sSubPr>
                            <m:ctrlPr>
                              <w:rPr>
                                <w:rFonts w:ascii="Cambria Math" w:eastAsia="MS Mincho" w:hAnsi="Cambria Math"/>
                                <w:sz w:val="18"/>
                                <w:szCs w:val="18"/>
                                <w:lang w:val="en-US"/>
                              </w:rPr>
                            </m:ctrlPr>
                          </m:sSubPr>
                          <m:e>
                            <m:r>
                              <w:rPr>
                                <w:rFonts w:ascii="Cambria Math" w:eastAsia="MS Mincho" w:hAnsi="Cambria Math"/>
                                <w:sz w:val="18"/>
                                <w:szCs w:val="18"/>
                                <w:lang w:val="en-US"/>
                              </w:rPr>
                              <m:t>x</m:t>
                            </m:r>
                          </m:e>
                          <m:sub>
                            <m:r>
                              <w:rPr>
                                <w:rFonts w:ascii="Cambria Math" w:eastAsia="MS Mincho" w:hAnsi="Cambria Math"/>
                                <w:sz w:val="18"/>
                                <w:szCs w:val="18"/>
                                <w:lang w:val="en-US"/>
                              </w:rPr>
                              <m:t>i</m:t>
                            </m:r>
                          </m:sub>
                        </m:sSub>
                        <m:r>
                          <w:rPr>
                            <w:rFonts w:ascii="Cambria Math" w:eastAsia="MS Mincho" w:hAnsi="Cambria Math"/>
                            <w:sz w:val="18"/>
                            <w:szCs w:val="18"/>
                            <w:lang w:val="en-US"/>
                          </w:rPr>
                          <m:t>ln</m:t>
                        </m:r>
                        <m:sSub>
                          <m:sSubPr>
                            <m:ctrlPr>
                              <w:rPr>
                                <w:rFonts w:ascii="Cambria Math" w:eastAsia="MS Mincho" w:hAnsi="Cambria Math"/>
                                <w:sz w:val="18"/>
                                <w:szCs w:val="18"/>
                                <w:lang w:val="en-US"/>
                              </w:rPr>
                            </m:ctrlPr>
                          </m:sSubPr>
                          <m:e>
                            <m:sSub>
                              <m:sSubPr>
                                <m:ctrlPr>
                                  <w:rPr>
                                    <w:rFonts w:ascii="Cambria Math" w:eastAsia="MS Mincho" w:hAnsi="Cambria Math"/>
                                    <w:sz w:val="18"/>
                                    <w:szCs w:val="18"/>
                                    <w:lang w:val="en-US"/>
                                  </w:rPr>
                                </m:ctrlPr>
                              </m:sSubPr>
                              <m:e>
                                <m:r>
                                  <m:rPr>
                                    <m:sty m:val="p"/>
                                  </m:rPr>
                                  <w:rPr>
                                    <w:rFonts w:ascii="Cambria Math" w:eastAsia="MS Mincho" w:hAnsi="Cambria Math"/>
                                    <w:sz w:val="18"/>
                                    <w:szCs w:val="18"/>
                                    <w:lang w:val="en-US"/>
                                  </w:rPr>
                                  <m:t>Ὑ</m:t>
                                </m:r>
                              </m:e>
                              <m:sub>
                                <m:r>
                                  <w:rPr>
                                    <w:rFonts w:ascii="Cambria Math" w:eastAsia="MS Mincho" w:hAnsi="Cambria Math"/>
                                    <w:sz w:val="18"/>
                                    <w:szCs w:val="18"/>
                                    <w:lang w:val="en-US"/>
                                  </w:rPr>
                                  <m:t>i</m:t>
                                </m:r>
                              </m:sub>
                            </m:sSub>
                            <m:r>
                              <w:rPr>
                                <w:rFonts w:ascii="Cambria Math" w:eastAsia="MS Mincho" w:hAnsi="Cambria Math"/>
                                <w:sz w:val="18"/>
                                <w:szCs w:val="18"/>
                                <w:lang w:val="en-US"/>
                              </w:rPr>
                              <m:t>x</m:t>
                            </m:r>
                          </m:e>
                          <m:sub>
                            <m:r>
                              <w:rPr>
                                <w:rFonts w:ascii="Cambria Math" w:eastAsia="MS Mincho" w:hAnsi="Cambria Math"/>
                                <w:sz w:val="18"/>
                                <w:szCs w:val="18"/>
                                <w:lang w:val="en-US"/>
                              </w:rPr>
                              <m:t>i</m:t>
                            </m:r>
                          </m:sub>
                        </m:sSub>
                      </m:e>
                    </m:nary>
                  </m:e>
                </m:d>
              </m:oMath>
            </m:oMathPara>
          </w:p>
        </w:tc>
        <w:tc>
          <w:tcPr>
            <w:tcW w:w="870" w:type="dxa"/>
            <w:shd w:val="clear" w:color="auto" w:fill="auto"/>
            <w:vAlign w:val="center"/>
          </w:tcPr>
          <w:p w14:paraId="249D9D94" w14:textId="77777777" w:rsidR="009137BB" w:rsidRPr="009361EA" w:rsidRDefault="009137BB" w:rsidP="00FD4F17">
            <w:pPr>
              <w:autoSpaceDE/>
              <w:autoSpaceDN/>
              <w:rPr>
                <w:rFonts w:eastAsia="MS Mincho"/>
                <w:sz w:val="22"/>
                <w:szCs w:val="22"/>
                <w:lang w:val="en-US"/>
              </w:rPr>
            </w:pPr>
            <w:r w:rsidRPr="009361EA">
              <w:rPr>
                <w:rFonts w:eastAsia="MS Mincho"/>
                <w:sz w:val="22"/>
                <w:szCs w:val="22"/>
                <w:lang w:val="en-US"/>
              </w:rPr>
              <w:t>(5)</w:t>
            </w:r>
          </w:p>
        </w:tc>
      </w:tr>
    </w:tbl>
    <w:p w14:paraId="65ED85E1" w14:textId="77777777" w:rsidR="00450415" w:rsidRPr="009361EA" w:rsidRDefault="00450415" w:rsidP="009137BB">
      <w:pPr>
        <w:autoSpaceDE/>
        <w:autoSpaceDN/>
        <w:rPr>
          <w:rFonts w:eastAsia="MS Mincho"/>
          <w:szCs w:val="22"/>
          <w:lang w:val="en-US"/>
        </w:rPr>
      </w:pPr>
    </w:p>
    <w:p w14:paraId="643600FF" w14:textId="4E55049F" w:rsidR="009137BB" w:rsidRPr="009361EA" w:rsidRDefault="00603AEA" w:rsidP="004D1D74">
      <w:pPr>
        <w:autoSpaceDE/>
        <w:autoSpaceDN/>
        <w:spacing w:line="360" w:lineRule="auto"/>
        <w:rPr>
          <w:rFonts w:eastAsia="MS Mincho"/>
          <w:szCs w:val="22"/>
          <w:lang w:val="en-US"/>
        </w:rPr>
      </w:pPr>
      <w:r w:rsidRPr="009361EA">
        <w:rPr>
          <w:rFonts w:eastAsia="MS Mincho"/>
          <w:szCs w:val="22"/>
          <w:lang w:val="en-US"/>
        </w:rPr>
        <w:t>Besides</w:t>
      </w:r>
      <w:r w:rsidR="009137BB" w:rsidRPr="009361EA">
        <w:rPr>
          <w:rFonts w:eastAsia="MS Mincho"/>
          <w:szCs w:val="22"/>
          <w:lang w:val="en-US"/>
        </w:rPr>
        <w:t xml:space="preserve">, </w:t>
      </w:r>
      <w:proofErr w:type="spellStart"/>
      <w:r w:rsidR="009137BB" w:rsidRPr="009361EA">
        <w:rPr>
          <w:rFonts w:eastAsia="MS Mincho"/>
          <w:i/>
          <w:szCs w:val="22"/>
          <w:lang w:val="en-US"/>
        </w:rPr>
        <w:t>Ὑ</w:t>
      </w:r>
      <w:r w:rsidRPr="009361EA">
        <w:rPr>
          <w:rFonts w:eastAsia="MS Mincho"/>
          <w:i/>
          <w:szCs w:val="22"/>
          <w:vertAlign w:val="subscript"/>
          <w:lang w:val="en-US"/>
        </w:rPr>
        <w:t>i</w:t>
      </w:r>
      <w:proofErr w:type="spellEnd"/>
      <w:r w:rsidR="009137BB" w:rsidRPr="009361EA">
        <w:rPr>
          <w:rFonts w:eastAsia="MS Mincho"/>
          <w:szCs w:val="22"/>
          <w:lang w:val="en-US"/>
        </w:rPr>
        <w:t xml:space="preserve"> </w:t>
      </w:r>
      <w:r w:rsidRPr="009361EA">
        <w:rPr>
          <w:rFonts w:eastAsia="MS Mincho"/>
          <w:szCs w:val="22"/>
          <w:lang w:val="en-US"/>
        </w:rPr>
        <w:t>represented the activity coefficient and t</w:t>
      </w:r>
      <w:r w:rsidR="009137BB" w:rsidRPr="009361EA">
        <w:rPr>
          <w:rFonts w:eastAsia="MS Mincho"/>
          <w:szCs w:val="22"/>
          <w:lang w:val="en-US"/>
        </w:rPr>
        <w:t xml:space="preserve">he term </w:t>
      </w:r>
      <m:oMath>
        <m:sSubSup>
          <m:sSubSupPr>
            <m:ctrlPr>
              <w:rPr>
                <w:rFonts w:ascii="Cambria Math" w:eastAsia="MS Mincho" w:hAnsi="Cambria Math"/>
                <w:i/>
                <w:szCs w:val="22"/>
                <w:lang w:val="en-US"/>
              </w:rPr>
            </m:ctrlPr>
          </m:sSubSupPr>
          <m:e>
            <m:r>
              <w:rPr>
                <w:rFonts w:ascii="Cambria Math" w:eastAsia="MS Mincho" w:hAnsi="Cambria Math"/>
                <w:szCs w:val="22"/>
                <w:lang w:val="en-US"/>
              </w:rPr>
              <m:t>b</m:t>
            </m:r>
          </m:e>
          <m:sub>
            <m:r>
              <w:rPr>
                <w:rFonts w:ascii="Cambria Math" w:eastAsia="MS Mincho" w:hAnsi="Cambria Math"/>
                <w:szCs w:val="22"/>
                <w:lang w:val="en-US"/>
              </w:rPr>
              <m:t>i</m:t>
            </m:r>
          </m:sub>
          <m:sup>
            <m:r>
              <w:rPr>
                <w:rFonts w:ascii="Cambria Math" w:eastAsia="MS Mincho" w:hAnsi="Cambria Math"/>
                <w:szCs w:val="22"/>
                <w:lang w:val="en-US"/>
              </w:rPr>
              <m:t>ch</m:t>
            </m:r>
          </m:sup>
        </m:sSubSup>
      </m:oMath>
      <w:r w:rsidR="009137BB" w:rsidRPr="009361EA">
        <w:rPr>
          <w:rFonts w:eastAsia="MS Mincho"/>
          <w:szCs w:val="22"/>
          <w:lang w:val="en-US"/>
        </w:rPr>
        <w:t xml:space="preserve"> </w:t>
      </w:r>
      <w:r w:rsidRPr="009361EA">
        <w:rPr>
          <w:rFonts w:eastAsia="MS Mincho"/>
          <w:szCs w:val="22"/>
          <w:lang w:val="en-US"/>
        </w:rPr>
        <w:t>denoted</w:t>
      </w:r>
      <w:r w:rsidR="009137BB" w:rsidRPr="009361EA">
        <w:rPr>
          <w:rFonts w:eastAsia="MS Mincho"/>
          <w:szCs w:val="22"/>
          <w:lang w:val="en-US"/>
        </w:rPr>
        <w:t xml:space="preserve"> the standard chemical exergy. The chemical exergies for various compounds are </w:t>
      </w:r>
      <w:r w:rsidR="00CE1BA9" w:rsidRPr="00F562B2">
        <w:rPr>
          <w:rFonts w:eastAsia="MS Mincho"/>
          <w:szCs w:val="22"/>
          <w:lang w:val="en-US"/>
        </w:rPr>
        <w:t xml:space="preserve">given </w:t>
      </w:r>
      <w:r w:rsidR="009137BB" w:rsidRPr="00F562B2">
        <w:rPr>
          <w:rFonts w:eastAsia="MS Mincho"/>
          <w:szCs w:val="22"/>
          <w:lang w:val="en-US"/>
        </w:rPr>
        <w:t xml:space="preserve">in </w:t>
      </w:r>
      <w:proofErr w:type="spellStart"/>
      <w:r w:rsidR="00260AFE" w:rsidRPr="00F562B2">
        <w:rPr>
          <w:rFonts w:eastAsia="MS Mincho"/>
          <w:szCs w:val="22"/>
          <w:lang w:val="en-US"/>
        </w:rPr>
        <w:t>Szargut</w:t>
      </w:r>
      <w:proofErr w:type="spellEnd"/>
      <w:r w:rsidR="00260AFE" w:rsidRPr="00F562B2">
        <w:rPr>
          <w:rFonts w:eastAsia="MS Mincho"/>
          <w:szCs w:val="22"/>
          <w:lang w:val="en-US"/>
        </w:rPr>
        <w:t xml:space="preserve"> et al. </w:t>
      </w:r>
      <w:r w:rsidR="009137BB" w:rsidRPr="00F562B2">
        <w:rPr>
          <w:rFonts w:eastAsia="MS Mincho"/>
          <w:szCs w:val="22"/>
          <w:lang w:val="en-US"/>
        </w:rPr>
        <w:fldChar w:fldCharType="begin"/>
      </w:r>
      <w:r w:rsidR="00DE1CA2">
        <w:rPr>
          <w:rFonts w:eastAsia="MS Mincho"/>
          <w:szCs w:val="22"/>
          <w:lang w:val="en-US"/>
        </w:rPr>
        <w:instrText xml:space="preserve"> ADDIN ZOTERO_ITEM CSL_CITATION {"citationID":"AIKvUVHj","properties":{"formattedCitation":"[46]","plainCitation":"[46]","noteIndex":0},"citationItems":[{"id":283,"uris":["http://zotero.org/users/5217225/items/ENBIKFZE"],"uri":["http://zotero.org/users/5217225/items/ENBIKFZE"],"itemData":{"id":283,"type":"book","event-place":"New York","publisher":"Hemisphere Publishing Corporation","publisher-place":"New York","title":"Exergy analysis of thermal, chemical, and metallurgical processes.","author":[{"family":"SZARGUT","given":"J."},{"family":"MORRIS","given":"D."},{"family":"STEWARD","given":"F."}],"issued":{"date-parts":[["1988"]]}}}],"schema":"https://github.com/citation-style-language/schema/raw/master/csl-citation.json"} </w:instrText>
      </w:r>
      <w:r w:rsidR="009137BB" w:rsidRPr="00F562B2">
        <w:rPr>
          <w:rFonts w:eastAsia="MS Mincho"/>
          <w:szCs w:val="22"/>
          <w:lang w:val="en-US"/>
        </w:rPr>
        <w:fldChar w:fldCharType="separate"/>
      </w:r>
      <w:r w:rsidR="00DE1CA2" w:rsidRPr="00DE1CA2">
        <w:rPr>
          <w:rFonts w:eastAsia="MS Mincho"/>
        </w:rPr>
        <w:t>[46]</w:t>
      </w:r>
      <w:r w:rsidR="009137BB" w:rsidRPr="00F562B2">
        <w:rPr>
          <w:rFonts w:eastAsia="MS Mincho"/>
          <w:szCs w:val="22"/>
          <w:lang w:val="en-US"/>
        </w:rPr>
        <w:fldChar w:fldCharType="end"/>
      </w:r>
      <w:r w:rsidR="009137BB" w:rsidRPr="00F562B2">
        <w:rPr>
          <w:rFonts w:eastAsia="MS Mincho"/>
          <w:szCs w:val="22"/>
          <w:lang w:val="en-US"/>
        </w:rPr>
        <w:t xml:space="preserve"> and </w:t>
      </w:r>
      <w:proofErr w:type="spellStart"/>
      <w:r w:rsidR="00260AFE" w:rsidRPr="00F562B2">
        <w:rPr>
          <w:rFonts w:eastAsia="MS Mincho"/>
          <w:szCs w:val="22"/>
          <w:lang w:val="en-US"/>
        </w:rPr>
        <w:t>Kotas</w:t>
      </w:r>
      <w:proofErr w:type="spellEnd"/>
      <w:r w:rsidR="00260AFE" w:rsidRPr="00F562B2">
        <w:rPr>
          <w:rFonts w:eastAsia="MS Mincho"/>
          <w:szCs w:val="22"/>
          <w:lang w:val="en-US"/>
        </w:rPr>
        <w:t xml:space="preserve"> </w:t>
      </w:r>
      <w:r w:rsidR="009137BB" w:rsidRPr="003F27AB">
        <w:rPr>
          <w:rFonts w:eastAsia="MS Mincho"/>
          <w:szCs w:val="22"/>
          <w:lang w:val="en-US"/>
        </w:rPr>
        <w:fldChar w:fldCharType="begin"/>
      </w:r>
      <w:r w:rsidR="00DE1CA2">
        <w:rPr>
          <w:rFonts w:eastAsia="MS Mincho"/>
          <w:szCs w:val="22"/>
          <w:lang w:val="en-US"/>
        </w:rPr>
        <w:instrText xml:space="preserve"> ADDIN ZOTERO_ITEM CSL_CITATION {"citationID":"mKZoQAwj","properties":{"formattedCitation":"[48]","plainCitation":"[48]","noteIndex":0},"citationItems":[{"id":276,"uris":["http://zotero.org/users/5217225/items/DAHTXXF3"],"uri":["http://zotero.org/users/5217225/items/DAHTXXF3"],"itemData":{"id":276,"type":"book","event-place":"London-UK","ISBN":"0-408-01350-8","publisher":"Butterworths","publisher-place":"London-UK","title":"The Exergy Method of Thermal Plant Design","author":[{"family":"KOTAS","given":"T. J."}],"issued":{"date-parts":[["1985"]]}}}],"schema":"https://github.com/citation-style-language/schema/raw/master/csl-citation.json"} </w:instrText>
      </w:r>
      <w:r w:rsidR="009137BB" w:rsidRPr="003F27AB">
        <w:rPr>
          <w:rFonts w:eastAsia="MS Mincho"/>
          <w:szCs w:val="22"/>
          <w:lang w:val="en-US"/>
        </w:rPr>
        <w:fldChar w:fldCharType="separate"/>
      </w:r>
      <w:r w:rsidR="00DE1CA2" w:rsidRPr="00DE1CA2">
        <w:rPr>
          <w:rFonts w:eastAsia="MS Mincho"/>
        </w:rPr>
        <w:t>[48]</w:t>
      </w:r>
      <w:r w:rsidR="009137BB" w:rsidRPr="003F27AB">
        <w:rPr>
          <w:rFonts w:eastAsia="MS Mincho"/>
          <w:szCs w:val="22"/>
          <w:lang w:val="en-US"/>
        </w:rPr>
        <w:fldChar w:fldCharType="end"/>
      </w:r>
      <w:r w:rsidR="009137BB" w:rsidRPr="003F27AB">
        <w:rPr>
          <w:rFonts w:eastAsia="MS Mincho"/>
          <w:szCs w:val="22"/>
          <w:lang w:val="en-US"/>
        </w:rPr>
        <w:t>.</w:t>
      </w:r>
      <w:r w:rsidR="00645F11" w:rsidRPr="003F27AB">
        <w:rPr>
          <w:rFonts w:eastAsia="MS Mincho"/>
          <w:szCs w:val="22"/>
          <w:lang w:val="en-US"/>
        </w:rPr>
        <w:t xml:space="preserve"> </w:t>
      </w:r>
      <w:r w:rsidR="00FA758C" w:rsidRPr="003F27AB">
        <w:rPr>
          <w:rFonts w:eastAsia="MS Mincho"/>
          <w:szCs w:val="22"/>
          <w:lang w:val="en-US"/>
        </w:rPr>
        <w:t>More specifically, t</w:t>
      </w:r>
      <w:r w:rsidR="00645F11" w:rsidRPr="003F27AB">
        <w:rPr>
          <w:rFonts w:eastAsia="MS Mincho"/>
          <w:szCs w:val="22"/>
          <w:lang w:val="en-US"/>
        </w:rPr>
        <w:t xml:space="preserve">he </w:t>
      </w:r>
      <w:proofErr w:type="spellStart"/>
      <w:r w:rsidR="00645F11" w:rsidRPr="00F562B2">
        <w:rPr>
          <w:rFonts w:eastAsia="MS Mincho"/>
          <w:szCs w:val="22"/>
          <w:lang w:val="en-US"/>
        </w:rPr>
        <w:t>b</w:t>
      </w:r>
      <w:r w:rsidR="00645F11" w:rsidRPr="00F562B2">
        <w:rPr>
          <w:rFonts w:eastAsia="MS Mincho"/>
          <w:szCs w:val="22"/>
          <w:vertAlign w:val="subscript"/>
          <w:lang w:val="en-US"/>
        </w:rPr>
        <w:t>CH</w:t>
      </w:r>
      <w:proofErr w:type="spellEnd"/>
      <w:r w:rsidR="00645F11" w:rsidRPr="00F562B2">
        <w:rPr>
          <w:rFonts w:eastAsia="MS Mincho"/>
          <w:szCs w:val="22"/>
          <w:lang w:val="en-US"/>
        </w:rPr>
        <w:t xml:space="preserve"> considered in the exergy assessment are </w:t>
      </w:r>
      <w:r w:rsidR="00CE1BA9" w:rsidRPr="00F562B2">
        <w:rPr>
          <w:rFonts w:eastAsia="MS Mincho"/>
          <w:szCs w:val="22"/>
          <w:lang w:val="en-US"/>
        </w:rPr>
        <w:t xml:space="preserve">found </w:t>
      </w:r>
      <w:r w:rsidR="00645F11" w:rsidRPr="00F562B2">
        <w:rPr>
          <w:rFonts w:eastAsia="MS Mincho"/>
          <w:szCs w:val="22"/>
          <w:lang w:val="en-US"/>
        </w:rPr>
        <w:t>in Tab</w:t>
      </w:r>
      <w:r w:rsidR="00FA758C">
        <w:rPr>
          <w:rFonts w:eastAsia="MS Mincho"/>
          <w:szCs w:val="22"/>
          <w:lang w:val="en-US"/>
        </w:rPr>
        <w:t>.</w:t>
      </w:r>
      <w:r w:rsidR="00645F11" w:rsidRPr="00F562B2">
        <w:rPr>
          <w:rFonts w:eastAsia="MS Mincho"/>
          <w:szCs w:val="22"/>
          <w:lang w:val="en-US"/>
        </w:rPr>
        <w:t xml:space="preserve"> </w:t>
      </w:r>
      <w:r w:rsidR="00304159" w:rsidRPr="00F562B2">
        <w:rPr>
          <w:rFonts w:eastAsia="MS Mincho"/>
          <w:szCs w:val="22"/>
          <w:lang w:val="en-US"/>
        </w:rPr>
        <w:t>5</w:t>
      </w:r>
      <w:r w:rsidR="00645F11" w:rsidRPr="00F562B2">
        <w:rPr>
          <w:rFonts w:eastAsia="MS Mincho"/>
          <w:szCs w:val="22"/>
          <w:lang w:val="en-US"/>
        </w:rPr>
        <w:t>.</w:t>
      </w:r>
    </w:p>
    <w:p w14:paraId="6220CC4F" w14:textId="57BD018B" w:rsidR="00105D53" w:rsidRDefault="00027CD8" w:rsidP="004D1D74">
      <w:pPr>
        <w:tabs>
          <w:tab w:val="left" w:pos="-720"/>
        </w:tabs>
        <w:suppressAutoHyphens/>
        <w:spacing w:line="360" w:lineRule="auto"/>
        <w:rPr>
          <w:spacing w:val="-3"/>
          <w:lang w:val="en-US"/>
        </w:rPr>
      </w:pPr>
      <w:r>
        <w:rPr>
          <w:spacing w:val="-3"/>
          <w:lang w:val="en-US"/>
        </w:rPr>
        <w:t>In general, t</w:t>
      </w:r>
      <w:r w:rsidR="00C66EC2" w:rsidRPr="00C66EC2">
        <w:rPr>
          <w:spacing w:val="-3"/>
          <w:lang w:val="en-US"/>
        </w:rPr>
        <w:t xml:space="preserve">he chemical exergy for fuel stream is given </w:t>
      </w:r>
      <w:r w:rsidR="00C66EC2">
        <w:rPr>
          <w:spacing w:val="-3"/>
          <w:lang w:val="en-US"/>
        </w:rPr>
        <w:t xml:space="preserve">in </w:t>
      </w:r>
      <w:r w:rsidR="00C66EC2" w:rsidRPr="00C66EC2">
        <w:rPr>
          <w:spacing w:val="-3"/>
          <w:lang w:val="en-US"/>
        </w:rPr>
        <w:t>Equation (</w:t>
      </w:r>
      <w:r w:rsidR="00C66EC2">
        <w:rPr>
          <w:spacing w:val="-3"/>
          <w:lang w:val="en-US"/>
        </w:rPr>
        <w:t>6</w:t>
      </w:r>
      <w:r w:rsidR="00C66EC2" w:rsidRPr="00C66EC2">
        <w:rPr>
          <w:spacing w:val="-3"/>
          <w:lang w:val="en-US"/>
        </w:rPr>
        <w:t>)</w:t>
      </w:r>
      <w:r w:rsidR="00C66EC2">
        <w:rPr>
          <w:spacing w:val="-3"/>
          <w:lang w:val="en-US"/>
        </w:rPr>
        <w:t>.</w:t>
      </w:r>
    </w:p>
    <w:p w14:paraId="4A54C1DA" w14:textId="77777777" w:rsidR="00C66EC2" w:rsidRPr="009361EA" w:rsidRDefault="00C66EC2" w:rsidP="00C66EC2">
      <w:pPr>
        <w:autoSpaceDE/>
        <w:autoSpaceDN/>
        <w:rPr>
          <w:rFonts w:eastAsia="MS Mincho"/>
          <w:szCs w:val="22"/>
          <w:lang w:val="en-US"/>
        </w:rPr>
      </w:pPr>
    </w:p>
    <w:tbl>
      <w:tblPr>
        <w:tblW w:w="0" w:type="auto"/>
        <w:tblInd w:w="108" w:type="dxa"/>
        <w:tblLook w:val="04A0" w:firstRow="1" w:lastRow="0" w:firstColumn="1" w:lastColumn="0" w:noHBand="0" w:noVBand="1"/>
      </w:tblPr>
      <w:tblGrid>
        <w:gridCol w:w="8119"/>
        <w:gridCol w:w="843"/>
      </w:tblGrid>
      <w:tr w:rsidR="00C66EC2" w:rsidRPr="009361EA" w14:paraId="77BE3311" w14:textId="77777777" w:rsidTr="00E5779B">
        <w:tc>
          <w:tcPr>
            <w:tcW w:w="8660" w:type="dxa"/>
            <w:shd w:val="clear" w:color="auto" w:fill="auto"/>
            <w:vAlign w:val="center"/>
          </w:tcPr>
          <w:p w14:paraId="309DA76E" w14:textId="5F6F320F" w:rsidR="00C66EC2" w:rsidRPr="009361EA" w:rsidRDefault="00B849AD" w:rsidP="00E5779B">
            <w:pPr>
              <w:autoSpaceDE/>
              <w:autoSpaceDN/>
              <w:rPr>
                <w:rFonts w:eastAsia="MS Mincho"/>
                <w:sz w:val="22"/>
                <w:szCs w:val="22"/>
                <w:lang w:val="en-US"/>
              </w:rPr>
            </w:pPr>
            <m:oMathPara>
              <m:oMath>
                <m:sSub>
                  <m:sSubPr>
                    <m:ctrlPr>
                      <w:rPr>
                        <w:rFonts w:ascii="Cambria Math" w:eastAsia="MS Mincho" w:hAnsi="Cambria Math"/>
                        <w:sz w:val="18"/>
                        <w:szCs w:val="18"/>
                        <w:lang w:val="en-US"/>
                      </w:rPr>
                    </m:ctrlPr>
                  </m:sSubPr>
                  <m:e>
                    <m:r>
                      <w:rPr>
                        <w:rFonts w:ascii="Cambria Math" w:eastAsia="MS Mincho" w:hAnsi="Cambria Math"/>
                        <w:sz w:val="18"/>
                        <w:szCs w:val="18"/>
                        <w:lang w:val="en-US"/>
                      </w:rPr>
                      <m:t>B</m:t>
                    </m:r>
                  </m:e>
                  <m:sub>
                    <m:r>
                      <w:rPr>
                        <w:rFonts w:ascii="Cambria Math" w:eastAsia="MS Mincho" w:hAnsi="Cambria Math"/>
                        <w:sz w:val="18"/>
                        <w:szCs w:val="18"/>
                        <w:lang w:val="en-US"/>
                      </w:rPr>
                      <m:t>CH</m:t>
                    </m:r>
                  </m:sub>
                </m:sSub>
                <m:r>
                  <m:rPr>
                    <m:sty m:val="p"/>
                  </m:rPr>
                  <w:rPr>
                    <w:rFonts w:ascii="Cambria Math" w:eastAsia="MS Mincho" w:hAnsi="Cambria Math"/>
                    <w:sz w:val="18"/>
                    <w:szCs w:val="18"/>
                    <w:lang w:val="en-US"/>
                  </w:rPr>
                  <m:t>=</m:t>
                </m:r>
                <m:r>
                  <m:rPr>
                    <m:sty m:val="p"/>
                  </m:rPr>
                  <w:rPr>
                    <w:rFonts w:ascii="Cambria Math" w:eastAsia="MS Mincho" w:hAnsi="Cambria Math" w:cs="Calibri"/>
                    <w:sz w:val="18"/>
                    <w:szCs w:val="18"/>
                    <w:lang w:val="en-US"/>
                  </w:rPr>
                  <m:t>ɸ</m:t>
                </m:r>
                <m:r>
                  <w:rPr>
                    <w:rFonts w:ascii="Cambria Math" w:eastAsia="MS Mincho" w:hAnsi="Cambria Math"/>
                    <w:sz w:val="18"/>
                    <w:szCs w:val="18"/>
                    <w:lang w:val="en-US"/>
                  </w:rPr>
                  <m:t>*LHV</m:t>
                </m:r>
              </m:oMath>
            </m:oMathPara>
          </w:p>
        </w:tc>
        <w:tc>
          <w:tcPr>
            <w:tcW w:w="870" w:type="dxa"/>
            <w:shd w:val="clear" w:color="auto" w:fill="auto"/>
            <w:vAlign w:val="center"/>
          </w:tcPr>
          <w:p w14:paraId="2B2CFBA2" w14:textId="6A2A6499" w:rsidR="00C66EC2" w:rsidRPr="009361EA" w:rsidRDefault="00C66EC2" w:rsidP="00E5779B">
            <w:pPr>
              <w:autoSpaceDE/>
              <w:autoSpaceDN/>
              <w:rPr>
                <w:rFonts w:eastAsia="MS Mincho"/>
                <w:sz w:val="22"/>
                <w:szCs w:val="22"/>
                <w:lang w:val="en-US"/>
              </w:rPr>
            </w:pPr>
            <w:r w:rsidRPr="009361EA">
              <w:rPr>
                <w:rFonts w:eastAsia="MS Mincho"/>
                <w:sz w:val="22"/>
                <w:szCs w:val="22"/>
                <w:lang w:val="en-US"/>
              </w:rPr>
              <w:t>(</w:t>
            </w:r>
            <w:r>
              <w:rPr>
                <w:rFonts w:eastAsia="MS Mincho"/>
                <w:sz w:val="22"/>
                <w:szCs w:val="22"/>
                <w:lang w:val="en-US"/>
              </w:rPr>
              <w:t>6</w:t>
            </w:r>
            <w:r w:rsidRPr="009361EA">
              <w:rPr>
                <w:rFonts w:eastAsia="MS Mincho"/>
                <w:sz w:val="22"/>
                <w:szCs w:val="22"/>
                <w:lang w:val="en-US"/>
              </w:rPr>
              <w:t>)</w:t>
            </w:r>
          </w:p>
        </w:tc>
      </w:tr>
    </w:tbl>
    <w:p w14:paraId="56B9FC60" w14:textId="7A7E4D1A" w:rsidR="00C66EC2" w:rsidRDefault="00C66EC2" w:rsidP="00C66EC2">
      <w:pPr>
        <w:autoSpaceDE/>
        <w:autoSpaceDN/>
        <w:rPr>
          <w:rFonts w:eastAsia="MS Mincho"/>
          <w:szCs w:val="22"/>
          <w:lang w:val="en-US"/>
        </w:rPr>
      </w:pPr>
    </w:p>
    <w:p w14:paraId="5A60D92D" w14:textId="323600C4" w:rsidR="00C66EC2" w:rsidRDefault="00C66EC2" w:rsidP="004D1D74">
      <w:pPr>
        <w:autoSpaceDE/>
        <w:autoSpaceDN/>
        <w:spacing w:line="360" w:lineRule="auto"/>
        <w:rPr>
          <w:rFonts w:eastAsia="MS Mincho"/>
          <w:szCs w:val="22"/>
          <w:lang w:val="en-US"/>
        </w:rPr>
      </w:pPr>
      <w:r>
        <w:rPr>
          <w:rFonts w:eastAsia="MS Mincho"/>
          <w:szCs w:val="22"/>
          <w:lang w:val="en-US"/>
        </w:rPr>
        <w:t xml:space="preserve">Where </w:t>
      </w:r>
      <w:r>
        <w:rPr>
          <w:rFonts w:ascii="Calibri" w:eastAsia="MS Mincho" w:hAnsi="Calibri" w:cs="Calibri"/>
          <w:szCs w:val="22"/>
          <w:lang w:val="en-US"/>
        </w:rPr>
        <w:t>ɸ</w:t>
      </w:r>
      <w:r>
        <w:rPr>
          <w:rFonts w:eastAsia="MS Mincho"/>
          <w:szCs w:val="22"/>
          <w:lang w:val="en-US"/>
        </w:rPr>
        <w:t xml:space="preserve"> represents a</w:t>
      </w:r>
      <w:r w:rsidRPr="00C66EC2">
        <w:rPr>
          <w:rFonts w:eastAsia="MS Mincho"/>
          <w:szCs w:val="22"/>
          <w:lang w:val="en-US"/>
        </w:rPr>
        <w:t xml:space="preserve"> correlation related to the b</w:t>
      </w:r>
      <w:r w:rsidRPr="00C66EC2">
        <w:rPr>
          <w:rFonts w:eastAsia="MS Mincho"/>
          <w:szCs w:val="22"/>
          <w:vertAlign w:val="subscript"/>
          <w:lang w:val="en-US"/>
        </w:rPr>
        <w:t>ch</w:t>
      </w:r>
      <w:r w:rsidRPr="00C66EC2">
        <w:rPr>
          <w:rFonts w:eastAsia="MS Mincho"/>
          <w:szCs w:val="22"/>
          <w:lang w:val="en-US"/>
        </w:rPr>
        <w:t xml:space="preserve"> calculations of the ‘</w:t>
      </w:r>
      <w:r w:rsidRPr="00C66EC2">
        <w:rPr>
          <w:rFonts w:eastAsia="MS Mincho"/>
          <w:i/>
          <w:iCs/>
          <w:szCs w:val="22"/>
          <w:lang w:val="en-US"/>
        </w:rPr>
        <w:t>nonconventional</w:t>
      </w:r>
      <w:r w:rsidRPr="00C66EC2">
        <w:rPr>
          <w:rFonts w:eastAsia="MS Mincho"/>
          <w:szCs w:val="22"/>
          <w:lang w:val="en-US"/>
        </w:rPr>
        <w:t xml:space="preserve">’ components </w:t>
      </w:r>
      <w:r>
        <w:rPr>
          <w:rFonts w:eastAsia="MS Mincho"/>
          <w:szCs w:val="22"/>
          <w:lang w:val="en-US"/>
        </w:rPr>
        <w:t>a</w:t>
      </w:r>
      <w:r w:rsidRPr="00C66EC2">
        <w:rPr>
          <w:rFonts w:eastAsia="MS Mincho"/>
          <w:szCs w:val="22"/>
          <w:lang w:val="en-US"/>
        </w:rPr>
        <w:t xml:space="preserve">s specified in Eq. </w:t>
      </w:r>
      <w:r>
        <w:rPr>
          <w:rFonts w:eastAsia="MS Mincho"/>
          <w:szCs w:val="22"/>
          <w:lang w:val="en-US"/>
        </w:rPr>
        <w:t>(7)</w:t>
      </w:r>
      <w:r w:rsidRPr="00C66EC2">
        <w:rPr>
          <w:rFonts w:eastAsia="MS Mincho"/>
          <w:szCs w:val="22"/>
          <w:lang w:val="en-US"/>
        </w:rPr>
        <w:t>.</w:t>
      </w:r>
      <w:r>
        <w:rPr>
          <w:rFonts w:eastAsia="MS Mincho"/>
          <w:szCs w:val="22"/>
          <w:lang w:val="en-US"/>
        </w:rPr>
        <w:t xml:space="preserve"> </w:t>
      </w:r>
      <w:r w:rsidRPr="00C66EC2">
        <w:rPr>
          <w:rFonts w:eastAsia="MS Mincho"/>
          <w:szCs w:val="22"/>
          <w:lang w:val="en-US"/>
        </w:rPr>
        <w:t xml:space="preserve">This expression is used in terms of mass ratios for dry organic materials contained in solid fossil fuels consisting of carbon </w:t>
      </w:r>
      <w:r w:rsidRPr="00C66EC2">
        <w:rPr>
          <w:rFonts w:eastAsia="MS Mincho"/>
          <w:i/>
          <w:iCs/>
          <w:szCs w:val="22"/>
          <w:lang w:val="en-US"/>
        </w:rPr>
        <w:t>c</w:t>
      </w:r>
      <w:r w:rsidRPr="00C66EC2">
        <w:rPr>
          <w:rFonts w:eastAsia="MS Mincho"/>
          <w:szCs w:val="22"/>
          <w:lang w:val="en-US"/>
        </w:rPr>
        <w:t xml:space="preserve">, hydrogen </w:t>
      </w:r>
      <w:r w:rsidRPr="00C66EC2">
        <w:rPr>
          <w:rFonts w:eastAsia="MS Mincho"/>
          <w:i/>
          <w:iCs/>
          <w:szCs w:val="22"/>
          <w:lang w:val="en-US"/>
        </w:rPr>
        <w:t>h</w:t>
      </w:r>
      <w:r w:rsidRPr="00C66EC2">
        <w:rPr>
          <w:rFonts w:eastAsia="MS Mincho"/>
          <w:szCs w:val="22"/>
          <w:lang w:val="en-US"/>
        </w:rPr>
        <w:t xml:space="preserve">, oxygen </w:t>
      </w:r>
      <w:r w:rsidRPr="00C66EC2">
        <w:rPr>
          <w:rFonts w:eastAsia="MS Mincho"/>
          <w:i/>
          <w:iCs/>
          <w:szCs w:val="22"/>
          <w:lang w:val="en-US"/>
        </w:rPr>
        <w:t>o</w:t>
      </w:r>
      <w:r w:rsidRPr="00C66EC2">
        <w:rPr>
          <w:rFonts w:eastAsia="MS Mincho"/>
          <w:szCs w:val="22"/>
          <w:lang w:val="en-US"/>
        </w:rPr>
        <w:t>, and nitrogen</w:t>
      </w:r>
      <w:r w:rsidRPr="00C66EC2">
        <w:rPr>
          <w:rFonts w:eastAsia="MS Mincho"/>
          <w:i/>
          <w:iCs/>
          <w:szCs w:val="22"/>
          <w:lang w:val="en-US"/>
        </w:rPr>
        <w:t xml:space="preserve"> n</w:t>
      </w:r>
      <w:r w:rsidRPr="00C66EC2">
        <w:rPr>
          <w:rFonts w:eastAsia="MS Mincho"/>
          <w:szCs w:val="22"/>
          <w:lang w:val="en-US"/>
        </w:rPr>
        <w:t xml:space="preserve"> with a mass ratio of oxygen to carbon less than 0.667. The accuracy of this expression is estimated to be better than ± 1%</w:t>
      </w:r>
      <w:r>
        <w:rPr>
          <w:rFonts w:eastAsia="MS Mincho"/>
          <w:szCs w:val="22"/>
          <w:lang w:val="en-US"/>
        </w:rPr>
        <w:t xml:space="preserve"> </w:t>
      </w:r>
      <w:r w:rsidR="00027CD8">
        <w:rPr>
          <w:rFonts w:eastAsia="MS Mincho"/>
          <w:szCs w:val="22"/>
          <w:lang w:val="en-US"/>
        </w:rPr>
        <w:fldChar w:fldCharType="begin"/>
      </w:r>
      <w:r w:rsidR="00DE1CA2">
        <w:rPr>
          <w:rFonts w:eastAsia="MS Mincho"/>
          <w:szCs w:val="22"/>
          <w:lang w:val="en-US"/>
        </w:rPr>
        <w:instrText xml:space="preserve"> ADDIN ZOTERO_ITEM CSL_CITATION {"citationID":"wamTySYl","properties":{"formattedCitation":"[48]","plainCitation":"[48]","noteIndex":0},"citationItems":[{"id":276,"uris":["http://zotero.org/users/5217225/items/DAHTXXF3"],"uri":["http://zotero.org/users/5217225/items/DAHTXXF3"],"itemData":{"id":276,"type":"book","event-place":"London-UK","ISBN":"0-408-01350-8","publisher":"Butterworths","publisher-place":"London-UK","title":"The Exergy Method of Thermal Plant Design","author":[{"family":"KOTAS","given":"T. J."}],"issued":{"date-parts":[["1985"]]}}}],"schema":"https://github.com/citation-style-language/schema/raw/master/csl-citation.json"} </w:instrText>
      </w:r>
      <w:r w:rsidR="00027CD8">
        <w:rPr>
          <w:rFonts w:eastAsia="MS Mincho"/>
          <w:szCs w:val="22"/>
          <w:lang w:val="en-US"/>
        </w:rPr>
        <w:fldChar w:fldCharType="separate"/>
      </w:r>
      <w:r w:rsidR="00DE1CA2" w:rsidRPr="00DE1CA2">
        <w:rPr>
          <w:rFonts w:eastAsia="MS Mincho"/>
        </w:rPr>
        <w:t>[48]</w:t>
      </w:r>
      <w:r w:rsidR="00027CD8">
        <w:rPr>
          <w:rFonts w:eastAsia="MS Mincho"/>
          <w:szCs w:val="22"/>
          <w:lang w:val="en-US"/>
        </w:rPr>
        <w:fldChar w:fldCharType="end"/>
      </w:r>
      <w:r w:rsidR="00027CD8">
        <w:rPr>
          <w:rFonts w:eastAsia="MS Mincho"/>
          <w:szCs w:val="22"/>
          <w:lang w:val="en-US"/>
        </w:rPr>
        <w:t>.</w:t>
      </w:r>
    </w:p>
    <w:p w14:paraId="5CC838AB" w14:textId="77777777" w:rsidR="00620753" w:rsidRDefault="00620753" w:rsidP="00C66EC2">
      <w:pPr>
        <w:autoSpaceDE/>
        <w:autoSpaceDN/>
        <w:rPr>
          <w:rFonts w:eastAsia="MS Mincho"/>
          <w:szCs w:val="22"/>
          <w:lang w:val="en-US"/>
        </w:rPr>
      </w:pPr>
    </w:p>
    <w:tbl>
      <w:tblPr>
        <w:tblW w:w="0" w:type="auto"/>
        <w:tblInd w:w="108" w:type="dxa"/>
        <w:tblLook w:val="04A0" w:firstRow="1" w:lastRow="0" w:firstColumn="1" w:lastColumn="0" w:noHBand="0" w:noVBand="1"/>
      </w:tblPr>
      <w:tblGrid>
        <w:gridCol w:w="8159"/>
        <w:gridCol w:w="803"/>
      </w:tblGrid>
      <w:tr w:rsidR="00C66EC2" w:rsidRPr="009361EA" w14:paraId="1B676A5E" w14:textId="77777777" w:rsidTr="00027CD8">
        <w:tc>
          <w:tcPr>
            <w:tcW w:w="8159" w:type="dxa"/>
            <w:shd w:val="clear" w:color="auto" w:fill="auto"/>
            <w:vAlign w:val="center"/>
          </w:tcPr>
          <w:p w14:paraId="24BC5263" w14:textId="549A5853" w:rsidR="00C66EC2" w:rsidRPr="009361EA" w:rsidRDefault="00B849AD" w:rsidP="00E5779B">
            <w:pPr>
              <w:autoSpaceDE/>
              <w:autoSpaceDN/>
              <w:rPr>
                <w:rFonts w:eastAsia="MS Mincho"/>
                <w:sz w:val="22"/>
                <w:szCs w:val="22"/>
                <w:lang w:val="en-US"/>
              </w:rPr>
            </w:pPr>
            <m:oMathPara>
              <m:oMath>
                <m:sSub>
                  <m:sSubPr>
                    <m:ctrlPr>
                      <w:rPr>
                        <w:rFonts w:ascii="Cambria Math" w:hAnsi="Cambria Math" w:cstheme="minorHAnsi"/>
                        <w:i/>
                        <w:sz w:val="22"/>
                        <w:szCs w:val="28"/>
                      </w:rPr>
                    </m:ctrlPr>
                  </m:sSubPr>
                  <m:e>
                    <m:r>
                      <w:rPr>
                        <w:rFonts w:ascii="Cambria Math" w:hAnsi="Cambria Math" w:cstheme="minorHAnsi"/>
                        <w:sz w:val="22"/>
                        <w:szCs w:val="28"/>
                      </w:rPr>
                      <m:t>φ</m:t>
                    </m:r>
                  </m:e>
                  <m:sub>
                    <m:r>
                      <w:rPr>
                        <w:rFonts w:ascii="Cambria Math" w:hAnsi="Cambria Math" w:cstheme="minorHAnsi"/>
                        <w:sz w:val="22"/>
                        <w:szCs w:val="28"/>
                      </w:rPr>
                      <m:t>dry</m:t>
                    </m:r>
                  </m:sub>
                </m:sSub>
                <m:r>
                  <w:rPr>
                    <w:rFonts w:ascii="Cambria Math" w:hAnsi="Cambria Math" w:cstheme="minorHAnsi"/>
                    <w:sz w:val="22"/>
                    <w:szCs w:val="28"/>
                  </w:rPr>
                  <m:t>=</m:t>
                </m:r>
                <m:f>
                  <m:fPr>
                    <m:ctrlPr>
                      <w:rPr>
                        <w:rFonts w:ascii="Cambria Math" w:hAnsi="Cambria Math" w:cstheme="minorHAnsi"/>
                        <w:i/>
                        <w:sz w:val="22"/>
                        <w:szCs w:val="28"/>
                      </w:rPr>
                    </m:ctrlPr>
                  </m:fPr>
                  <m:num>
                    <m:r>
                      <w:rPr>
                        <w:rFonts w:ascii="Cambria Math" w:hAnsi="Cambria Math" w:cstheme="minorHAnsi"/>
                        <w:sz w:val="22"/>
                        <w:szCs w:val="28"/>
                      </w:rPr>
                      <m:t>1.0438+0.1882</m:t>
                    </m:r>
                    <m:f>
                      <m:fPr>
                        <m:ctrlPr>
                          <w:rPr>
                            <w:rFonts w:ascii="Cambria Math" w:hAnsi="Cambria Math" w:cstheme="minorHAnsi"/>
                            <w:i/>
                            <w:sz w:val="22"/>
                            <w:szCs w:val="28"/>
                          </w:rPr>
                        </m:ctrlPr>
                      </m:fPr>
                      <m:num>
                        <m:r>
                          <w:rPr>
                            <w:rFonts w:ascii="Cambria Math" w:hAnsi="Cambria Math" w:cstheme="minorHAnsi"/>
                            <w:sz w:val="22"/>
                            <w:szCs w:val="28"/>
                          </w:rPr>
                          <m:t>h</m:t>
                        </m:r>
                      </m:num>
                      <m:den>
                        <m:r>
                          <w:rPr>
                            <w:rFonts w:ascii="Cambria Math" w:hAnsi="Cambria Math" w:cstheme="minorHAnsi"/>
                            <w:sz w:val="22"/>
                            <w:szCs w:val="28"/>
                          </w:rPr>
                          <m:t>c</m:t>
                        </m:r>
                      </m:den>
                    </m:f>
                    <m:r>
                      <w:rPr>
                        <w:rFonts w:ascii="Cambria Math" w:hAnsi="Cambria Math" w:cstheme="minorHAnsi"/>
                        <w:sz w:val="22"/>
                        <w:szCs w:val="28"/>
                      </w:rPr>
                      <m:t>-0.2509</m:t>
                    </m:r>
                    <m:d>
                      <m:dPr>
                        <m:ctrlPr>
                          <w:rPr>
                            <w:rFonts w:ascii="Cambria Math" w:hAnsi="Cambria Math" w:cstheme="minorHAnsi"/>
                            <w:i/>
                            <w:sz w:val="22"/>
                            <w:szCs w:val="28"/>
                          </w:rPr>
                        </m:ctrlPr>
                      </m:dPr>
                      <m:e>
                        <m:r>
                          <w:rPr>
                            <w:rFonts w:ascii="Cambria Math" w:hAnsi="Cambria Math" w:cstheme="minorHAnsi"/>
                            <w:sz w:val="22"/>
                            <w:szCs w:val="28"/>
                          </w:rPr>
                          <m:t>1+0.7256</m:t>
                        </m:r>
                        <m:f>
                          <m:fPr>
                            <m:ctrlPr>
                              <w:rPr>
                                <w:rFonts w:ascii="Cambria Math" w:hAnsi="Cambria Math" w:cstheme="minorHAnsi"/>
                                <w:i/>
                                <w:sz w:val="22"/>
                                <w:szCs w:val="28"/>
                              </w:rPr>
                            </m:ctrlPr>
                          </m:fPr>
                          <m:num>
                            <m:r>
                              <w:rPr>
                                <w:rFonts w:ascii="Cambria Math" w:hAnsi="Cambria Math" w:cstheme="minorHAnsi"/>
                                <w:sz w:val="22"/>
                                <w:szCs w:val="28"/>
                              </w:rPr>
                              <m:t>h</m:t>
                            </m:r>
                          </m:num>
                          <m:den>
                            <m:r>
                              <w:rPr>
                                <w:rFonts w:ascii="Cambria Math" w:hAnsi="Cambria Math" w:cstheme="minorHAnsi"/>
                                <w:sz w:val="22"/>
                                <w:szCs w:val="28"/>
                              </w:rPr>
                              <m:t>c</m:t>
                            </m:r>
                          </m:den>
                        </m:f>
                        <m:r>
                          <w:rPr>
                            <w:rFonts w:ascii="Cambria Math" w:hAnsi="Cambria Math" w:cstheme="minorHAnsi"/>
                            <w:sz w:val="22"/>
                            <w:szCs w:val="28"/>
                          </w:rPr>
                          <m:t xml:space="preserve"> </m:t>
                        </m:r>
                      </m:e>
                    </m:d>
                    <m:r>
                      <w:rPr>
                        <w:rFonts w:ascii="Cambria Math" w:hAnsi="Cambria Math" w:cstheme="minorHAnsi"/>
                        <w:sz w:val="22"/>
                        <w:szCs w:val="28"/>
                      </w:rPr>
                      <m:t>+0.0383</m:t>
                    </m:r>
                    <m:f>
                      <m:fPr>
                        <m:ctrlPr>
                          <w:rPr>
                            <w:rFonts w:ascii="Cambria Math" w:hAnsi="Cambria Math" w:cstheme="minorHAnsi"/>
                            <w:i/>
                            <w:sz w:val="22"/>
                            <w:szCs w:val="28"/>
                          </w:rPr>
                        </m:ctrlPr>
                      </m:fPr>
                      <m:num>
                        <m:r>
                          <w:rPr>
                            <w:rFonts w:ascii="Cambria Math" w:hAnsi="Cambria Math" w:cstheme="minorHAnsi"/>
                            <w:sz w:val="22"/>
                            <w:szCs w:val="28"/>
                          </w:rPr>
                          <m:t>n</m:t>
                        </m:r>
                      </m:num>
                      <m:den>
                        <m:r>
                          <w:rPr>
                            <w:rFonts w:ascii="Cambria Math" w:hAnsi="Cambria Math" w:cstheme="minorHAnsi"/>
                            <w:sz w:val="22"/>
                            <w:szCs w:val="28"/>
                          </w:rPr>
                          <m:t>c</m:t>
                        </m:r>
                      </m:den>
                    </m:f>
                  </m:num>
                  <m:den>
                    <m:r>
                      <w:rPr>
                        <w:rFonts w:ascii="Cambria Math" w:hAnsi="Cambria Math" w:cstheme="minorHAnsi"/>
                        <w:sz w:val="22"/>
                        <w:szCs w:val="28"/>
                      </w:rPr>
                      <m:t>1-0.3035</m:t>
                    </m:r>
                    <m:f>
                      <m:fPr>
                        <m:ctrlPr>
                          <w:rPr>
                            <w:rFonts w:ascii="Cambria Math" w:hAnsi="Cambria Math" w:cstheme="minorHAnsi"/>
                            <w:i/>
                            <w:sz w:val="22"/>
                            <w:szCs w:val="28"/>
                          </w:rPr>
                        </m:ctrlPr>
                      </m:fPr>
                      <m:num>
                        <m:r>
                          <w:rPr>
                            <w:rFonts w:ascii="Cambria Math" w:hAnsi="Cambria Math" w:cstheme="minorHAnsi"/>
                            <w:sz w:val="22"/>
                            <w:szCs w:val="28"/>
                          </w:rPr>
                          <m:t>o</m:t>
                        </m:r>
                      </m:num>
                      <m:den>
                        <m:r>
                          <w:rPr>
                            <w:rFonts w:ascii="Cambria Math" w:hAnsi="Cambria Math" w:cstheme="minorHAnsi"/>
                            <w:sz w:val="22"/>
                            <w:szCs w:val="28"/>
                          </w:rPr>
                          <m:t>c</m:t>
                        </m:r>
                      </m:den>
                    </m:f>
                  </m:den>
                </m:f>
              </m:oMath>
            </m:oMathPara>
          </w:p>
        </w:tc>
        <w:tc>
          <w:tcPr>
            <w:tcW w:w="803" w:type="dxa"/>
            <w:shd w:val="clear" w:color="auto" w:fill="auto"/>
            <w:vAlign w:val="center"/>
          </w:tcPr>
          <w:p w14:paraId="67B16472" w14:textId="0B992ACC" w:rsidR="00C66EC2" w:rsidRPr="009361EA" w:rsidRDefault="00C66EC2" w:rsidP="00E5779B">
            <w:pPr>
              <w:autoSpaceDE/>
              <w:autoSpaceDN/>
              <w:rPr>
                <w:rFonts w:eastAsia="MS Mincho"/>
                <w:sz w:val="22"/>
                <w:szCs w:val="22"/>
                <w:lang w:val="en-US"/>
              </w:rPr>
            </w:pPr>
            <w:r w:rsidRPr="009361EA">
              <w:rPr>
                <w:rFonts w:eastAsia="MS Mincho"/>
                <w:sz w:val="22"/>
                <w:szCs w:val="22"/>
                <w:lang w:val="en-US"/>
              </w:rPr>
              <w:t>(</w:t>
            </w:r>
            <w:r>
              <w:rPr>
                <w:rFonts w:eastAsia="MS Mincho"/>
                <w:sz w:val="22"/>
                <w:szCs w:val="22"/>
                <w:lang w:val="en-US"/>
              </w:rPr>
              <w:t>7</w:t>
            </w:r>
            <w:r w:rsidRPr="009361EA">
              <w:rPr>
                <w:rFonts w:eastAsia="MS Mincho"/>
                <w:sz w:val="22"/>
                <w:szCs w:val="22"/>
                <w:lang w:val="en-US"/>
              </w:rPr>
              <w:t>)</w:t>
            </w:r>
          </w:p>
        </w:tc>
      </w:tr>
    </w:tbl>
    <w:p w14:paraId="3D7A14B1" w14:textId="77777777" w:rsidR="00C66EC2" w:rsidRPr="009361EA" w:rsidRDefault="00C66EC2" w:rsidP="00C66EC2">
      <w:pPr>
        <w:autoSpaceDE/>
        <w:autoSpaceDN/>
        <w:rPr>
          <w:rFonts w:eastAsia="MS Mincho"/>
          <w:szCs w:val="22"/>
          <w:lang w:val="en-US"/>
        </w:rPr>
      </w:pPr>
    </w:p>
    <w:p w14:paraId="5FC48791" w14:textId="7F331314" w:rsidR="00105D53" w:rsidRDefault="00027CD8" w:rsidP="004D1D74">
      <w:pPr>
        <w:tabs>
          <w:tab w:val="left" w:pos="-720"/>
        </w:tabs>
        <w:suppressAutoHyphens/>
        <w:spacing w:line="360" w:lineRule="auto"/>
        <w:rPr>
          <w:spacing w:val="-3"/>
          <w:lang w:val="en-US"/>
        </w:rPr>
      </w:pPr>
      <w:r w:rsidRPr="00027CD8">
        <w:rPr>
          <w:spacing w:val="-3"/>
          <w:lang w:val="en-US"/>
        </w:rPr>
        <w:t xml:space="preserve">The lower heating value (LHV) can be calculated using the </w:t>
      </w:r>
      <w:r>
        <w:rPr>
          <w:spacing w:val="-3"/>
          <w:lang w:val="en-US"/>
        </w:rPr>
        <w:t xml:space="preserve">expression given in </w:t>
      </w:r>
      <w:r w:rsidRPr="00027CD8">
        <w:rPr>
          <w:spacing w:val="-3"/>
          <w:lang w:val="en-US"/>
        </w:rPr>
        <w:t xml:space="preserve">Eq. </w:t>
      </w:r>
      <w:r>
        <w:rPr>
          <w:spacing w:val="-3"/>
          <w:lang w:val="en-US"/>
        </w:rPr>
        <w:t>8</w:t>
      </w:r>
      <w:r w:rsidRPr="00027CD8">
        <w:rPr>
          <w:spacing w:val="-3"/>
          <w:lang w:val="en-US"/>
        </w:rPr>
        <w:t xml:space="preserve">. LHV is more often used and corresponds to the heat (KJ or kWh) produced by the complete oxidation of a fuel, </w:t>
      </w:r>
      <w:r w:rsidRPr="00374A94">
        <w:rPr>
          <w:spacing w:val="-3"/>
          <w:highlight w:val="cyan"/>
          <w:lang w:val="en-US"/>
        </w:rPr>
        <w:t>without water in the flue gas condensation</w:t>
      </w:r>
      <w:r w:rsidRPr="00027CD8">
        <w:rPr>
          <w:spacing w:val="-3"/>
          <w:lang w:val="en-US"/>
        </w:rPr>
        <w:t>.</w:t>
      </w:r>
    </w:p>
    <w:p w14:paraId="1FF6B861" w14:textId="77777777" w:rsidR="00027CD8" w:rsidRDefault="00027CD8" w:rsidP="004D1D74">
      <w:pPr>
        <w:autoSpaceDE/>
        <w:autoSpaceDN/>
        <w:spacing w:line="360" w:lineRule="auto"/>
        <w:rPr>
          <w:rFonts w:eastAsia="MS Mincho"/>
          <w:szCs w:val="22"/>
          <w:lang w:val="en-US"/>
        </w:rPr>
      </w:pPr>
    </w:p>
    <w:tbl>
      <w:tblPr>
        <w:tblW w:w="0" w:type="auto"/>
        <w:tblInd w:w="108" w:type="dxa"/>
        <w:tblLook w:val="04A0" w:firstRow="1" w:lastRow="0" w:firstColumn="1" w:lastColumn="0" w:noHBand="0" w:noVBand="1"/>
      </w:tblPr>
      <w:tblGrid>
        <w:gridCol w:w="8159"/>
        <w:gridCol w:w="803"/>
      </w:tblGrid>
      <w:tr w:rsidR="00027CD8" w:rsidRPr="009361EA" w14:paraId="368D2CB0" w14:textId="77777777" w:rsidTr="00E5779B">
        <w:tc>
          <w:tcPr>
            <w:tcW w:w="8159" w:type="dxa"/>
            <w:shd w:val="clear" w:color="auto" w:fill="auto"/>
            <w:vAlign w:val="center"/>
          </w:tcPr>
          <w:p w14:paraId="570C1EE7" w14:textId="74BB2B09" w:rsidR="00027CD8" w:rsidRPr="009361EA" w:rsidRDefault="00027CD8" w:rsidP="00E5779B">
            <w:pPr>
              <w:autoSpaceDE/>
              <w:autoSpaceDN/>
              <w:rPr>
                <w:rFonts w:eastAsia="MS Mincho"/>
                <w:sz w:val="22"/>
                <w:szCs w:val="22"/>
                <w:lang w:val="en-US"/>
              </w:rPr>
            </w:pPr>
            <m:oMathPara>
              <m:oMath>
                <m:r>
                  <w:rPr>
                    <w:rFonts w:ascii="Cambria Math" w:hAnsi="Cambria Math" w:cstheme="minorHAnsi"/>
                    <w:sz w:val="22"/>
                    <w:szCs w:val="28"/>
                  </w:rPr>
                  <m:t xml:space="preserve">LHV=0.339 </m:t>
                </m:r>
                <m:sSub>
                  <m:sSubPr>
                    <m:ctrlPr>
                      <w:rPr>
                        <w:rFonts w:ascii="Cambria Math" w:hAnsi="Cambria Math" w:cstheme="minorHAnsi"/>
                        <w:i/>
                        <w:sz w:val="22"/>
                        <w:szCs w:val="28"/>
                      </w:rPr>
                    </m:ctrlPr>
                  </m:sSubPr>
                  <m:e>
                    <m:r>
                      <w:rPr>
                        <w:rFonts w:ascii="Cambria Math" w:hAnsi="Cambria Math" w:cstheme="minorHAnsi"/>
                        <w:sz w:val="22"/>
                        <w:szCs w:val="28"/>
                      </w:rPr>
                      <m:t>x</m:t>
                    </m:r>
                  </m:e>
                  <m:sub>
                    <m:r>
                      <w:rPr>
                        <w:rFonts w:ascii="Cambria Math" w:hAnsi="Cambria Math" w:cstheme="minorHAnsi"/>
                        <w:sz w:val="22"/>
                        <w:szCs w:val="28"/>
                      </w:rPr>
                      <m:t>C</m:t>
                    </m:r>
                  </m:sub>
                </m:sSub>
                <m:r>
                  <w:rPr>
                    <w:rFonts w:ascii="Cambria Math" w:hAnsi="Cambria Math" w:cstheme="minorHAnsi"/>
                    <w:sz w:val="22"/>
                    <w:szCs w:val="28"/>
                  </w:rPr>
                  <m:t>+1.03</m:t>
                </m:r>
                <m:sSub>
                  <m:sSubPr>
                    <m:ctrlPr>
                      <w:rPr>
                        <w:rFonts w:ascii="Cambria Math" w:hAnsi="Cambria Math" w:cstheme="minorHAnsi"/>
                        <w:i/>
                        <w:sz w:val="22"/>
                        <w:szCs w:val="28"/>
                      </w:rPr>
                    </m:ctrlPr>
                  </m:sSubPr>
                  <m:e>
                    <m:r>
                      <w:rPr>
                        <w:rFonts w:ascii="Cambria Math" w:hAnsi="Cambria Math" w:cstheme="minorHAnsi"/>
                        <w:sz w:val="22"/>
                        <w:szCs w:val="28"/>
                      </w:rPr>
                      <m:t>x</m:t>
                    </m:r>
                  </m:e>
                  <m:sub>
                    <m:r>
                      <w:rPr>
                        <w:rFonts w:ascii="Cambria Math" w:hAnsi="Cambria Math" w:cstheme="minorHAnsi"/>
                        <w:sz w:val="22"/>
                        <w:szCs w:val="28"/>
                      </w:rPr>
                      <m:t>H</m:t>
                    </m:r>
                  </m:sub>
                </m:sSub>
                <m:r>
                  <w:rPr>
                    <w:rFonts w:ascii="Cambria Math" w:hAnsi="Cambria Math" w:cstheme="minorHAnsi"/>
                    <w:sz w:val="22"/>
                    <w:szCs w:val="28"/>
                  </w:rPr>
                  <m:t>-0.109</m:t>
                </m:r>
                <m:d>
                  <m:dPr>
                    <m:ctrlPr>
                      <w:rPr>
                        <w:rFonts w:ascii="Cambria Math" w:hAnsi="Cambria Math" w:cstheme="minorHAnsi"/>
                        <w:i/>
                        <w:sz w:val="22"/>
                        <w:szCs w:val="28"/>
                      </w:rPr>
                    </m:ctrlPr>
                  </m:dPr>
                  <m:e>
                    <m:sSub>
                      <m:sSubPr>
                        <m:ctrlPr>
                          <w:rPr>
                            <w:rFonts w:ascii="Cambria Math" w:hAnsi="Cambria Math" w:cstheme="minorHAnsi"/>
                            <w:i/>
                            <w:sz w:val="22"/>
                            <w:szCs w:val="28"/>
                          </w:rPr>
                        </m:ctrlPr>
                      </m:sSubPr>
                      <m:e>
                        <m:r>
                          <w:rPr>
                            <w:rFonts w:ascii="Cambria Math" w:hAnsi="Cambria Math" w:cstheme="minorHAnsi"/>
                            <w:sz w:val="22"/>
                            <w:szCs w:val="28"/>
                          </w:rPr>
                          <m:t>x</m:t>
                        </m:r>
                      </m:e>
                      <m:sub>
                        <m:r>
                          <w:rPr>
                            <w:rFonts w:ascii="Cambria Math" w:hAnsi="Cambria Math" w:cstheme="minorHAnsi"/>
                            <w:sz w:val="22"/>
                            <w:szCs w:val="28"/>
                          </w:rPr>
                          <m:t>O</m:t>
                        </m:r>
                      </m:sub>
                    </m:sSub>
                    <m:r>
                      <w:rPr>
                        <w:rFonts w:ascii="Cambria Math" w:hAnsi="Cambria Math" w:cstheme="minorHAnsi"/>
                        <w:sz w:val="22"/>
                        <w:szCs w:val="28"/>
                      </w:rPr>
                      <m:t>-</m:t>
                    </m:r>
                    <m:sSub>
                      <m:sSubPr>
                        <m:ctrlPr>
                          <w:rPr>
                            <w:rFonts w:ascii="Cambria Math" w:hAnsi="Cambria Math" w:cstheme="minorHAnsi"/>
                            <w:i/>
                            <w:sz w:val="22"/>
                            <w:szCs w:val="28"/>
                          </w:rPr>
                        </m:ctrlPr>
                      </m:sSubPr>
                      <m:e>
                        <m:r>
                          <w:rPr>
                            <w:rFonts w:ascii="Cambria Math" w:hAnsi="Cambria Math" w:cstheme="minorHAnsi"/>
                            <w:sz w:val="22"/>
                            <w:szCs w:val="28"/>
                          </w:rPr>
                          <m:t>x</m:t>
                        </m:r>
                      </m:e>
                      <m:sub>
                        <m:r>
                          <w:rPr>
                            <w:rFonts w:ascii="Cambria Math" w:hAnsi="Cambria Math" w:cstheme="minorHAnsi"/>
                            <w:sz w:val="22"/>
                            <w:szCs w:val="28"/>
                          </w:rPr>
                          <m:t>S</m:t>
                        </m:r>
                      </m:sub>
                    </m:sSub>
                    <m:r>
                      <w:rPr>
                        <w:rFonts w:ascii="Cambria Math" w:hAnsi="Cambria Math" w:cstheme="minorHAnsi"/>
                        <w:sz w:val="22"/>
                        <w:szCs w:val="28"/>
                      </w:rPr>
                      <m:t xml:space="preserve"> </m:t>
                    </m:r>
                  </m:e>
                </m:d>
                <m:r>
                  <w:rPr>
                    <w:rFonts w:ascii="Cambria Math" w:hAnsi="Cambria Math" w:cstheme="minorHAnsi"/>
                    <w:sz w:val="22"/>
                    <w:szCs w:val="28"/>
                  </w:rPr>
                  <m:t>-0.259*</m:t>
                </m:r>
                <m:sSub>
                  <m:sSubPr>
                    <m:ctrlPr>
                      <w:rPr>
                        <w:rFonts w:ascii="Cambria Math" w:hAnsi="Cambria Math" w:cstheme="minorHAnsi"/>
                        <w:i/>
                        <w:sz w:val="22"/>
                        <w:szCs w:val="28"/>
                      </w:rPr>
                    </m:ctrlPr>
                  </m:sSubPr>
                  <m:e>
                    <m:r>
                      <w:rPr>
                        <w:rFonts w:ascii="Cambria Math" w:hAnsi="Cambria Math" w:cstheme="minorHAnsi"/>
                        <w:sz w:val="22"/>
                        <w:szCs w:val="28"/>
                      </w:rPr>
                      <m:t>x</m:t>
                    </m:r>
                  </m:e>
                  <m:sub>
                    <m:r>
                      <w:rPr>
                        <w:rFonts w:ascii="Cambria Math" w:hAnsi="Cambria Math" w:cstheme="minorHAnsi"/>
                        <w:sz w:val="22"/>
                        <w:szCs w:val="28"/>
                      </w:rPr>
                      <m:t>moisture</m:t>
                    </m:r>
                  </m:sub>
                </m:sSub>
              </m:oMath>
            </m:oMathPara>
          </w:p>
        </w:tc>
        <w:tc>
          <w:tcPr>
            <w:tcW w:w="803" w:type="dxa"/>
            <w:shd w:val="clear" w:color="auto" w:fill="auto"/>
            <w:vAlign w:val="center"/>
          </w:tcPr>
          <w:p w14:paraId="070A7091" w14:textId="2D594349" w:rsidR="00027CD8" w:rsidRPr="009361EA" w:rsidRDefault="00027CD8" w:rsidP="00E5779B">
            <w:pPr>
              <w:autoSpaceDE/>
              <w:autoSpaceDN/>
              <w:rPr>
                <w:rFonts w:eastAsia="MS Mincho"/>
                <w:sz w:val="22"/>
                <w:szCs w:val="22"/>
                <w:lang w:val="en-US"/>
              </w:rPr>
            </w:pPr>
            <w:r w:rsidRPr="009361EA">
              <w:rPr>
                <w:rFonts w:eastAsia="MS Mincho"/>
                <w:sz w:val="22"/>
                <w:szCs w:val="22"/>
                <w:lang w:val="en-US"/>
              </w:rPr>
              <w:t>(</w:t>
            </w:r>
            <w:r>
              <w:rPr>
                <w:rFonts w:eastAsia="MS Mincho"/>
                <w:sz w:val="22"/>
                <w:szCs w:val="22"/>
                <w:lang w:val="en-US"/>
              </w:rPr>
              <w:t>8</w:t>
            </w:r>
            <w:r w:rsidRPr="009361EA">
              <w:rPr>
                <w:rFonts w:eastAsia="MS Mincho"/>
                <w:sz w:val="22"/>
                <w:szCs w:val="22"/>
                <w:lang w:val="en-US"/>
              </w:rPr>
              <w:t>)</w:t>
            </w:r>
          </w:p>
        </w:tc>
      </w:tr>
    </w:tbl>
    <w:p w14:paraId="36BE894D" w14:textId="77777777" w:rsidR="00027CD8" w:rsidRDefault="00027CD8" w:rsidP="00645F11">
      <w:pPr>
        <w:tabs>
          <w:tab w:val="left" w:pos="-720"/>
        </w:tabs>
        <w:suppressAutoHyphens/>
        <w:rPr>
          <w:spacing w:val="-3"/>
          <w:lang w:val="en-US"/>
        </w:rPr>
      </w:pPr>
    </w:p>
    <w:p w14:paraId="33FDE355" w14:textId="5D5033A1" w:rsidR="00105D53" w:rsidRDefault="00027CD8" w:rsidP="004D1D74">
      <w:pPr>
        <w:tabs>
          <w:tab w:val="left" w:pos="-720"/>
        </w:tabs>
        <w:suppressAutoHyphens/>
        <w:spacing w:line="360" w:lineRule="auto"/>
        <w:rPr>
          <w:spacing w:val="-3"/>
          <w:lang w:val="en-US"/>
        </w:rPr>
      </w:pPr>
      <w:r w:rsidRPr="00027CD8">
        <w:rPr>
          <w:spacing w:val="-3"/>
          <w:lang w:val="en-US"/>
        </w:rPr>
        <w:lastRenderedPageBreak/>
        <w:t xml:space="preserve">where LHV is in MJ/kg, </w:t>
      </w:r>
      <w:proofErr w:type="spellStart"/>
      <w:r w:rsidRPr="00027CD8">
        <w:rPr>
          <w:spacing w:val="-3"/>
          <w:lang w:val="en-US"/>
        </w:rPr>
        <w:t>x</w:t>
      </w:r>
      <w:r w:rsidRPr="00027CD8">
        <w:rPr>
          <w:spacing w:val="-3"/>
          <w:vertAlign w:val="subscript"/>
          <w:lang w:val="en-US"/>
        </w:rPr>
        <w:t>C</w:t>
      </w:r>
      <w:proofErr w:type="spellEnd"/>
      <w:r w:rsidRPr="00027CD8">
        <w:rPr>
          <w:spacing w:val="-3"/>
          <w:lang w:val="en-US"/>
        </w:rPr>
        <w:t xml:space="preserve"> is the mass fraction of carbon, </w:t>
      </w:r>
      <w:proofErr w:type="spellStart"/>
      <w:r w:rsidRPr="00027CD8">
        <w:rPr>
          <w:spacing w:val="-3"/>
          <w:lang w:val="en-US"/>
        </w:rPr>
        <w:t>x</w:t>
      </w:r>
      <w:r w:rsidRPr="00027CD8">
        <w:rPr>
          <w:spacing w:val="-3"/>
          <w:vertAlign w:val="subscript"/>
          <w:lang w:val="en-US"/>
        </w:rPr>
        <w:t>H</w:t>
      </w:r>
      <w:proofErr w:type="spellEnd"/>
      <w:r w:rsidRPr="00027CD8">
        <w:rPr>
          <w:spacing w:val="-3"/>
          <w:lang w:val="en-US"/>
        </w:rPr>
        <w:t xml:space="preserve"> is the mass fraction of hydrogen, </w:t>
      </w:r>
      <w:proofErr w:type="spellStart"/>
      <w:r w:rsidRPr="00027CD8">
        <w:rPr>
          <w:spacing w:val="-3"/>
          <w:lang w:val="en-US"/>
        </w:rPr>
        <w:t>x</w:t>
      </w:r>
      <w:r w:rsidRPr="00027CD8">
        <w:rPr>
          <w:spacing w:val="-3"/>
          <w:vertAlign w:val="subscript"/>
          <w:lang w:val="en-US"/>
        </w:rPr>
        <w:t>O</w:t>
      </w:r>
      <w:proofErr w:type="spellEnd"/>
      <w:r w:rsidRPr="00027CD8">
        <w:rPr>
          <w:spacing w:val="-3"/>
          <w:lang w:val="en-US"/>
        </w:rPr>
        <w:t xml:space="preserve"> is the mass fraction of oxygen, </w:t>
      </w:r>
      <w:proofErr w:type="spellStart"/>
      <w:r w:rsidRPr="00027CD8">
        <w:rPr>
          <w:spacing w:val="-3"/>
          <w:lang w:val="en-US"/>
        </w:rPr>
        <w:t>x</w:t>
      </w:r>
      <w:r w:rsidRPr="00027CD8">
        <w:rPr>
          <w:spacing w:val="-3"/>
          <w:vertAlign w:val="subscript"/>
          <w:lang w:val="en-US"/>
        </w:rPr>
        <w:t>S</w:t>
      </w:r>
      <w:proofErr w:type="spellEnd"/>
      <w:r w:rsidRPr="00027CD8">
        <w:rPr>
          <w:spacing w:val="-3"/>
          <w:lang w:val="en-US"/>
        </w:rPr>
        <w:t xml:space="preserve"> is the mass fraction of </w:t>
      </w:r>
      <w:proofErr w:type="spellStart"/>
      <w:r w:rsidRPr="00027CD8">
        <w:rPr>
          <w:spacing w:val="-3"/>
          <w:lang w:val="en-US"/>
        </w:rPr>
        <w:t>sulphur</w:t>
      </w:r>
      <w:proofErr w:type="spellEnd"/>
      <w:r w:rsidRPr="00027CD8">
        <w:rPr>
          <w:spacing w:val="-3"/>
          <w:lang w:val="en-US"/>
        </w:rPr>
        <w:t xml:space="preserve"> and </w:t>
      </w:r>
      <w:proofErr w:type="spellStart"/>
      <w:r w:rsidRPr="00027CD8">
        <w:rPr>
          <w:spacing w:val="-3"/>
          <w:lang w:val="en-US"/>
        </w:rPr>
        <w:t>x</w:t>
      </w:r>
      <w:r w:rsidRPr="00027CD8">
        <w:rPr>
          <w:spacing w:val="-3"/>
          <w:vertAlign w:val="subscript"/>
          <w:lang w:val="en-US"/>
        </w:rPr>
        <w:t>moisture</w:t>
      </w:r>
      <w:proofErr w:type="spellEnd"/>
      <w:r w:rsidRPr="00027CD8">
        <w:rPr>
          <w:spacing w:val="-3"/>
          <w:lang w:val="en-US"/>
        </w:rPr>
        <w:t xml:space="preserve"> is the mass fraction of moisture related to the biomass feedstock </w:t>
      </w:r>
      <w:r>
        <w:rPr>
          <w:spacing w:val="-3"/>
          <w:lang w:val="en-US"/>
        </w:rPr>
        <w:fldChar w:fldCharType="begin"/>
      </w:r>
      <w:r w:rsidR="00DE1CA2">
        <w:rPr>
          <w:spacing w:val="-3"/>
          <w:lang w:val="en-US"/>
        </w:rPr>
        <w:instrText xml:space="preserve"> ADDIN ZOTERO_ITEM CSL_CITATION {"citationID":"fzB2IJ0b","properties":{"formattedCitation":"[49]","plainCitation":"[49]","noteIndex":0},"citationItems":[{"id":1169,"uris":["http://zotero.org/users/5217225/items/8W64F5EZ"],"uri":["http://zotero.org/users/5217225/items/8W64F5EZ"],"itemData":{"id":1169,"type":"book","edition":"1ED.","ISBN":"978-85-7193-228-9","language":"Português","title":"Biocombustíveis","volume":"Vol. 1, Chapter 2.","author":[{"family":"Silva Lora","given":"E."},{"family":"Venturini","given":"O. J."}],"issued":{"date-parts":[["2012"]]}}}],"schema":"https://github.com/citation-style-language/schema/raw/master/csl-citation.json"} </w:instrText>
      </w:r>
      <w:r>
        <w:rPr>
          <w:spacing w:val="-3"/>
          <w:lang w:val="en-US"/>
        </w:rPr>
        <w:fldChar w:fldCharType="separate"/>
      </w:r>
      <w:r w:rsidR="00DE1CA2" w:rsidRPr="00DE1CA2">
        <w:t>[49]</w:t>
      </w:r>
      <w:r>
        <w:rPr>
          <w:spacing w:val="-3"/>
          <w:lang w:val="en-US"/>
        </w:rPr>
        <w:fldChar w:fldCharType="end"/>
      </w:r>
      <w:r w:rsidRPr="00027CD8">
        <w:rPr>
          <w:spacing w:val="-3"/>
          <w:lang w:val="en-US"/>
        </w:rPr>
        <w:t>.</w:t>
      </w:r>
    </w:p>
    <w:p w14:paraId="46D34166" w14:textId="77777777" w:rsidR="00866D62" w:rsidRPr="009361EA" w:rsidRDefault="00866D62" w:rsidP="009137BB">
      <w:pPr>
        <w:autoSpaceDE/>
        <w:autoSpaceDN/>
        <w:rPr>
          <w:rFonts w:eastAsia="MS Mincho"/>
          <w:szCs w:val="22"/>
          <w:lang w:val="en-US"/>
        </w:rPr>
      </w:pPr>
    </w:p>
    <w:p w14:paraId="3FA49E67" w14:textId="77777777" w:rsidR="0030147C" w:rsidRPr="009361EA" w:rsidRDefault="0030147C" w:rsidP="007B7863">
      <w:pPr>
        <w:pStyle w:val="Ttulo2"/>
        <w:numPr>
          <w:ilvl w:val="1"/>
          <w:numId w:val="9"/>
        </w:numPr>
        <w:ind w:hanging="792"/>
        <w:rPr>
          <w:lang w:val="en-US"/>
        </w:rPr>
      </w:pPr>
      <w:r w:rsidRPr="00027CD8">
        <w:rPr>
          <w:lang w:val="en-US"/>
        </w:rPr>
        <w:t xml:space="preserve">Performance </w:t>
      </w:r>
      <w:r w:rsidR="0040685A" w:rsidRPr="00027CD8">
        <w:rPr>
          <w:lang w:val="en-US"/>
        </w:rPr>
        <w:t>Assessment</w:t>
      </w:r>
    </w:p>
    <w:p w14:paraId="0B6F5943" w14:textId="176E24D2" w:rsidR="0040685A" w:rsidRPr="00F562B2" w:rsidRDefault="0040685A" w:rsidP="004D1D74">
      <w:pPr>
        <w:tabs>
          <w:tab w:val="left" w:pos="-720"/>
        </w:tabs>
        <w:suppressAutoHyphens/>
        <w:spacing w:line="360" w:lineRule="auto"/>
        <w:rPr>
          <w:iCs/>
          <w:spacing w:val="-3"/>
          <w:lang w:val="en-US"/>
        </w:rPr>
      </w:pPr>
      <w:r w:rsidRPr="00687332">
        <w:rPr>
          <w:iCs/>
          <w:spacing w:val="-3"/>
          <w:lang w:val="en-US"/>
        </w:rPr>
        <w:t>Exergy efficiency</w:t>
      </w:r>
      <w:r w:rsidR="00277C49">
        <w:rPr>
          <w:iCs/>
          <w:spacing w:val="-3"/>
          <w:lang w:val="en-US"/>
        </w:rPr>
        <w:t xml:space="preserve">, </w:t>
      </w:r>
      <w:r w:rsidR="00216FC1">
        <w:rPr>
          <w:iCs/>
          <w:spacing w:val="-3"/>
          <w:lang w:val="en-US"/>
        </w:rPr>
        <w:t>I</w:t>
      </w:r>
      <w:r w:rsidRPr="00687332">
        <w:rPr>
          <w:iCs/>
          <w:spacing w:val="-3"/>
          <w:lang w:val="en-US"/>
        </w:rPr>
        <w:t>rreversibility rate</w:t>
      </w:r>
      <w:r w:rsidR="00277C49">
        <w:rPr>
          <w:iCs/>
          <w:spacing w:val="-3"/>
          <w:lang w:val="en-US"/>
        </w:rPr>
        <w:t xml:space="preserve">, </w:t>
      </w:r>
      <w:r w:rsidR="00277C49" w:rsidRPr="00277C49">
        <w:rPr>
          <w:iCs/>
          <w:spacing w:val="-3"/>
          <w:lang w:val="en-US"/>
        </w:rPr>
        <w:t>Average unitary exergy cost (AUEC)</w:t>
      </w:r>
      <w:r w:rsidR="000024A6">
        <w:rPr>
          <w:iCs/>
          <w:spacing w:val="-3"/>
          <w:lang w:val="en-US"/>
        </w:rPr>
        <w:t>,</w:t>
      </w:r>
      <w:r w:rsidR="00277C49">
        <w:rPr>
          <w:iCs/>
          <w:spacing w:val="-3"/>
          <w:lang w:val="en-US"/>
        </w:rPr>
        <w:t xml:space="preserve"> and </w:t>
      </w:r>
      <w:r w:rsidR="00277C49" w:rsidRPr="00277C49">
        <w:rPr>
          <w:iCs/>
          <w:spacing w:val="-3"/>
          <w:lang w:val="en-US"/>
        </w:rPr>
        <w:t>Renewability exergy index (λ</w:t>
      </w:r>
      <w:r w:rsidR="00277C49">
        <w:rPr>
          <w:iCs/>
          <w:spacing w:val="-3"/>
          <w:lang w:val="en-US"/>
        </w:rPr>
        <w:t>)</w:t>
      </w:r>
      <w:r w:rsidRPr="00687332">
        <w:rPr>
          <w:iCs/>
          <w:spacing w:val="-3"/>
          <w:lang w:val="en-US"/>
        </w:rPr>
        <w:t xml:space="preserve"> </w:t>
      </w:r>
      <w:r w:rsidRPr="00F562B2">
        <w:rPr>
          <w:iCs/>
          <w:spacing w:val="-3"/>
          <w:lang w:val="en-US"/>
        </w:rPr>
        <w:t>were used as key performance indicator</w:t>
      </w:r>
      <w:r w:rsidR="000024A6">
        <w:rPr>
          <w:iCs/>
          <w:spacing w:val="-3"/>
          <w:lang w:val="en-US"/>
        </w:rPr>
        <w:t>s</w:t>
      </w:r>
      <w:r w:rsidRPr="00F562B2">
        <w:rPr>
          <w:iCs/>
          <w:spacing w:val="-3"/>
          <w:lang w:val="en-US"/>
        </w:rPr>
        <w:t xml:space="preserve"> (KP</w:t>
      </w:r>
      <w:r w:rsidR="00AE34B4" w:rsidRPr="00F562B2">
        <w:rPr>
          <w:iCs/>
          <w:spacing w:val="-3"/>
          <w:lang w:val="en-US"/>
        </w:rPr>
        <w:t>I</w:t>
      </w:r>
      <w:r w:rsidRPr="00F562B2">
        <w:rPr>
          <w:iCs/>
          <w:spacing w:val="-3"/>
          <w:lang w:val="en-US"/>
        </w:rPr>
        <w:t>) in the analysis of the thermochemical conversion systems.</w:t>
      </w:r>
    </w:p>
    <w:p w14:paraId="49C01AAF" w14:textId="77777777" w:rsidR="0040685A" w:rsidRPr="00F562B2" w:rsidRDefault="0040685A" w:rsidP="004D1D74">
      <w:pPr>
        <w:tabs>
          <w:tab w:val="left" w:pos="-720"/>
        </w:tabs>
        <w:suppressAutoHyphens/>
        <w:spacing w:line="360" w:lineRule="auto"/>
        <w:rPr>
          <w:i/>
          <w:iCs/>
          <w:spacing w:val="-3"/>
          <w:u w:val="single"/>
          <w:lang w:val="en-US"/>
        </w:rPr>
      </w:pPr>
    </w:p>
    <w:p w14:paraId="69CC8004" w14:textId="31744FD3" w:rsidR="00C34DCB" w:rsidRPr="00F562B2" w:rsidRDefault="00C34DCB" w:rsidP="004D1D74">
      <w:pPr>
        <w:tabs>
          <w:tab w:val="left" w:pos="-720"/>
        </w:tabs>
        <w:suppressAutoHyphens/>
        <w:spacing w:line="360" w:lineRule="auto"/>
        <w:rPr>
          <w:rFonts w:eastAsia="MS Mincho"/>
          <w:szCs w:val="22"/>
          <w:lang w:val="en-US"/>
        </w:rPr>
      </w:pPr>
      <w:r w:rsidRPr="00F562B2">
        <w:rPr>
          <w:i/>
          <w:iCs/>
          <w:spacing w:val="-3"/>
          <w:u w:val="single"/>
          <w:lang w:val="en-US"/>
        </w:rPr>
        <w:t>Exergy efficiency</w:t>
      </w:r>
      <w:r w:rsidR="00277C49">
        <w:rPr>
          <w:i/>
          <w:iCs/>
          <w:spacing w:val="-3"/>
          <w:u w:val="single"/>
          <w:lang w:val="en-US"/>
        </w:rPr>
        <w:t>:</w:t>
      </w:r>
      <w:r w:rsidRPr="00F562B2">
        <w:rPr>
          <w:spacing w:val="-3"/>
          <w:lang w:val="en-US"/>
        </w:rPr>
        <w:t xml:space="preserve">  </w:t>
      </w:r>
      <w:r w:rsidR="00645F11" w:rsidRPr="00F562B2">
        <w:rPr>
          <w:spacing w:val="-3"/>
          <w:lang w:val="en-US"/>
        </w:rPr>
        <w:t>T</w:t>
      </w:r>
      <w:r w:rsidR="002E3518" w:rsidRPr="00F562B2">
        <w:rPr>
          <w:rFonts w:eastAsia="MS Mincho"/>
          <w:szCs w:val="22"/>
          <w:lang w:val="en-US"/>
        </w:rPr>
        <w:t>h</w:t>
      </w:r>
      <w:r w:rsidRPr="00F562B2">
        <w:rPr>
          <w:rFonts w:eastAsia="MS Mincho"/>
          <w:szCs w:val="22"/>
          <w:lang w:val="en-US"/>
        </w:rPr>
        <w:t xml:space="preserve">is </w:t>
      </w:r>
      <w:r w:rsidR="002E3518" w:rsidRPr="00F562B2">
        <w:rPr>
          <w:rFonts w:eastAsia="MS Mincho"/>
          <w:szCs w:val="22"/>
          <w:lang w:val="en-US"/>
        </w:rPr>
        <w:t xml:space="preserve">indicator </w:t>
      </w:r>
      <w:r w:rsidRPr="00F562B2">
        <w:rPr>
          <w:rFonts w:eastAsia="MS Mincho"/>
          <w:szCs w:val="22"/>
          <w:lang w:val="en-US"/>
        </w:rPr>
        <w:t xml:space="preserve">determinate by the ratio between the exergy of the </w:t>
      </w:r>
      <w:r w:rsidR="000024A6">
        <w:rPr>
          <w:rFonts w:eastAsia="MS Mincho"/>
          <w:szCs w:val="22"/>
          <w:lang w:val="en-US"/>
        </w:rPr>
        <w:t>outputs (</w:t>
      </w:r>
      <w:proofErr w:type="spellStart"/>
      <w:r w:rsidR="000024A6">
        <w:rPr>
          <w:rFonts w:eastAsia="MS Mincho"/>
          <w:szCs w:val="22"/>
          <w:lang w:val="en-US"/>
        </w:rPr>
        <w:t>B</w:t>
      </w:r>
      <w:r w:rsidRPr="000024A6">
        <w:rPr>
          <w:rFonts w:eastAsia="MS Mincho"/>
          <w:szCs w:val="22"/>
          <w:vertAlign w:val="subscript"/>
          <w:lang w:val="en-US"/>
        </w:rPr>
        <w:t>products</w:t>
      </w:r>
      <w:proofErr w:type="spellEnd"/>
      <w:r w:rsidR="000024A6">
        <w:rPr>
          <w:rFonts w:eastAsia="MS Mincho"/>
          <w:szCs w:val="22"/>
          <w:lang w:val="en-US"/>
        </w:rPr>
        <w:t>)</w:t>
      </w:r>
      <w:r w:rsidRPr="00F562B2">
        <w:rPr>
          <w:rFonts w:eastAsia="MS Mincho"/>
          <w:szCs w:val="22"/>
          <w:lang w:val="en-US"/>
        </w:rPr>
        <w:t xml:space="preserve"> and the exergy of the </w:t>
      </w:r>
      <w:r w:rsidR="000024A6">
        <w:rPr>
          <w:rFonts w:eastAsia="MS Mincho"/>
          <w:szCs w:val="22"/>
          <w:lang w:val="en-US"/>
        </w:rPr>
        <w:t>inputs (</w:t>
      </w:r>
      <w:proofErr w:type="spellStart"/>
      <w:r w:rsidR="000024A6">
        <w:rPr>
          <w:rFonts w:eastAsia="MS Mincho"/>
          <w:szCs w:val="22"/>
          <w:lang w:val="en-US"/>
        </w:rPr>
        <w:t>B</w:t>
      </w:r>
      <w:r w:rsidRPr="000024A6">
        <w:rPr>
          <w:rFonts w:eastAsia="MS Mincho"/>
          <w:szCs w:val="22"/>
          <w:vertAlign w:val="subscript"/>
          <w:lang w:val="en-US"/>
        </w:rPr>
        <w:t>resources</w:t>
      </w:r>
      <w:proofErr w:type="spellEnd"/>
      <w:r w:rsidR="000024A6">
        <w:rPr>
          <w:rFonts w:eastAsia="MS Mincho"/>
          <w:szCs w:val="22"/>
          <w:lang w:val="en-US"/>
        </w:rPr>
        <w:t>)</w:t>
      </w:r>
      <w:r w:rsidRPr="00F562B2">
        <w:rPr>
          <w:rFonts w:eastAsia="MS Mincho"/>
          <w:szCs w:val="22"/>
          <w:lang w:val="en-US"/>
        </w:rPr>
        <w:t>, as indicated in Eq. (</w:t>
      </w:r>
      <w:r w:rsidR="005D52CE">
        <w:rPr>
          <w:rFonts w:eastAsia="MS Mincho"/>
          <w:szCs w:val="22"/>
          <w:lang w:val="en-US"/>
        </w:rPr>
        <w:t>9</w:t>
      </w:r>
      <w:r w:rsidRPr="00F562B2">
        <w:rPr>
          <w:rFonts w:eastAsia="MS Mincho"/>
          <w:szCs w:val="22"/>
          <w:lang w:val="en-US"/>
        </w:rPr>
        <w:t>).</w:t>
      </w:r>
    </w:p>
    <w:tbl>
      <w:tblPr>
        <w:tblW w:w="5112" w:type="pct"/>
        <w:tblCellMar>
          <w:left w:w="70" w:type="dxa"/>
          <w:right w:w="70" w:type="dxa"/>
        </w:tblCellMar>
        <w:tblLook w:val="04A0" w:firstRow="1" w:lastRow="0" w:firstColumn="1" w:lastColumn="0" w:noHBand="0" w:noVBand="1"/>
      </w:tblPr>
      <w:tblGrid>
        <w:gridCol w:w="8431"/>
        <w:gridCol w:w="842"/>
      </w:tblGrid>
      <w:tr w:rsidR="00C34DCB" w:rsidRPr="00F562B2" w14:paraId="3EFE4DAB" w14:textId="77777777" w:rsidTr="003B068C">
        <w:tc>
          <w:tcPr>
            <w:tcW w:w="4546" w:type="pct"/>
            <w:vAlign w:val="center"/>
            <w:hideMark/>
          </w:tcPr>
          <w:p w14:paraId="7E30C6F8" w14:textId="77777777" w:rsidR="00C34DCB" w:rsidRPr="00F562B2" w:rsidRDefault="00B849AD" w:rsidP="004D1D74">
            <w:pPr>
              <w:autoSpaceDE/>
              <w:autoSpaceDN/>
              <w:spacing w:line="360" w:lineRule="auto"/>
              <w:rPr>
                <w:rFonts w:eastAsia="MS Mincho"/>
                <w:szCs w:val="22"/>
                <w:lang w:val="en-US"/>
              </w:rPr>
            </w:pPr>
            <m:oMathPara>
              <m:oMath>
                <m:sSub>
                  <m:sSubPr>
                    <m:ctrlPr>
                      <w:rPr>
                        <w:rFonts w:ascii="Cambria Math" w:eastAsia="MS Mincho" w:hAnsi="Cambria Math"/>
                        <w:szCs w:val="22"/>
                        <w:lang w:val="en-US"/>
                      </w:rPr>
                    </m:ctrlPr>
                  </m:sSubPr>
                  <m:e>
                    <m:r>
                      <w:rPr>
                        <w:rFonts w:ascii="Cambria Math" w:eastAsia="MS Mincho" w:hAnsi="Cambria Math"/>
                        <w:szCs w:val="22"/>
                        <w:lang w:val="en-US"/>
                      </w:rPr>
                      <m:t>η</m:t>
                    </m:r>
                  </m:e>
                  <m:sub>
                    <m:r>
                      <w:rPr>
                        <w:rFonts w:ascii="Cambria Math" w:eastAsia="MS Mincho" w:hAnsi="Cambria Math"/>
                        <w:szCs w:val="22"/>
                        <w:lang w:val="en-US"/>
                      </w:rPr>
                      <m:t>B</m:t>
                    </m:r>
                  </m:sub>
                </m:sSub>
                <m:r>
                  <m:rPr>
                    <m:sty m:val="p"/>
                  </m:rPr>
                  <w:rPr>
                    <w:rFonts w:ascii="Cambria Math" w:eastAsia="MS Mincho" w:hAnsi="Cambria Math"/>
                    <w:szCs w:val="22"/>
                    <w:lang w:val="en-US"/>
                  </w:rPr>
                  <m:t>=</m:t>
                </m:r>
                <m:f>
                  <m:fPr>
                    <m:ctrlPr>
                      <w:rPr>
                        <w:rFonts w:ascii="Cambria Math" w:eastAsia="MS Mincho" w:hAnsi="Cambria Math"/>
                        <w:szCs w:val="22"/>
                        <w:lang w:val="en-US"/>
                      </w:rPr>
                    </m:ctrlPr>
                  </m:fPr>
                  <m:num>
                    <m:nary>
                      <m:naryPr>
                        <m:chr m:val="∑"/>
                        <m:limLoc m:val="undOvr"/>
                        <m:subHide m:val="1"/>
                        <m:supHide m:val="1"/>
                        <m:ctrlPr>
                          <w:rPr>
                            <w:rFonts w:ascii="Cambria Math" w:eastAsia="MS Mincho" w:hAnsi="Cambria Math"/>
                            <w:szCs w:val="22"/>
                            <w:lang w:val="en-US"/>
                          </w:rPr>
                        </m:ctrlPr>
                      </m:naryPr>
                      <m:sub/>
                      <m:sup/>
                      <m:e>
                        <m:sSub>
                          <m:sSubPr>
                            <m:ctrlPr>
                              <w:rPr>
                                <w:rFonts w:ascii="Cambria Math" w:eastAsia="MS Mincho" w:hAnsi="Cambria Math"/>
                                <w:szCs w:val="22"/>
                                <w:lang w:val="en-US"/>
                              </w:rPr>
                            </m:ctrlPr>
                          </m:sSubPr>
                          <m:e>
                            <m:acc>
                              <m:accPr>
                                <m:chr m:val="̇"/>
                                <m:ctrlPr>
                                  <w:rPr>
                                    <w:rFonts w:ascii="Cambria Math" w:eastAsia="MS Mincho" w:hAnsi="Cambria Math"/>
                                    <w:szCs w:val="22"/>
                                    <w:lang w:val="en-US"/>
                                  </w:rPr>
                                </m:ctrlPr>
                              </m:accPr>
                              <m:e>
                                <m:r>
                                  <m:rPr>
                                    <m:sty m:val="p"/>
                                  </m:rPr>
                                  <w:rPr>
                                    <w:rFonts w:ascii="Cambria Math" w:eastAsia="MS Mincho" w:hAnsi="Cambria Math"/>
                                    <w:szCs w:val="22"/>
                                    <w:lang w:val="en-US"/>
                                  </w:rPr>
                                  <m:t>B</m:t>
                                </m:r>
                              </m:e>
                            </m:acc>
                          </m:e>
                          <m:sub>
                            <m:r>
                              <w:rPr>
                                <w:rFonts w:ascii="Cambria Math" w:eastAsia="MS Mincho" w:hAnsi="Cambria Math"/>
                                <w:szCs w:val="22"/>
                                <w:lang w:val="en-US"/>
                              </w:rPr>
                              <m:t>products</m:t>
                            </m:r>
                          </m:sub>
                        </m:sSub>
                      </m:e>
                    </m:nary>
                  </m:num>
                  <m:den>
                    <m:nary>
                      <m:naryPr>
                        <m:chr m:val="∑"/>
                        <m:limLoc m:val="undOvr"/>
                        <m:subHide m:val="1"/>
                        <m:supHide m:val="1"/>
                        <m:ctrlPr>
                          <w:rPr>
                            <w:rFonts w:ascii="Cambria Math" w:eastAsia="MS Mincho" w:hAnsi="Cambria Math"/>
                            <w:szCs w:val="22"/>
                            <w:lang w:val="en-US"/>
                          </w:rPr>
                        </m:ctrlPr>
                      </m:naryPr>
                      <m:sub/>
                      <m:sup/>
                      <m:e>
                        <m:sSub>
                          <m:sSubPr>
                            <m:ctrlPr>
                              <w:rPr>
                                <w:rFonts w:ascii="Cambria Math" w:eastAsia="MS Mincho" w:hAnsi="Cambria Math"/>
                                <w:szCs w:val="22"/>
                                <w:lang w:val="en-US"/>
                              </w:rPr>
                            </m:ctrlPr>
                          </m:sSubPr>
                          <m:e>
                            <m:acc>
                              <m:accPr>
                                <m:chr m:val="̇"/>
                                <m:ctrlPr>
                                  <w:rPr>
                                    <w:rFonts w:ascii="Cambria Math" w:eastAsia="MS Mincho" w:hAnsi="Cambria Math"/>
                                    <w:szCs w:val="22"/>
                                    <w:lang w:val="en-US"/>
                                  </w:rPr>
                                </m:ctrlPr>
                              </m:accPr>
                              <m:e>
                                <m:r>
                                  <m:rPr>
                                    <m:sty m:val="p"/>
                                  </m:rPr>
                                  <w:rPr>
                                    <w:rFonts w:ascii="Cambria Math" w:eastAsia="MS Mincho" w:hAnsi="Cambria Math"/>
                                    <w:szCs w:val="22"/>
                                    <w:lang w:val="en-US"/>
                                  </w:rPr>
                                  <m:t>B</m:t>
                                </m:r>
                              </m:e>
                            </m:acc>
                          </m:e>
                          <m:sub>
                            <m:r>
                              <w:rPr>
                                <w:rFonts w:ascii="Cambria Math" w:eastAsia="MS Mincho" w:hAnsi="Cambria Math"/>
                                <w:szCs w:val="22"/>
                                <w:lang w:val="en-US"/>
                              </w:rPr>
                              <m:t>resources</m:t>
                            </m:r>
                          </m:sub>
                        </m:sSub>
                      </m:e>
                    </m:nary>
                  </m:den>
                </m:f>
              </m:oMath>
            </m:oMathPara>
          </w:p>
        </w:tc>
        <w:tc>
          <w:tcPr>
            <w:tcW w:w="454" w:type="pct"/>
            <w:vAlign w:val="center"/>
            <w:hideMark/>
          </w:tcPr>
          <w:p w14:paraId="304E1813" w14:textId="3646A342" w:rsidR="00C34DCB" w:rsidRPr="00F562B2" w:rsidRDefault="00C34DCB" w:rsidP="004D1D74">
            <w:pPr>
              <w:autoSpaceDE/>
              <w:autoSpaceDN/>
              <w:spacing w:line="360" w:lineRule="auto"/>
              <w:rPr>
                <w:rFonts w:eastAsia="MS Mincho"/>
                <w:szCs w:val="22"/>
                <w:lang w:val="en-US"/>
              </w:rPr>
            </w:pPr>
            <w:r w:rsidRPr="00F562B2">
              <w:rPr>
                <w:rFonts w:eastAsia="MS Mincho"/>
                <w:szCs w:val="22"/>
                <w:lang w:val="en-US"/>
              </w:rPr>
              <w:t>(</w:t>
            </w:r>
            <w:r w:rsidR="005D52CE">
              <w:rPr>
                <w:rFonts w:eastAsia="MS Mincho"/>
                <w:szCs w:val="22"/>
                <w:lang w:val="en-US"/>
              </w:rPr>
              <w:t>9</w:t>
            </w:r>
            <w:r w:rsidRPr="00F562B2">
              <w:rPr>
                <w:rFonts w:eastAsia="MS Mincho"/>
                <w:szCs w:val="22"/>
                <w:lang w:val="en-US"/>
              </w:rPr>
              <w:t>)</w:t>
            </w:r>
          </w:p>
        </w:tc>
      </w:tr>
    </w:tbl>
    <w:p w14:paraId="3CF67EE0" w14:textId="77777777" w:rsidR="0040685A" w:rsidRPr="00F562B2" w:rsidRDefault="0040685A" w:rsidP="004D1D74">
      <w:pPr>
        <w:tabs>
          <w:tab w:val="left" w:pos="-720"/>
        </w:tabs>
        <w:suppressAutoHyphens/>
        <w:spacing w:line="360" w:lineRule="auto"/>
        <w:rPr>
          <w:i/>
          <w:iCs/>
          <w:spacing w:val="-3"/>
          <w:u w:val="single"/>
          <w:lang w:val="en-US"/>
        </w:rPr>
      </w:pPr>
    </w:p>
    <w:p w14:paraId="576E247A" w14:textId="20826C4A" w:rsidR="00C34DCB" w:rsidRPr="009361EA" w:rsidRDefault="00C34DCB" w:rsidP="004D1D74">
      <w:pPr>
        <w:tabs>
          <w:tab w:val="left" w:pos="-720"/>
        </w:tabs>
        <w:suppressAutoHyphens/>
        <w:spacing w:line="360" w:lineRule="auto"/>
        <w:rPr>
          <w:spacing w:val="-3"/>
          <w:lang w:val="en-US"/>
        </w:rPr>
      </w:pPr>
      <w:r w:rsidRPr="00F562B2">
        <w:rPr>
          <w:i/>
          <w:iCs/>
          <w:spacing w:val="-3"/>
          <w:u w:val="single"/>
          <w:lang w:val="en-US"/>
        </w:rPr>
        <w:t>Irreversibility rate</w:t>
      </w:r>
      <w:r w:rsidR="00277C49">
        <w:rPr>
          <w:i/>
          <w:iCs/>
          <w:spacing w:val="-3"/>
          <w:u w:val="single"/>
          <w:lang w:val="en-US"/>
        </w:rPr>
        <w:t>:</w:t>
      </w:r>
      <w:r w:rsidRPr="00F562B2">
        <w:rPr>
          <w:spacing w:val="-3"/>
          <w:lang w:val="en-US"/>
        </w:rPr>
        <w:t xml:space="preserve">  </w:t>
      </w:r>
      <w:r w:rsidR="0040685A" w:rsidRPr="00F562B2">
        <w:rPr>
          <w:spacing w:val="-3"/>
          <w:lang w:val="en-US"/>
        </w:rPr>
        <w:t xml:space="preserve">The irreversibility </w:t>
      </w:r>
      <w:r w:rsidR="00645F11" w:rsidRPr="00F562B2">
        <w:rPr>
          <w:spacing w:val="-3"/>
          <w:lang w:val="en-US"/>
        </w:rPr>
        <w:t>was obtain</w:t>
      </w:r>
      <w:r w:rsidR="0040685A" w:rsidRPr="00F562B2">
        <w:rPr>
          <w:spacing w:val="-3"/>
          <w:lang w:val="en-US"/>
        </w:rPr>
        <w:t>ed</w:t>
      </w:r>
      <w:r w:rsidR="00645F11" w:rsidRPr="00F562B2">
        <w:rPr>
          <w:spacing w:val="-3"/>
          <w:lang w:val="en-US"/>
        </w:rPr>
        <w:t xml:space="preserve"> by applying the exergy balance expression introduced in Eq. (3).</w:t>
      </w:r>
    </w:p>
    <w:p w14:paraId="377A32A3" w14:textId="7D172B94" w:rsidR="00603AEA" w:rsidRPr="00620753" w:rsidRDefault="00603AEA" w:rsidP="004D1D74">
      <w:pPr>
        <w:tabs>
          <w:tab w:val="left" w:pos="-720"/>
        </w:tabs>
        <w:suppressAutoHyphens/>
        <w:spacing w:line="360" w:lineRule="auto"/>
        <w:rPr>
          <w:spacing w:val="-3"/>
          <w:lang w:val="en-US"/>
        </w:rPr>
      </w:pPr>
    </w:p>
    <w:p w14:paraId="7CEFD74E" w14:textId="2B00BCF3" w:rsidR="00277C49" w:rsidRPr="00620753" w:rsidRDefault="00277C49" w:rsidP="004D1D74">
      <w:pPr>
        <w:tabs>
          <w:tab w:val="left" w:pos="-720"/>
        </w:tabs>
        <w:suppressAutoHyphens/>
        <w:spacing w:line="360" w:lineRule="auto"/>
        <w:rPr>
          <w:spacing w:val="-3"/>
          <w:lang w:val="en-US"/>
        </w:rPr>
      </w:pPr>
      <w:r w:rsidRPr="00620753">
        <w:rPr>
          <w:i/>
          <w:iCs/>
          <w:spacing w:val="-3"/>
          <w:u w:val="single"/>
          <w:lang w:val="en-US"/>
        </w:rPr>
        <w:t>Average unitary exergy cost (AUEC):</w:t>
      </w:r>
      <w:r w:rsidRPr="00620753">
        <w:rPr>
          <w:spacing w:val="-3"/>
          <w:lang w:val="en-US"/>
        </w:rPr>
        <w:t xml:space="preserve">  The AUEC is a measure of the exergy destruction, which occurs during the upstream processes to form a given exergy stream.</w:t>
      </w:r>
      <w:r w:rsidR="00216FC1" w:rsidRPr="00620753">
        <w:rPr>
          <w:spacing w:val="-3"/>
          <w:lang w:val="en-US"/>
        </w:rPr>
        <w:t xml:space="preserve"> The unit exergy cost </w:t>
      </w:r>
      <w:r w:rsidR="00216FC1" w:rsidRPr="00620753">
        <w:rPr>
          <w:i/>
          <w:iCs/>
          <w:spacing w:val="-3"/>
          <w:lang w:val="en-US"/>
        </w:rPr>
        <w:t>c</w:t>
      </w:r>
      <w:r w:rsidR="00216FC1" w:rsidRPr="00620753">
        <w:rPr>
          <w:spacing w:val="-3"/>
          <w:lang w:val="en-US"/>
        </w:rPr>
        <w:t xml:space="preserve"> (kJ/kJ) of the </w:t>
      </w:r>
      <w:bookmarkStart w:id="4" w:name="_Hlk58887700"/>
      <w:r w:rsidR="00216FC1" w:rsidRPr="00620753">
        <w:rPr>
          <w:spacing w:val="-3"/>
          <w:lang w:val="en-US"/>
        </w:rPr>
        <w:t xml:space="preserve">marine biofuel </w:t>
      </w:r>
      <w:bookmarkEnd w:id="4"/>
      <w:r w:rsidR="00216FC1" w:rsidRPr="00620753">
        <w:rPr>
          <w:spacing w:val="-3"/>
          <w:lang w:val="en-US"/>
        </w:rPr>
        <w:t>and the electricity production is calculated as the inverse of the exergy efficiency of the marine biofuel process and cogeneration unit, respectively.</w:t>
      </w:r>
    </w:p>
    <w:p w14:paraId="565D8B65" w14:textId="77777777" w:rsidR="005D52CE" w:rsidRPr="00620753" w:rsidRDefault="005D52CE" w:rsidP="004D1D74">
      <w:pPr>
        <w:tabs>
          <w:tab w:val="left" w:pos="-720"/>
        </w:tabs>
        <w:suppressAutoHyphens/>
        <w:spacing w:line="360" w:lineRule="auto"/>
        <w:rPr>
          <w:spacing w:val="-3"/>
          <w:lang w:val="en-US"/>
        </w:rPr>
      </w:pPr>
    </w:p>
    <w:tbl>
      <w:tblPr>
        <w:tblW w:w="5112" w:type="pct"/>
        <w:tblCellMar>
          <w:left w:w="70" w:type="dxa"/>
          <w:right w:w="70" w:type="dxa"/>
        </w:tblCellMar>
        <w:tblLook w:val="04A0" w:firstRow="1" w:lastRow="0" w:firstColumn="1" w:lastColumn="0" w:noHBand="0" w:noVBand="1"/>
      </w:tblPr>
      <w:tblGrid>
        <w:gridCol w:w="8431"/>
        <w:gridCol w:w="842"/>
      </w:tblGrid>
      <w:tr w:rsidR="00277C49" w:rsidRPr="00620753" w14:paraId="193F18D3" w14:textId="77777777" w:rsidTr="00DC6544">
        <w:tc>
          <w:tcPr>
            <w:tcW w:w="4546" w:type="pct"/>
            <w:vAlign w:val="center"/>
            <w:hideMark/>
          </w:tcPr>
          <w:p w14:paraId="2472402F" w14:textId="7EB9B66C" w:rsidR="00277C49" w:rsidRPr="00620753" w:rsidRDefault="00B849AD" w:rsidP="004D1D74">
            <w:pPr>
              <w:autoSpaceDE/>
              <w:autoSpaceDN/>
              <w:spacing w:line="360" w:lineRule="auto"/>
              <w:rPr>
                <w:rFonts w:eastAsia="MS Mincho"/>
                <w:szCs w:val="22"/>
                <w:lang w:val="en-US"/>
              </w:rPr>
            </w:pPr>
            <m:oMathPara>
              <m:oMath>
                <m:sSub>
                  <m:sSubPr>
                    <m:ctrlPr>
                      <w:rPr>
                        <w:rFonts w:ascii="Cambria Math" w:hAnsi="Cambria Math"/>
                        <w:i/>
                        <w:sz w:val="18"/>
                        <w:szCs w:val="18"/>
                      </w:rPr>
                    </m:ctrlPr>
                  </m:sSubPr>
                  <m:e>
                    <m:r>
                      <w:rPr>
                        <w:rFonts w:ascii="Cambria Math" w:hAnsi="Cambria Math"/>
                        <w:sz w:val="18"/>
                        <w:szCs w:val="18"/>
                      </w:rPr>
                      <m:t>AUEC</m:t>
                    </m:r>
                  </m:e>
                  <m:sub>
                    <m:r>
                      <w:rPr>
                        <w:rFonts w:ascii="Cambria Math" w:hAnsi="Cambria Math"/>
                        <w:sz w:val="18"/>
                        <w:szCs w:val="18"/>
                      </w:rPr>
                      <m:t>Process</m:t>
                    </m:r>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biofuel</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biofuel</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electricity</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electricity</m:t>
                        </m:r>
                      </m:sub>
                    </m:sSub>
                  </m:num>
                  <m:den>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biofuel</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electricity</m:t>
                        </m:r>
                      </m:sub>
                    </m:sSub>
                  </m:den>
                </m:f>
              </m:oMath>
            </m:oMathPara>
          </w:p>
        </w:tc>
        <w:tc>
          <w:tcPr>
            <w:tcW w:w="454" w:type="pct"/>
            <w:vAlign w:val="center"/>
            <w:hideMark/>
          </w:tcPr>
          <w:p w14:paraId="4E151122" w14:textId="59E12498" w:rsidR="00277C49" w:rsidRPr="00620753" w:rsidRDefault="00277C49" w:rsidP="004D1D74">
            <w:pPr>
              <w:autoSpaceDE/>
              <w:autoSpaceDN/>
              <w:spacing w:line="360" w:lineRule="auto"/>
              <w:rPr>
                <w:rFonts w:eastAsia="MS Mincho"/>
                <w:szCs w:val="22"/>
                <w:lang w:val="en-US"/>
              </w:rPr>
            </w:pPr>
            <w:r w:rsidRPr="00620753">
              <w:rPr>
                <w:rFonts w:eastAsia="MS Mincho"/>
                <w:szCs w:val="22"/>
                <w:lang w:val="en-US"/>
              </w:rPr>
              <w:t>(</w:t>
            </w:r>
            <w:r w:rsidR="005D52CE" w:rsidRPr="00620753">
              <w:rPr>
                <w:rFonts w:eastAsia="MS Mincho"/>
                <w:szCs w:val="22"/>
                <w:lang w:val="en-US"/>
              </w:rPr>
              <w:t>10</w:t>
            </w:r>
            <w:r w:rsidRPr="00620753">
              <w:rPr>
                <w:rFonts w:eastAsia="MS Mincho"/>
                <w:szCs w:val="22"/>
                <w:lang w:val="en-US"/>
              </w:rPr>
              <w:t>)</w:t>
            </w:r>
          </w:p>
        </w:tc>
      </w:tr>
    </w:tbl>
    <w:p w14:paraId="10A5512A" w14:textId="77777777" w:rsidR="00277C49" w:rsidRPr="00620753" w:rsidRDefault="00277C49" w:rsidP="004D1D74">
      <w:pPr>
        <w:tabs>
          <w:tab w:val="left" w:pos="-720"/>
        </w:tabs>
        <w:suppressAutoHyphens/>
        <w:spacing w:line="360" w:lineRule="auto"/>
        <w:rPr>
          <w:spacing w:val="-3"/>
          <w:lang w:val="en-US"/>
        </w:rPr>
      </w:pPr>
    </w:p>
    <w:p w14:paraId="1E23D21D" w14:textId="0A123161" w:rsidR="00277C49" w:rsidRPr="00620753" w:rsidRDefault="00277C49" w:rsidP="004D1D74">
      <w:pPr>
        <w:tabs>
          <w:tab w:val="left" w:pos="-720"/>
        </w:tabs>
        <w:suppressAutoHyphens/>
        <w:spacing w:line="360" w:lineRule="auto"/>
        <w:rPr>
          <w:spacing w:val="-3"/>
          <w:lang w:val="en-US"/>
        </w:rPr>
      </w:pPr>
      <w:r w:rsidRPr="00620753">
        <w:rPr>
          <w:i/>
          <w:iCs/>
          <w:spacing w:val="-3"/>
          <w:u w:val="single"/>
          <w:lang w:val="en-US"/>
        </w:rPr>
        <w:t>Renewability exergy index (λ):</w:t>
      </w:r>
      <w:r w:rsidRPr="00620753">
        <w:rPr>
          <w:spacing w:val="-3"/>
          <w:lang w:val="en-US"/>
        </w:rPr>
        <w:t xml:space="preserve">  λ values indicate if the net exergy of the products could be used to restore the environment to its conditions prior to the process and yet have a net output of exergy.</w:t>
      </w:r>
    </w:p>
    <w:p w14:paraId="76FCF9D4" w14:textId="77777777" w:rsidR="005D52CE" w:rsidRPr="00620753" w:rsidRDefault="005D52CE" w:rsidP="004D1D74">
      <w:pPr>
        <w:tabs>
          <w:tab w:val="left" w:pos="-720"/>
        </w:tabs>
        <w:suppressAutoHyphens/>
        <w:spacing w:line="360" w:lineRule="auto"/>
        <w:rPr>
          <w:spacing w:val="-3"/>
          <w:lang w:val="en-US"/>
        </w:rPr>
      </w:pPr>
    </w:p>
    <w:tbl>
      <w:tblPr>
        <w:tblW w:w="5112" w:type="pct"/>
        <w:tblCellMar>
          <w:left w:w="70" w:type="dxa"/>
          <w:right w:w="70" w:type="dxa"/>
        </w:tblCellMar>
        <w:tblLook w:val="04A0" w:firstRow="1" w:lastRow="0" w:firstColumn="1" w:lastColumn="0" w:noHBand="0" w:noVBand="1"/>
      </w:tblPr>
      <w:tblGrid>
        <w:gridCol w:w="8431"/>
        <w:gridCol w:w="842"/>
      </w:tblGrid>
      <w:tr w:rsidR="00277C49" w:rsidRPr="00620753" w14:paraId="6C0970F6" w14:textId="77777777" w:rsidTr="00DC6544">
        <w:tc>
          <w:tcPr>
            <w:tcW w:w="4546" w:type="pct"/>
            <w:vAlign w:val="center"/>
            <w:hideMark/>
          </w:tcPr>
          <w:p w14:paraId="320D9A52" w14:textId="7EBD34AE" w:rsidR="00277C49" w:rsidRPr="00620753" w:rsidRDefault="00F475AF" w:rsidP="004D1D74">
            <w:pPr>
              <w:autoSpaceDE/>
              <w:autoSpaceDN/>
              <w:spacing w:line="360" w:lineRule="auto"/>
              <w:jc w:val="center"/>
              <w:rPr>
                <w:rFonts w:eastAsia="MS Mincho"/>
                <w:szCs w:val="22"/>
                <w:lang w:val="en-US"/>
              </w:rPr>
            </w:pPr>
            <w:r w:rsidRPr="00620753">
              <w:rPr>
                <w:noProof/>
                <w:position w:val="-32"/>
              </w:rPr>
              <w:object w:dxaOrig="5340" w:dyaOrig="740" w14:anchorId="6E2E3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4.8pt;height:40.2pt;mso-width-percent:0;mso-height-percent:0;mso-width-percent:0;mso-height-percent:0" o:ole="">
                  <v:imagedata r:id="rId13" o:title=""/>
                </v:shape>
                <o:OLEObject Type="Embed" ProgID="Equation.DSMT4" ShapeID="_x0000_i1025" DrawAspect="Content" ObjectID="_1703085025" r:id="rId14"/>
              </w:object>
            </w:r>
          </w:p>
        </w:tc>
        <w:tc>
          <w:tcPr>
            <w:tcW w:w="454" w:type="pct"/>
            <w:vAlign w:val="center"/>
            <w:hideMark/>
          </w:tcPr>
          <w:p w14:paraId="4EE616E7" w14:textId="509CD0BD" w:rsidR="00277C49" w:rsidRPr="00620753" w:rsidRDefault="00277C49" w:rsidP="004D1D74">
            <w:pPr>
              <w:autoSpaceDE/>
              <w:autoSpaceDN/>
              <w:spacing w:line="360" w:lineRule="auto"/>
              <w:rPr>
                <w:rFonts w:eastAsia="MS Mincho"/>
                <w:szCs w:val="22"/>
                <w:lang w:val="en-US"/>
              </w:rPr>
            </w:pPr>
            <w:r w:rsidRPr="00620753">
              <w:rPr>
                <w:rFonts w:eastAsia="MS Mincho"/>
                <w:szCs w:val="22"/>
                <w:lang w:val="en-US"/>
              </w:rPr>
              <w:t>(</w:t>
            </w:r>
            <w:r w:rsidR="005D52CE" w:rsidRPr="00620753">
              <w:rPr>
                <w:rFonts w:eastAsia="MS Mincho"/>
                <w:noProof/>
                <w:szCs w:val="22"/>
                <w:lang w:val="en-US"/>
              </w:rPr>
              <w:t>11</w:t>
            </w:r>
            <w:r w:rsidRPr="00620753">
              <w:rPr>
                <w:rFonts w:eastAsia="MS Mincho"/>
                <w:szCs w:val="22"/>
                <w:lang w:val="en-US"/>
              </w:rPr>
              <w:t>)</w:t>
            </w:r>
          </w:p>
        </w:tc>
      </w:tr>
    </w:tbl>
    <w:p w14:paraId="31014060" w14:textId="77777777" w:rsidR="00866D62" w:rsidRPr="00620753" w:rsidRDefault="00866D62" w:rsidP="004D1D74">
      <w:pPr>
        <w:tabs>
          <w:tab w:val="left" w:pos="-720"/>
        </w:tabs>
        <w:suppressAutoHyphens/>
        <w:spacing w:line="360" w:lineRule="auto"/>
        <w:rPr>
          <w:spacing w:val="-3"/>
          <w:lang w:val="en-US"/>
        </w:rPr>
      </w:pPr>
    </w:p>
    <w:p w14:paraId="7AD9402E" w14:textId="7096E112" w:rsidR="00277C49" w:rsidRPr="00620753" w:rsidRDefault="00796F1F" w:rsidP="004D1D74">
      <w:pPr>
        <w:tabs>
          <w:tab w:val="left" w:pos="-720"/>
        </w:tabs>
        <w:suppressAutoHyphens/>
        <w:spacing w:line="360" w:lineRule="auto"/>
        <w:rPr>
          <w:spacing w:val="-3"/>
          <w:lang w:val="en-US"/>
        </w:rPr>
      </w:pPr>
      <w:r w:rsidRPr="00620753">
        <w:rPr>
          <w:spacing w:val="-3"/>
          <w:lang w:val="en-US"/>
        </w:rPr>
        <w:t xml:space="preserve">λ term is founded on the concept of reversible processes to develop the renewability analysis in a rational basis by thermodynamic parameters. For more details and applications refer to </w:t>
      </w:r>
      <w:r w:rsidR="00836D11" w:rsidRPr="00620753">
        <w:rPr>
          <w:spacing w:val="-3"/>
          <w:lang w:val="en-US"/>
        </w:rPr>
        <w:fldChar w:fldCharType="begin"/>
      </w:r>
      <w:r w:rsidR="00DE1CA2" w:rsidRPr="00620753">
        <w:rPr>
          <w:spacing w:val="-3"/>
          <w:lang w:val="en-US"/>
        </w:rPr>
        <w:instrText xml:space="preserve"> ADDIN ZOTERO_ITEM CSL_CITATION {"citationID":"l78aijL5","properties":{"formattedCitation":"[51,53]","plainCitation":"[51,53]","noteIndex":0},"citationItems":[{"id":117,"uris":["http://zotero.org/users/5217225/items/KIGY5SVY"],"uri":["http://zotero.org/users/5217225/items/KIGY5SVY"],"itemData":{"id":117,"type":"chapter","abstract":"This chapter is concerned with the definition and application of exergy indexes to assess the performance of environmental impact mitigation technologies. These parameters are employed to evaluate the performance of air emission treatment systems, procedures to remediate contaminated sites, management of solid wastes, and technologies of wastewater treatment technologies. Initially it is proposed that the cumulative consumption of materials and utilities for construction and operation of environmental treatment systems can be quantified in terms of exergy. In addition, the exergy content of the emissions of a given production process, as well as the exergy of by-products of the treatment process, can be quantified to develop an exergy balance, focused on the treatment process. Thus, a methodology is described to compare different process alternatives in two situations: in the former the main task of the process is to eliminate the exergy content of a given emission, and in the latter the objective of the process is to maximize the utilization of the exergy content of a given emission. The environmental performance of wastewater treatment technologies is conducted by calculating the environmental exergy efficiency and complemented with the determination of the renewability exergy index. This approach is applied to compare three wastewater treatment plants based on biological (aerobic and anaerobic) and physicochemical processes.","container-title":"Exergy: Production, Cost and Renewability","event-place":"London","ISBN":"978-1-4471-4165-5","note":"DOI: 10.1007/978-1-4471-4165-5_9","page":"281-303","publisher":"Springer London","publisher-place":"London","title":"Exergy Analysis and Environmental Impact","URL":"https://doi.org/10.1007/978-1-4471-4165-5_9","author":[{"family":"Oliveira Junior","given":"Silvio","non-dropping-particle":"de"}],"editor":[{"family":"Oliveira Junior","given":"Silvio","non-dropping-particle":"de"}],"issued":{"date-parts":[["2013"]]}}},{"id":918,"uris":["http://zotero.org/users/5217225/items/XF25H9FN"],"uri":["http://zotero.org/users/5217225/items/XF25H9FN"],"itemData":{"id":918,"type":"article-journal","DOI":"https://doi.org/10.3390/pr7100670","journalAbbreviation":"Processes","language":"English","page":"670","title":"Mass and Heat Integration in Ethanol Production Mills for Enhanced Process Efficiency and Exergy-Based Renewability Performance","volume":"7(10)","author":[{"family":"SILVA ORTIZ","given":"P."},{"family":"MACIEL","given":"R."},{"family":"POSADA","given":"J."}],"issued":{"date-parts":[["2019"]]}}}],"schema":"https://github.com/citation-style-language/schema/raw/master/csl-citation.json"} </w:instrText>
      </w:r>
      <w:r w:rsidR="00836D11" w:rsidRPr="00620753">
        <w:rPr>
          <w:spacing w:val="-3"/>
          <w:lang w:val="en-US"/>
        </w:rPr>
        <w:fldChar w:fldCharType="separate"/>
      </w:r>
      <w:r w:rsidR="00DE1CA2" w:rsidRPr="00620753">
        <w:t>[51,53]</w:t>
      </w:r>
      <w:r w:rsidR="00836D11" w:rsidRPr="00620753">
        <w:rPr>
          <w:spacing w:val="-3"/>
          <w:lang w:val="en-US"/>
        </w:rPr>
        <w:fldChar w:fldCharType="end"/>
      </w:r>
      <w:r w:rsidR="00836D11" w:rsidRPr="00620753">
        <w:rPr>
          <w:spacing w:val="-3"/>
          <w:lang w:val="en-US"/>
        </w:rPr>
        <w:t>.</w:t>
      </w:r>
    </w:p>
    <w:p w14:paraId="1AC6724D" w14:textId="77777777" w:rsidR="00027CD8" w:rsidRPr="00620753" w:rsidRDefault="00027CD8" w:rsidP="00C34DCB">
      <w:pPr>
        <w:tabs>
          <w:tab w:val="left" w:pos="-720"/>
        </w:tabs>
        <w:suppressAutoHyphens/>
        <w:rPr>
          <w:spacing w:val="-3"/>
          <w:lang w:val="en-US"/>
        </w:rPr>
      </w:pPr>
    </w:p>
    <w:p w14:paraId="65F57AA5" w14:textId="77777777" w:rsidR="00425453" w:rsidRPr="00620753" w:rsidRDefault="00425453" w:rsidP="007B7863">
      <w:pPr>
        <w:pStyle w:val="Ttulo2"/>
        <w:numPr>
          <w:ilvl w:val="0"/>
          <w:numId w:val="9"/>
        </w:numPr>
        <w:rPr>
          <w:lang w:val="en-US"/>
        </w:rPr>
      </w:pPr>
      <w:r w:rsidRPr="00620753">
        <w:rPr>
          <w:lang w:val="en-US"/>
        </w:rPr>
        <w:lastRenderedPageBreak/>
        <w:t>RESULTS AND DISCUSSION</w:t>
      </w:r>
    </w:p>
    <w:p w14:paraId="729FBE99" w14:textId="0736380E" w:rsidR="0060696D" w:rsidRPr="00620753" w:rsidRDefault="004F59B0" w:rsidP="004D1D74">
      <w:pPr>
        <w:tabs>
          <w:tab w:val="left" w:pos="-1134"/>
          <w:tab w:val="left" w:pos="-414"/>
        </w:tabs>
        <w:suppressAutoHyphens/>
        <w:spacing w:line="360" w:lineRule="auto"/>
        <w:rPr>
          <w:spacing w:val="-3"/>
          <w:lang w:val="en-US"/>
        </w:rPr>
      </w:pPr>
      <w:r w:rsidRPr="00620753">
        <w:rPr>
          <w:spacing w:val="-3"/>
          <w:lang w:val="en-US"/>
        </w:rPr>
        <w:t xml:space="preserve">To synthesize the impact of the marine biofuel yields in terms of the selected KIPs for assessing the thermochemical systems, </w:t>
      </w:r>
      <w:bookmarkStart w:id="5" w:name="_Hlk60159384"/>
      <w:r w:rsidRPr="00620753">
        <w:rPr>
          <w:spacing w:val="-3"/>
          <w:lang w:val="en-US"/>
        </w:rPr>
        <w:t xml:space="preserve">the exergetic efficiency and destroyed exergy rate </w:t>
      </w:r>
      <w:bookmarkEnd w:id="5"/>
      <w:r w:rsidRPr="00620753">
        <w:rPr>
          <w:spacing w:val="-3"/>
          <w:lang w:val="en-US"/>
        </w:rPr>
        <w:t xml:space="preserve">were determined for each pair </w:t>
      </w:r>
      <w:r w:rsidR="000024A6" w:rsidRPr="00620753">
        <w:rPr>
          <w:spacing w:val="-3"/>
          <w:lang w:val="en-US"/>
        </w:rPr>
        <w:t xml:space="preserve">of </w:t>
      </w:r>
      <w:r w:rsidRPr="00620753">
        <w:rPr>
          <w:spacing w:val="-3"/>
          <w:lang w:val="en-US"/>
        </w:rPr>
        <w:t xml:space="preserve">feedstock/technology. Thus, Fig. 5 shows the systems performance concerning the Hydrothermal Liquefaction </w:t>
      </w:r>
      <w:r w:rsidR="000024A6" w:rsidRPr="00620753">
        <w:rPr>
          <w:spacing w:val="-3"/>
          <w:lang w:val="en-US"/>
        </w:rPr>
        <w:t>route</w:t>
      </w:r>
      <w:r w:rsidRPr="00620753">
        <w:rPr>
          <w:spacing w:val="-3"/>
          <w:lang w:val="en-US"/>
        </w:rPr>
        <w:t xml:space="preserve">, the main findings related to Fast Pyrolysis technology and the principal results associated with the Gasification Fischer-Tropsch </w:t>
      </w:r>
      <w:r w:rsidR="000024A6" w:rsidRPr="00620753">
        <w:rPr>
          <w:spacing w:val="-3"/>
          <w:lang w:val="en-US"/>
        </w:rPr>
        <w:t>configuration</w:t>
      </w:r>
      <w:r w:rsidR="0060696D" w:rsidRPr="00620753">
        <w:rPr>
          <w:spacing w:val="-3"/>
          <w:lang w:val="en-US"/>
        </w:rPr>
        <w:t xml:space="preserve"> to illustrate the primary outcomes of the exergetic analysis.</w:t>
      </w:r>
    </w:p>
    <w:p w14:paraId="46112C0E" w14:textId="1BD3ED0E" w:rsidR="00027CD8" w:rsidRPr="00620753" w:rsidRDefault="00027CD8" w:rsidP="004D1D74">
      <w:pPr>
        <w:tabs>
          <w:tab w:val="left" w:pos="-1134"/>
          <w:tab w:val="left" w:pos="-414"/>
        </w:tabs>
        <w:suppressAutoHyphens/>
        <w:spacing w:line="360" w:lineRule="auto"/>
        <w:rPr>
          <w:spacing w:val="-3"/>
          <w:lang w:val="en-US"/>
        </w:rPr>
      </w:pPr>
    </w:p>
    <w:p w14:paraId="4592C6B0" w14:textId="77777777" w:rsidR="00027CD8" w:rsidRPr="003F1F19" w:rsidRDefault="00027CD8" w:rsidP="004D1D74">
      <w:pPr>
        <w:suppressAutoHyphens/>
        <w:spacing w:line="360" w:lineRule="auto"/>
        <w:rPr>
          <w:spacing w:val="-3"/>
          <w:lang w:val="en-US"/>
        </w:rPr>
      </w:pPr>
      <w:r w:rsidRPr="0060696D">
        <w:rPr>
          <w:spacing w:val="-3"/>
          <w:lang w:val="en-US"/>
        </w:rPr>
        <w:t>In brief, the lower irreversibility rate was found on the wheat straw/HTL (25 MW), wheat straw/GFT (24 MW), and corn stover/FP (21 MW) feedstock/technology pairs. Consequently, these pathways presented the highest exergetic efficiency among the considered systems. In contrast, the sorghum bagasse/FP has the lowest estimated exergetic efficiency of all scenarios (21 pairs feedstock/technology, Fig. 5, due to the low H</w:t>
      </w:r>
      <w:r w:rsidRPr="0060696D">
        <w:rPr>
          <w:spacing w:val="-3"/>
          <w:vertAlign w:val="subscript"/>
          <w:lang w:val="en-US"/>
        </w:rPr>
        <w:t>2</w:t>
      </w:r>
      <w:r w:rsidRPr="0060696D">
        <w:rPr>
          <w:spacing w:val="-3"/>
          <w:lang w:val="en-US"/>
        </w:rPr>
        <w:t xml:space="preserve"> syngas composition and attributable to losses during the syngas upgrading process.</w:t>
      </w:r>
    </w:p>
    <w:p w14:paraId="23D8F410" w14:textId="77777777" w:rsidR="00324F88" w:rsidRPr="009361EA" w:rsidRDefault="00324F88" w:rsidP="004D1D74">
      <w:pPr>
        <w:tabs>
          <w:tab w:val="left" w:pos="-720"/>
        </w:tabs>
        <w:suppressAutoHyphens/>
        <w:spacing w:line="360" w:lineRule="auto"/>
        <w:rPr>
          <w:spacing w:val="-3"/>
          <w:lang w:val="en-US"/>
        </w:rPr>
      </w:pPr>
    </w:p>
    <w:p w14:paraId="03E6B0F7" w14:textId="77777777" w:rsidR="00027CD8" w:rsidRPr="009361EA" w:rsidRDefault="00027CD8" w:rsidP="004D1D74">
      <w:pPr>
        <w:autoSpaceDE/>
        <w:autoSpaceDN/>
        <w:spacing w:line="360" w:lineRule="auto"/>
        <w:rPr>
          <w:spacing w:val="-3"/>
          <w:lang w:val="en-US"/>
        </w:rPr>
      </w:pPr>
      <w:r w:rsidRPr="00D74FCC">
        <w:rPr>
          <w:spacing w:val="-3"/>
          <w:lang w:val="en-US"/>
        </w:rPr>
        <w:t>In light of these results, HTL and FPH pathways have a biofuel yields of 9.5 GJ/</w:t>
      </w:r>
      <w:proofErr w:type="spellStart"/>
      <w:r w:rsidRPr="00D74FCC">
        <w:rPr>
          <w:spacing w:val="-3"/>
          <w:lang w:val="en-US"/>
        </w:rPr>
        <w:t>tdb</w:t>
      </w:r>
      <w:proofErr w:type="spellEnd"/>
      <w:r w:rsidRPr="00D74FCC">
        <w:rPr>
          <w:spacing w:val="-3"/>
          <w:lang w:val="en-US"/>
        </w:rPr>
        <w:t>. Particularly, marine biofuels produced via HTL and FPH routes from forestry and grain residues have comparable biofuel yields per year. In contrast, GFT yields are lower approximately 6.5 GJ/</w:t>
      </w:r>
      <w:proofErr w:type="spellStart"/>
      <w:r w:rsidRPr="00D74FCC">
        <w:rPr>
          <w:spacing w:val="-3"/>
          <w:lang w:val="en-US"/>
        </w:rPr>
        <w:t>tdb</w:t>
      </w:r>
      <w:proofErr w:type="spellEnd"/>
      <w:r w:rsidRPr="00D74FCC">
        <w:rPr>
          <w:spacing w:val="-3"/>
          <w:lang w:val="en-US"/>
        </w:rPr>
        <w:t xml:space="preserve">, attributable to losses during </w:t>
      </w:r>
      <w:r>
        <w:rPr>
          <w:spacing w:val="-3"/>
          <w:lang w:val="en-US"/>
        </w:rPr>
        <w:t xml:space="preserve">the </w:t>
      </w:r>
      <w:r w:rsidRPr="00D74FCC">
        <w:rPr>
          <w:spacing w:val="-3"/>
          <w:lang w:val="en-US"/>
        </w:rPr>
        <w:t xml:space="preserve">syngas upgrading </w:t>
      </w:r>
      <w:r>
        <w:rPr>
          <w:spacing w:val="-3"/>
          <w:lang w:val="en-US"/>
        </w:rPr>
        <w:t xml:space="preserve">step </w:t>
      </w:r>
      <w:r w:rsidRPr="00D74FCC">
        <w:rPr>
          <w:spacing w:val="-3"/>
          <w:lang w:val="en-US"/>
        </w:rPr>
        <w:t>(</w:t>
      </w:r>
      <w:r w:rsidRPr="00D74FCC">
        <w:rPr>
          <w:i/>
          <w:spacing w:val="-3"/>
          <w:lang w:val="en-US"/>
        </w:rPr>
        <w:t>e.g.,</w:t>
      </w:r>
      <w:r w:rsidRPr="00D74FCC">
        <w:rPr>
          <w:spacing w:val="-3"/>
          <w:lang w:val="en-US"/>
        </w:rPr>
        <w:t xml:space="preserve"> Sorghum GFT achieved the lowest yield of 5 GJ/</w:t>
      </w:r>
      <w:proofErr w:type="spellStart"/>
      <w:r w:rsidRPr="00D74FCC">
        <w:rPr>
          <w:spacing w:val="-3"/>
          <w:lang w:val="en-US"/>
        </w:rPr>
        <w:t>tdb</w:t>
      </w:r>
      <w:proofErr w:type="spellEnd"/>
      <w:r w:rsidRPr="00D74FCC">
        <w:rPr>
          <w:spacing w:val="-3"/>
          <w:lang w:val="en-US"/>
        </w:rPr>
        <w:t>), due to the low</w:t>
      </w:r>
      <w:r>
        <w:rPr>
          <w:spacing w:val="-3"/>
          <w:lang w:val="en-US"/>
        </w:rPr>
        <w:t xml:space="preserve"> H</w:t>
      </w:r>
      <w:r w:rsidRPr="00D74FCC">
        <w:rPr>
          <w:spacing w:val="-3"/>
          <w:vertAlign w:val="subscript"/>
          <w:lang w:val="en-US"/>
        </w:rPr>
        <w:t>2</w:t>
      </w:r>
      <w:r w:rsidRPr="00D74FCC">
        <w:rPr>
          <w:spacing w:val="-3"/>
          <w:lang w:val="en-US"/>
        </w:rPr>
        <w:t xml:space="preserve"> syngas composition.</w:t>
      </w:r>
    </w:p>
    <w:p w14:paraId="6F629291" w14:textId="77777777" w:rsidR="00620753" w:rsidRPr="00027CD8" w:rsidRDefault="00620753" w:rsidP="0060696D">
      <w:pPr>
        <w:tabs>
          <w:tab w:val="left" w:pos="-1134"/>
          <w:tab w:val="left" w:pos="-414"/>
        </w:tabs>
        <w:suppressAutoHyphens/>
        <w:rPr>
          <w:spacing w:val="-3"/>
          <w:lang w:val="en-US"/>
        </w:rPr>
      </w:pPr>
    </w:p>
    <w:p w14:paraId="7E4988D1" w14:textId="77777777" w:rsidR="00027CD8" w:rsidRPr="00027CD8" w:rsidRDefault="00027CD8" w:rsidP="004D1D74">
      <w:pPr>
        <w:tabs>
          <w:tab w:val="left" w:pos="-1134"/>
          <w:tab w:val="left" w:pos="-414"/>
        </w:tabs>
        <w:suppressAutoHyphens/>
        <w:spacing w:line="360" w:lineRule="auto"/>
        <w:rPr>
          <w:spacing w:val="-3"/>
          <w:lang w:val="en-US"/>
        </w:rPr>
      </w:pPr>
      <w:r w:rsidRPr="00027CD8">
        <w:rPr>
          <w:spacing w:val="-3"/>
          <w:lang w:val="en-US"/>
        </w:rPr>
        <w:t>Another aspect to be highlighted is that FPH technological combinations required supplementary fuel, natural gas, to cover 20% of the internal energy demand, whereas Corn HTL route also required additional energy related to the higher equilibrium reactor flow resulting in a system heating demand of 40% above the HTL mean.</w:t>
      </w:r>
    </w:p>
    <w:p w14:paraId="1AE612C6" w14:textId="77777777" w:rsidR="00620753" w:rsidRDefault="00620753" w:rsidP="004D1D74">
      <w:pPr>
        <w:autoSpaceDE/>
        <w:autoSpaceDN/>
        <w:spacing w:line="360" w:lineRule="auto"/>
        <w:rPr>
          <w:spacing w:val="-3"/>
          <w:lang w:val="en-US"/>
        </w:rPr>
      </w:pPr>
    </w:p>
    <w:p w14:paraId="7D819F0A" w14:textId="42964BC8" w:rsidR="0012635C" w:rsidRPr="003F1F19" w:rsidRDefault="003535DD" w:rsidP="004D1D74">
      <w:pPr>
        <w:autoSpaceDE/>
        <w:autoSpaceDN/>
        <w:spacing w:line="360" w:lineRule="auto"/>
        <w:rPr>
          <w:spacing w:val="-3"/>
          <w:lang w:val="en-US"/>
        </w:rPr>
      </w:pPr>
      <w:r w:rsidRPr="003F1F19">
        <w:rPr>
          <w:spacing w:val="-3"/>
          <w:lang w:val="en-US"/>
        </w:rPr>
        <w:t>From the exergy analysis point of view, the assessment show</w:t>
      </w:r>
      <w:r w:rsidR="001D2041" w:rsidRPr="003F1F19">
        <w:rPr>
          <w:spacing w:val="-3"/>
          <w:lang w:val="en-US"/>
        </w:rPr>
        <w:t>s</w:t>
      </w:r>
      <w:r w:rsidRPr="003F1F19">
        <w:rPr>
          <w:spacing w:val="-3"/>
          <w:lang w:val="en-US"/>
        </w:rPr>
        <w:t xml:space="preserve"> the potential of the </w:t>
      </w:r>
      <w:r w:rsidR="00D74FCC">
        <w:rPr>
          <w:spacing w:val="-3"/>
          <w:lang w:val="en-US"/>
        </w:rPr>
        <w:t>biomass</w:t>
      </w:r>
      <w:r w:rsidRPr="003F1F19">
        <w:rPr>
          <w:spacing w:val="-3"/>
          <w:lang w:val="en-US"/>
        </w:rPr>
        <w:t xml:space="preserve"> resources and the merit of the energy conversion systems and irreversibilities distribution, regardless of the nature of feedstocks</w:t>
      </w:r>
      <w:r w:rsidR="00324F88">
        <w:rPr>
          <w:spacing w:val="-3"/>
          <w:lang w:val="en-US"/>
        </w:rPr>
        <w:t xml:space="preserve"> (composition)</w:t>
      </w:r>
      <w:r w:rsidRPr="003F1F19">
        <w:rPr>
          <w:spacing w:val="-3"/>
          <w:lang w:val="en-US"/>
        </w:rPr>
        <w:t xml:space="preserve"> and technologies considered.</w:t>
      </w:r>
      <w:r w:rsidR="0012635C" w:rsidRPr="003F1F19">
        <w:rPr>
          <w:spacing w:val="-3"/>
          <w:lang w:val="en-US"/>
        </w:rPr>
        <w:t xml:space="preserve"> </w:t>
      </w:r>
      <w:r w:rsidR="001D2041" w:rsidRPr="003F1F19">
        <w:rPr>
          <w:spacing w:val="-3"/>
          <w:lang w:val="en-US"/>
        </w:rPr>
        <w:t>Hence, t</w:t>
      </w:r>
      <w:r w:rsidRPr="003F1F19">
        <w:rPr>
          <w:spacing w:val="-3"/>
          <w:lang w:val="en-US"/>
        </w:rPr>
        <w:t xml:space="preserve">his practical approach </w:t>
      </w:r>
      <w:r w:rsidR="0012635C" w:rsidRPr="003F1F19">
        <w:rPr>
          <w:spacing w:val="-3"/>
          <w:lang w:val="en-US"/>
        </w:rPr>
        <w:t xml:space="preserve">was </w:t>
      </w:r>
      <w:r w:rsidRPr="003F1F19">
        <w:rPr>
          <w:spacing w:val="-3"/>
          <w:lang w:val="en-US"/>
        </w:rPr>
        <w:t xml:space="preserve">used to </w:t>
      </w:r>
      <w:r w:rsidR="0012635C" w:rsidRPr="003F1F19">
        <w:rPr>
          <w:spacing w:val="-3"/>
          <w:lang w:val="en-US"/>
        </w:rPr>
        <w:t>determine the maximum potential for work that can be produced from</w:t>
      </w:r>
      <w:r w:rsidR="001D2041" w:rsidRPr="003F1F19">
        <w:rPr>
          <w:spacing w:val="-3"/>
          <w:lang w:val="en-US"/>
        </w:rPr>
        <w:t xml:space="preserve"> all the feedstock/technology</w:t>
      </w:r>
      <w:r w:rsidR="00137328" w:rsidRPr="00137328">
        <w:rPr>
          <w:spacing w:val="-3"/>
          <w:lang w:val="en-US"/>
        </w:rPr>
        <w:t xml:space="preserve"> </w:t>
      </w:r>
      <w:r w:rsidR="00137328" w:rsidRPr="003F1F19">
        <w:rPr>
          <w:spacing w:val="-3"/>
          <w:lang w:val="en-US"/>
        </w:rPr>
        <w:t>pairs</w:t>
      </w:r>
      <w:r w:rsidR="0012635C" w:rsidRPr="003F1F19">
        <w:rPr>
          <w:spacing w:val="-3"/>
          <w:lang w:val="en-US"/>
        </w:rPr>
        <w:t>.</w:t>
      </w:r>
    </w:p>
    <w:p w14:paraId="607E42F9" w14:textId="170A7B6B" w:rsidR="0012635C" w:rsidRDefault="0012635C" w:rsidP="004D1D74">
      <w:pPr>
        <w:autoSpaceDE/>
        <w:autoSpaceDN/>
        <w:spacing w:line="360" w:lineRule="auto"/>
        <w:jc w:val="left"/>
        <w:rPr>
          <w:spacing w:val="-3"/>
          <w:lang w:val="en-US"/>
        </w:rPr>
      </w:pPr>
    </w:p>
    <w:p w14:paraId="082D7EC2" w14:textId="77777777" w:rsidR="007B7863" w:rsidRPr="003F1F19" w:rsidRDefault="007B7863" w:rsidP="004D1D74">
      <w:pPr>
        <w:autoSpaceDE/>
        <w:autoSpaceDN/>
        <w:spacing w:line="360" w:lineRule="auto"/>
        <w:jc w:val="left"/>
        <w:rPr>
          <w:spacing w:val="-3"/>
          <w:lang w:val="en-US"/>
        </w:rPr>
      </w:pPr>
    </w:p>
    <w:p w14:paraId="4F2DEA28" w14:textId="5A0746CC" w:rsidR="001D2041" w:rsidRDefault="0012635C" w:rsidP="004D1D74">
      <w:pPr>
        <w:autoSpaceDE/>
        <w:autoSpaceDN/>
        <w:spacing w:line="360" w:lineRule="auto"/>
        <w:rPr>
          <w:spacing w:val="-3"/>
          <w:lang w:val="en-US"/>
        </w:rPr>
      </w:pPr>
      <w:r w:rsidRPr="003F1F19">
        <w:rPr>
          <w:spacing w:val="-3"/>
          <w:lang w:val="en-US"/>
        </w:rPr>
        <w:lastRenderedPageBreak/>
        <w:t>The results based on the Second Law of Thermodynamics shows the quality of the energy resources in terms of substance or exergy flow to accurately compare energy technologies by using a methodology that allows calculating the technical performance, as well as for the associated irreversibilities of each system.</w:t>
      </w:r>
      <w:r w:rsidR="009A2C70" w:rsidRPr="003F1F19">
        <w:rPr>
          <w:spacing w:val="-3"/>
          <w:lang w:val="en-US"/>
        </w:rPr>
        <w:t xml:space="preserve"> Hence, this study demonstrated the potential of second-generation feedstock coupled with a thermochemical process to determine/identify promising systems that focus on the production of biofuels and marine blends.</w:t>
      </w:r>
    </w:p>
    <w:p w14:paraId="6433E530" w14:textId="77777777" w:rsidR="00A41DCD" w:rsidRPr="005968FC" w:rsidRDefault="00A41DCD" w:rsidP="004D1D74">
      <w:pPr>
        <w:autoSpaceDE/>
        <w:autoSpaceDN/>
        <w:spacing w:line="360" w:lineRule="auto"/>
        <w:rPr>
          <w:spacing w:val="-3"/>
          <w:lang w:val="en-US"/>
        </w:rPr>
      </w:pPr>
    </w:p>
    <w:p w14:paraId="1374DD8D" w14:textId="38E9A758" w:rsidR="00A41DCD" w:rsidRPr="005968FC" w:rsidRDefault="00F422BC" w:rsidP="004D1D74">
      <w:pPr>
        <w:autoSpaceDE/>
        <w:autoSpaceDN/>
        <w:spacing w:line="360" w:lineRule="auto"/>
        <w:rPr>
          <w:spacing w:val="-3"/>
          <w:lang w:val="en-US"/>
        </w:rPr>
      </w:pPr>
      <w:r w:rsidRPr="005968FC">
        <w:rPr>
          <w:spacing w:val="-3"/>
          <w:lang w:val="en-US"/>
        </w:rPr>
        <w:t>In addition, the exergy inputs, exergy output flows, and distribution of exergy destruction in the different units of the biorefinery configurations by processes are given in the Grassmann diagrams (Fig. 6).</w:t>
      </w:r>
      <w:r w:rsidR="00A41DCD" w:rsidRPr="005968FC">
        <w:rPr>
          <w:spacing w:val="-3"/>
          <w:lang w:val="en-US"/>
        </w:rPr>
        <w:t xml:space="preserve"> </w:t>
      </w:r>
      <w:r w:rsidRPr="005968FC">
        <w:rPr>
          <w:spacing w:val="-3"/>
          <w:lang w:val="en-US"/>
        </w:rPr>
        <w:t>Later, the technical performance trade-off by technology and feedstock in terms of the average unitary exergy cost (AUEC) and the renewability exergy index (λ) is illustrated in Fig. 7.</w:t>
      </w:r>
      <w:r w:rsidR="00A41DCD" w:rsidRPr="005968FC">
        <w:rPr>
          <w:spacing w:val="-3"/>
          <w:lang w:val="en-US"/>
        </w:rPr>
        <w:t xml:space="preserve"> λ renewability performance was ranked as environmentally favorable for most configurations in this study. λ index trend was to increase according to the use of by-products into the supply chain (levels of integration) and also to avoid the external consumption of natural gas in the utility plant.</w:t>
      </w:r>
    </w:p>
    <w:p w14:paraId="05641E3A" w14:textId="77777777" w:rsidR="00A41DCD" w:rsidRPr="005968FC" w:rsidRDefault="00A41DCD" w:rsidP="004D1D74">
      <w:pPr>
        <w:autoSpaceDE/>
        <w:autoSpaceDN/>
        <w:spacing w:line="360" w:lineRule="auto"/>
        <w:rPr>
          <w:spacing w:val="-3"/>
          <w:lang w:val="en-US"/>
        </w:rPr>
      </w:pPr>
    </w:p>
    <w:p w14:paraId="6CE84CCB" w14:textId="77777777" w:rsidR="00A41DCD" w:rsidRPr="005968FC" w:rsidRDefault="00A41DCD" w:rsidP="004D1D74">
      <w:pPr>
        <w:autoSpaceDE/>
        <w:autoSpaceDN/>
        <w:spacing w:line="360" w:lineRule="auto"/>
        <w:rPr>
          <w:spacing w:val="-3"/>
          <w:lang w:val="en-US"/>
        </w:rPr>
      </w:pPr>
      <w:r w:rsidRPr="005968FC">
        <w:rPr>
          <w:spacing w:val="-3"/>
          <w:lang w:val="en-US"/>
        </w:rPr>
        <w:t>Furthermore, all the thermochemical pathways have a λ lower than 1 when using corn as a feedstock, indicating that these processes may not be considered renewable from the second law of thermodynamics point of view due to natural gas consumption as supplementary fuel. The same pattern was presented when adopted the FP system for wheat and sugarcane materials.</w:t>
      </w:r>
    </w:p>
    <w:p w14:paraId="66D4F982" w14:textId="77777777" w:rsidR="00A41DCD" w:rsidRPr="005968FC" w:rsidRDefault="00A41DCD" w:rsidP="004D1D74">
      <w:pPr>
        <w:autoSpaceDE/>
        <w:autoSpaceDN/>
        <w:spacing w:line="360" w:lineRule="auto"/>
        <w:rPr>
          <w:spacing w:val="-3"/>
          <w:lang w:val="en-US"/>
        </w:rPr>
      </w:pPr>
    </w:p>
    <w:p w14:paraId="3D70E14E" w14:textId="43B61D4D" w:rsidR="004F59B0" w:rsidRPr="005968FC" w:rsidRDefault="00835DDC" w:rsidP="004D1D74">
      <w:pPr>
        <w:autoSpaceDE/>
        <w:autoSpaceDN/>
        <w:spacing w:line="360" w:lineRule="auto"/>
        <w:rPr>
          <w:spacing w:val="-3"/>
          <w:lang w:val="en-US"/>
        </w:rPr>
      </w:pPr>
      <w:r w:rsidRPr="005968FC">
        <w:rPr>
          <w:spacing w:val="-3"/>
          <w:lang w:val="en-US"/>
        </w:rPr>
        <w:t xml:space="preserve">Figure 7 compares the technological configurations to verify the relation between λ renewability performance and the </w:t>
      </w:r>
      <w:bookmarkStart w:id="6" w:name="_Hlk60182542"/>
      <w:r w:rsidRPr="005968FC">
        <w:rPr>
          <w:spacing w:val="-3"/>
          <w:lang w:val="en-US"/>
        </w:rPr>
        <w:t>AUEC</w:t>
      </w:r>
      <w:bookmarkEnd w:id="6"/>
      <w:r w:rsidRPr="005968FC">
        <w:rPr>
          <w:spacing w:val="-3"/>
          <w:lang w:val="en-US"/>
        </w:rPr>
        <w:t xml:space="preserve"> of these marine biofuel systems.</w:t>
      </w:r>
      <w:r w:rsidR="0095157A" w:rsidRPr="005968FC">
        <w:rPr>
          <w:spacing w:val="-3"/>
          <w:lang w:val="en-US"/>
        </w:rPr>
        <w:t xml:space="preserve"> In general, process performance results show higher exergy efficiencies </w:t>
      </w:r>
      <w:bookmarkStart w:id="7" w:name="_Hlk60182287"/>
      <w:r w:rsidR="0095157A" w:rsidRPr="005968FC">
        <w:rPr>
          <w:spacing w:val="-3"/>
          <w:lang w:val="en-US"/>
        </w:rPr>
        <w:t xml:space="preserve">and λ indexes </w:t>
      </w:r>
      <w:bookmarkEnd w:id="7"/>
      <w:r w:rsidR="0095157A" w:rsidRPr="005968FC">
        <w:rPr>
          <w:spacing w:val="-3"/>
          <w:lang w:val="en-US"/>
        </w:rPr>
        <w:t>for Gasification Fischer-Tropsch systems using Rice</w:t>
      </w:r>
      <w:r w:rsidR="002836DA" w:rsidRPr="005968FC">
        <w:rPr>
          <w:spacing w:val="-3"/>
          <w:lang w:val="en-US"/>
        </w:rPr>
        <w:t xml:space="preserve"> straw</w:t>
      </w:r>
      <w:r w:rsidR="0095157A" w:rsidRPr="005968FC">
        <w:rPr>
          <w:spacing w:val="-3"/>
          <w:lang w:val="en-US"/>
        </w:rPr>
        <w:t>, Wheat</w:t>
      </w:r>
      <w:r w:rsidR="002836DA" w:rsidRPr="005968FC">
        <w:rPr>
          <w:spacing w:val="-3"/>
          <w:lang w:val="en-US"/>
        </w:rPr>
        <w:t xml:space="preserve"> straw</w:t>
      </w:r>
      <w:r w:rsidR="0095157A" w:rsidRPr="005968FC">
        <w:rPr>
          <w:spacing w:val="-3"/>
          <w:lang w:val="en-US"/>
        </w:rPr>
        <w:t>, Sugarcane</w:t>
      </w:r>
      <w:r w:rsidR="002836DA" w:rsidRPr="005968FC">
        <w:rPr>
          <w:spacing w:val="-3"/>
          <w:lang w:val="en-US"/>
        </w:rPr>
        <w:t xml:space="preserve"> bagasse</w:t>
      </w:r>
      <w:r w:rsidR="0095157A" w:rsidRPr="005968FC">
        <w:rPr>
          <w:spacing w:val="-3"/>
          <w:lang w:val="en-US"/>
        </w:rPr>
        <w:t xml:space="preserve">, and Sorghum </w:t>
      </w:r>
      <w:r w:rsidR="002836DA" w:rsidRPr="005968FC">
        <w:rPr>
          <w:spacing w:val="-3"/>
          <w:lang w:val="en-US"/>
        </w:rPr>
        <w:t xml:space="preserve">bagasse </w:t>
      </w:r>
      <w:r w:rsidR="0095157A" w:rsidRPr="005968FC">
        <w:rPr>
          <w:spacing w:val="-3"/>
          <w:lang w:val="en-US"/>
        </w:rPr>
        <w:t>as feedstock. In contrast, the AUEC parameter for these processes presents a reduction as a consequence of the irreversibility minimization.</w:t>
      </w:r>
    </w:p>
    <w:p w14:paraId="1A5ED191" w14:textId="778062EF" w:rsidR="00835DDC" w:rsidRPr="005968FC" w:rsidRDefault="00835DDC" w:rsidP="004D1D74">
      <w:pPr>
        <w:autoSpaceDE/>
        <w:autoSpaceDN/>
        <w:spacing w:line="360" w:lineRule="auto"/>
        <w:rPr>
          <w:spacing w:val="-3"/>
          <w:lang w:val="en-US"/>
        </w:rPr>
      </w:pPr>
    </w:p>
    <w:p w14:paraId="13605826" w14:textId="49AAA7BF" w:rsidR="00A41DCD" w:rsidRPr="005968FC" w:rsidRDefault="002836DA" w:rsidP="004D1D74">
      <w:pPr>
        <w:autoSpaceDE/>
        <w:autoSpaceDN/>
        <w:spacing w:line="360" w:lineRule="auto"/>
        <w:rPr>
          <w:spacing w:val="-3"/>
          <w:lang w:val="en-US"/>
        </w:rPr>
      </w:pPr>
      <w:r w:rsidRPr="005968FC">
        <w:rPr>
          <w:spacing w:val="-3"/>
          <w:lang w:val="en-US"/>
        </w:rPr>
        <w:t>At this point, it is important to mention that a key factor regarding the availability of feedstock for marine biofuel production is the capacity of the feedstock to comply with sustainability requirements. In this case, low-carbon marine fuels were assessed through the λ indexes focus on the industrial processes stage and emissions associated with land-use change or aspects related to impact on food prices and food security in the case of the AUEC term are not included in the scope of the study.</w:t>
      </w:r>
    </w:p>
    <w:p w14:paraId="640A1CC2" w14:textId="77777777" w:rsidR="005968FC" w:rsidRPr="005968FC" w:rsidRDefault="005968FC">
      <w:pPr>
        <w:autoSpaceDE/>
        <w:autoSpaceDN/>
        <w:jc w:val="left"/>
        <w:rPr>
          <w:spacing w:val="-3"/>
          <w:lang w:val="en-US"/>
        </w:rPr>
      </w:pPr>
    </w:p>
    <w:p w14:paraId="6D190E3E" w14:textId="77777777" w:rsidR="00310BF6" w:rsidRPr="003E1A97" w:rsidRDefault="00310BF6" w:rsidP="007B7863">
      <w:pPr>
        <w:pStyle w:val="Ttulo2"/>
        <w:numPr>
          <w:ilvl w:val="0"/>
          <w:numId w:val="9"/>
        </w:numPr>
        <w:rPr>
          <w:highlight w:val="cyan"/>
          <w:lang w:val="en-US"/>
        </w:rPr>
      </w:pPr>
      <w:r w:rsidRPr="003E1A97">
        <w:rPr>
          <w:highlight w:val="cyan"/>
          <w:lang w:val="en-US"/>
        </w:rPr>
        <w:lastRenderedPageBreak/>
        <w:t>CONCLUSION</w:t>
      </w:r>
    </w:p>
    <w:p w14:paraId="7544648B" w14:textId="3EB93062" w:rsidR="00E04006" w:rsidRPr="005968FC" w:rsidRDefault="00E04006" w:rsidP="004D1D74">
      <w:pPr>
        <w:suppressAutoHyphens/>
        <w:spacing w:line="360" w:lineRule="auto"/>
        <w:rPr>
          <w:spacing w:val="-3"/>
          <w:lang w:val="en-US"/>
        </w:rPr>
      </w:pPr>
      <w:r w:rsidRPr="005968FC">
        <w:rPr>
          <w:spacing w:val="-3"/>
          <w:lang w:val="en-US"/>
        </w:rPr>
        <w:t xml:space="preserve">This study used an integrated model to estimate the technical performance of marine biofuel supply chains through a trade-off linking the exergy efficiency and the </w:t>
      </w:r>
      <w:r w:rsidR="001D2041" w:rsidRPr="005968FC">
        <w:rPr>
          <w:spacing w:val="-3"/>
          <w:lang w:val="en-US"/>
        </w:rPr>
        <w:t>thermodynamic losses</w:t>
      </w:r>
      <w:r w:rsidRPr="005968FC">
        <w:rPr>
          <w:spacing w:val="-3"/>
          <w:lang w:val="en-US"/>
        </w:rPr>
        <w:t xml:space="preserve">. </w:t>
      </w:r>
      <w:r w:rsidR="009837BE" w:rsidRPr="005968FC">
        <w:rPr>
          <w:spacing w:val="-3"/>
          <w:lang w:val="en-US"/>
        </w:rPr>
        <w:t>A</w:t>
      </w:r>
      <w:r w:rsidRPr="005968FC">
        <w:rPr>
          <w:spacing w:val="-3"/>
          <w:lang w:val="en-US"/>
        </w:rPr>
        <w:t xml:space="preserve"> comparison of lignocellulosic m</w:t>
      </w:r>
      <w:r w:rsidR="001D2041" w:rsidRPr="005968FC">
        <w:rPr>
          <w:spacing w:val="-3"/>
          <w:lang w:val="en-US"/>
        </w:rPr>
        <w:t xml:space="preserve">arine biofuels based on </w:t>
      </w:r>
      <w:r w:rsidRPr="005968FC">
        <w:rPr>
          <w:spacing w:val="-3"/>
          <w:lang w:val="en-US"/>
        </w:rPr>
        <w:t xml:space="preserve">thermochemical production </w:t>
      </w:r>
      <w:r w:rsidR="00544C15" w:rsidRPr="005968FC">
        <w:rPr>
          <w:spacing w:val="-3"/>
          <w:lang w:val="en-US"/>
        </w:rPr>
        <w:t>pathways</w:t>
      </w:r>
      <w:r w:rsidRPr="005968FC">
        <w:rPr>
          <w:spacing w:val="-3"/>
          <w:lang w:val="en-US"/>
        </w:rPr>
        <w:t xml:space="preserve"> and agroforestry </w:t>
      </w:r>
      <w:r w:rsidR="005E2E04" w:rsidRPr="005968FC">
        <w:rPr>
          <w:spacing w:val="-3"/>
          <w:lang w:val="en-US"/>
        </w:rPr>
        <w:t>raw materials</w:t>
      </w:r>
      <w:r w:rsidRPr="005968FC">
        <w:rPr>
          <w:spacing w:val="-3"/>
          <w:lang w:val="en-US"/>
        </w:rPr>
        <w:t xml:space="preserve"> w</w:t>
      </w:r>
      <w:r w:rsidR="009837BE" w:rsidRPr="005968FC">
        <w:rPr>
          <w:spacing w:val="-3"/>
          <w:lang w:val="en-US"/>
        </w:rPr>
        <w:t>as</w:t>
      </w:r>
      <w:r w:rsidRPr="005968FC">
        <w:rPr>
          <w:spacing w:val="-3"/>
          <w:lang w:val="en-US"/>
        </w:rPr>
        <w:t xml:space="preserve"> carried out.</w:t>
      </w:r>
      <w:r w:rsidR="005E2E04" w:rsidRPr="005968FC">
        <w:t xml:space="preserve"> </w:t>
      </w:r>
      <w:r w:rsidR="005E2E04" w:rsidRPr="005968FC">
        <w:rPr>
          <w:spacing w:val="-3"/>
          <w:lang w:val="en-US"/>
        </w:rPr>
        <w:t xml:space="preserve">These results highlight the synergies between </w:t>
      </w:r>
      <w:r w:rsidR="00A41DCD" w:rsidRPr="005968FC">
        <w:rPr>
          <w:spacing w:val="-3"/>
          <w:lang w:val="en-US"/>
        </w:rPr>
        <w:t>p</w:t>
      </w:r>
      <w:r w:rsidR="005E2E04" w:rsidRPr="005968FC">
        <w:rPr>
          <w:spacing w:val="-3"/>
          <w:lang w:val="en-US"/>
        </w:rPr>
        <w:t xml:space="preserve">rocess </w:t>
      </w:r>
      <w:r w:rsidR="00A41DCD" w:rsidRPr="005968FC">
        <w:rPr>
          <w:spacing w:val="-3"/>
          <w:lang w:val="en-US"/>
        </w:rPr>
        <w:t>e</w:t>
      </w:r>
      <w:r w:rsidR="005E2E04" w:rsidRPr="005968FC">
        <w:rPr>
          <w:spacing w:val="-3"/>
          <w:lang w:val="en-US"/>
        </w:rPr>
        <w:t xml:space="preserve">fficiency and </w:t>
      </w:r>
      <w:r w:rsidR="00A41DCD" w:rsidRPr="005968FC">
        <w:rPr>
          <w:spacing w:val="-3"/>
          <w:lang w:val="en-US"/>
        </w:rPr>
        <w:t>e</w:t>
      </w:r>
      <w:r w:rsidR="005E2E04" w:rsidRPr="005968FC">
        <w:rPr>
          <w:spacing w:val="-3"/>
          <w:lang w:val="en-US"/>
        </w:rPr>
        <w:t>xergy-based indexes, indicating low-emissions alternative fuels for the maritime sector that could be implemented in national decarbonization strategies.</w:t>
      </w:r>
    </w:p>
    <w:p w14:paraId="5BD22ACC" w14:textId="146A347F" w:rsidR="00E04006" w:rsidRPr="005968FC" w:rsidRDefault="00E04006" w:rsidP="004D1D74">
      <w:pPr>
        <w:suppressAutoHyphens/>
        <w:spacing w:line="360" w:lineRule="auto"/>
        <w:rPr>
          <w:spacing w:val="-3"/>
          <w:lang w:val="en-US"/>
        </w:rPr>
      </w:pPr>
    </w:p>
    <w:p w14:paraId="496CB292" w14:textId="6EFBA4A0" w:rsidR="00DB463A" w:rsidRPr="005968FC" w:rsidRDefault="00DE6C78" w:rsidP="004D1D74">
      <w:pPr>
        <w:suppressAutoHyphens/>
        <w:spacing w:line="360" w:lineRule="auto"/>
        <w:rPr>
          <w:spacing w:val="-3"/>
          <w:lang w:val="en-US"/>
        </w:rPr>
      </w:pPr>
      <w:r w:rsidRPr="005968FC">
        <w:rPr>
          <w:spacing w:val="-3"/>
          <w:lang w:val="en-US"/>
        </w:rPr>
        <w:t>In general, a significant quantity of sustainable biomass could be produced in Brazil, which could represent advantages in the production of low-emissions alternative fuels for the maritime transportation sector taking into account the market potential for biofuels, particularly biofuel blends at the current volumes demanded by the shipping industry and new regulatory fuels requirements.</w:t>
      </w:r>
    </w:p>
    <w:p w14:paraId="48AF9EC1" w14:textId="77777777" w:rsidR="00DB463A" w:rsidRPr="005968FC" w:rsidRDefault="00DB463A" w:rsidP="004D1D74">
      <w:pPr>
        <w:suppressAutoHyphens/>
        <w:spacing w:line="360" w:lineRule="auto"/>
        <w:rPr>
          <w:spacing w:val="-3"/>
          <w:lang w:val="en-US"/>
        </w:rPr>
      </w:pPr>
    </w:p>
    <w:p w14:paraId="28C0A928" w14:textId="7E01D301" w:rsidR="00E04006" w:rsidRPr="00BC57CB" w:rsidRDefault="00E04006" w:rsidP="004D1D74">
      <w:pPr>
        <w:suppressAutoHyphens/>
        <w:spacing w:line="360" w:lineRule="auto"/>
        <w:rPr>
          <w:spacing w:val="-3"/>
          <w:lang w:val="en-US"/>
        </w:rPr>
      </w:pPr>
      <w:r w:rsidRPr="009361EA">
        <w:rPr>
          <w:spacing w:val="-3"/>
          <w:lang w:val="en-US"/>
        </w:rPr>
        <w:t xml:space="preserve">In particular, Hydrothermal liquefaction (HTL) and Gasification with Fischer-Tropsch synthesis (GFT) technologies have the highest biofuel yields. For instance, when used wheat </w:t>
      </w:r>
      <w:r w:rsidR="009A2C70">
        <w:rPr>
          <w:spacing w:val="-3"/>
          <w:lang w:val="en-US"/>
        </w:rPr>
        <w:t xml:space="preserve">straw </w:t>
      </w:r>
      <w:r w:rsidRPr="009361EA">
        <w:rPr>
          <w:spacing w:val="-3"/>
          <w:lang w:val="en-US"/>
        </w:rPr>
        <w:t xml:space="preserve">as an input in </w:t>
      </w:r>
      <w:r w:rsidRPr="00BC57CB">
        <w:rPr>
          <w:spacing w:val="-3"/>
          <w:lang w:val="en-US"/>
        </w:rPr>
        <w:t>the HTL and the GFT systems, it was presented the highest exergetic efficiency and</w:t>
      </w:r>
      <w:r w:rsidR="00AB1B45" w:rsidRPr="00BC57CB">
        <w:rPr>
          <w:spacing w:val="-3"/>
          <w:lang w:val="en-US"/>
        </w:rPr>
        <w:t>,</w:t>
      </w:r>
      <w:r w:rsidRPr="00BC57CB">
        <w:rPr>
          <w:spacing w:val="-3"/>
          <w:lang w:val="en-US"/>
        </w:rPr>
        <w:t xml:space="preserve"> consequently, the lowest destructed ex</w:t>
      </w:r>
      <w:r w:rsidR="009A2C70" w:rsidRPr="00BC57CB">
        <w:rPr>
          <w:spacing w:val="-3"/>
          <w:lang w:val="en-US"/>
        </w:rPr>
        <w:t>ergy rate of the configurations</w:t>
      </w:r>
      <w:r w:rsidRPr="00BC57CB">
        <w:rPr>
          <w:spacing w:val="-3"/>
          <w:lang w:val="en-US"/>
        </w:rPr>
        <w:t>.</w:t>
      </w:r>
    </w:p>
    <w:p w14:paraId="5590B29F" w14:textId="77777777" w:rsidR="00DF4AB8" w:rsidRPr="00AC0EBF" w:rsidRDefault="00DF4AB8" w:rsidP="004D1D74">
      <w:pPr>
        <w:suppressAutoHyphens/>
        <w:spacing w:line="360" w:lineRule="auto"/>
        <w:rPr>
          <w:spacing w:val="-3"/>
          <w:lang w:val="en-US"/>
        </w:rPr>
      </w:pPr>
    </w:p>
    <w:p w14:paraId="0B3C0EAB" w14:textId="7CEFC321" w:rsidR="00E04006" w:rsidRDefault="00E04006" w:rsidP="004D1D74">
      <w:pPr>
        <w:suppressAutoHyphens/>
        <w:spacing w:line="360" w:lineRule="auto"/>
        <w:rPr>
          <w:spacing w:val="-3"/>
          <w:lang w:val="en-US"/>
        </w:rPr>
      </w:pPr>
      <w:r w:rsidRPr="00BC57CB">
        <w:rPr>
          <w:spacing w:val="-3"/>
          <w:lang w:val="en-US"/>
        </w:rPr>
        <w:t>Concerning the Fast pyrolysis with hydrotreatment (FPH), the highest exergy performance was reached when corn</w:t>
      </w:r>
      <w:r w:rsidR="009A2C70" w:rsidRPr="00BC57CB">
        <w:rPr>
          <w:spacing w:val="-3"/>
          <w:lang w:val="en-US"/>
        </w:rPr>
        <w:t xml:space="preserve"> stover</w:t>
      </w:r>
      <w:r w:rsidRPr="00BC57CB">
        <w:rPr>
          <w:spacing w:val="-3"/>
          <w:lang w:val="en-US"/>
        </w:rPr>
        <w:t xml:space="preserve"> was employed as a feedstock. In contrast, the sorghum GFT has the lowest estimated exergetic efficiency </w:t>
      </w:r>
      <w:r w:rsidR="000024A6" w:rsidRPr="000024A6">
        <w:rPr>
          <w:spacing w:val="-3"/>
          <w:lang w:val="en-US"/>
        </w:rPr>
        <w:t>due</w:t>
      </w:r>
      <w:r w:rsidRPr="00BC57CB">
        <w:rPr>
          <w:spacing w:val="-3"/>
          <w:lang w:val="en-US"/>
        </w:rPr>
        <w:t xml:space="preserve"> to the low-hydrogen syngas composition and </w:t>
      </w:r>
      <w:r w:rsidR="000024A6" w:rsidRPr="000024A6">
        <w:rPr>
          <w:spacing w:val="-3"/>
          <w:lang w:val="en-US"/>
        </w:rPr>
        <w:t xml:space="preserve">attributable </w:t>
      </w:r>
      <w:r w:rsidRPr="00BC57CB">
        <w:rPr>
          <w:spacing w:val="-3"/>
          <w:lang w:val="en-US"/>
        </w:rPr>
        <w:t xml:space="preserve">to </w:t>
      </w:r>
      <w:r w:rsidR="000024A6">
        <w:rPr>
          <w:spacing w:val="-3"/>
          <w:lang w:val="en-US"/>
        </w:rPr>
        <w:t>irreversibilities</w:t>
      </w:r>
      <w:r w:rsidRPr="00BC57CB">
        <w:rPr>
          <w:spacing w:val="-3"/>
          <w:lang w:val="en-US"/>
        </w:rPr>
        <w:t xml:space="preserve"> during </w:t>
      </w:r>
      <w:r w:rsidR="000024A6">
        <w:rPr>
          <w:spacing w:val="-3"/>
          <w:lang w:val="en-US"/>
        </w:rPr>
        <w:t xml:space="preserve">the </w:t>
      </w:r>
      <w:r w:rsidR="000024A6" w:rsidRPr="000024A6">
        <w:rPr>
          <w:spacing w:val="-3"/>
          <w:lang w:val="en-US"/>
        </w:rPr>
        <w:t>synthesis gas</w:t>
      </w:r>
      <w:r w:rsidRPr="00BC57CB">
        <w:rPr>
          <w:spacing w:val="-3"/>
          <w:lang w:val="en-US"/>
        </w:rPr>
        <w:t xml:space="preserve"> upgrading</w:t>
      </w:r>
      <w:r w:rsidR="000024A6">
        <w:rPr>
          <w:spacing w:val="-3"/>
          <w:lang w:val="en-US"/>
        </w:rPr>
        <w:t xml:space="preserve"> step</w:t>
      </w:r>
      <w:r w:rsidRPr="00BC57CB">
        <w:rPr>
          <w:spacing w:val="-3"/>
          <w:lang w:val="en-US"/>
        </w:rPr>
        <w:t>.</w:t>
      </w:r>
    </w:p>
    <w:p w14:paraId="40FE2BAD" w14:textId="07D1160C" w:rsidR="009A2C70" w:rsidRPr="003F1F19" w:rsidRDefault="009A2C70" w:rsidP="004D1D74">
      <w:pPr>
        <w:suppressAutoHyphens/>
        <w:spacing w:line="360" w:lineRule="auto"/>
        <w:rPr>
          <w:spacing w:val="-3"/>
          <w:lang w:val="en-US"/>
        </w:rPr>
      </w:pPr>
    </w:p>
    <w:p w14:paraId="30CCC890" w14:textId="54648582" w:rsidR="009A2C70" w:rsidRDefault="00AB5E31" w:rsidP="004D1D74">
      <w:pPr>
        <w:suppressAutoHyphens/>
        <w:spacing w:line="360" w:lineRule="auto"/>
        <w:rPr>
          <w:spacing w:val="-3"/>
          <w:lang w:val="en-US"/>
        </w:rPr>
      </w:pPr>
      <w:r w:rsidRPr="003F1F19">
        <w:rPr>
          <w:spacing w:val="-3"/>
          <w:lang w:val="en-US"/>
        </w:rPr>
        <w:t xml:space="preserve">Overall, the most significant recommendation from the exergy point of view is that the Wheat Straw/HTL, Wheat Straw/GFT, and Corn Stover/FPH pairs (within 21 feedstock/technology scenarios) were identified as the promising systems. Thus, these possible pathways could support the transition (medium-term targets) of the marine transport sector towards higher energy efficiency/low-carbon systems </w:t>
      </w:r>
      <w:r w:rsidR="000024A6">
        <w:rPr>
          <w:spacing w:val="-3"/>
          <w:lang w:val="en-US"/>
        </w:rPr>
        <w:t xml:space="preserve">that </w:t>
      </w:r>
      <w:r w:rsidRPr="003F1F19">
        <w:rPr>
          <w:spacing w:val="-3"/>
          <w:lang w:val="en-US"/>
        </w:rPr>
        <w:t>focus on the production of biofuels (from sustainable feedstocks) and marine blends</w:t>
      </w:r>
      <w:r w:rsidR="000024A6">
        <w:rPr>
          <w:spacing w:val="-3"/>
          <w:lang w:val="en-US"/>
        </w:rPr>
        <w:t>/</w:t>
      </w:r>
      <w:r w:rsidR="000024A6" w:rsidRPr="000024A6">
        <w:rPr>
          <w:spacing w:val="-3"/>
          <w:lang w:val="en-US"/>
        </w:rPr>
        <w:t>renewable bunker fuel</w:t>
      </w:r>
      <w:r w:rsidR="000024A6">
        <w:rPr>
          <w:spacing w:val="-3"/>
          <w:lang w:val="en-US"/>
        </w:rPr>
        <w:t>s</w:t>
      </w:r>
      <w:r w:rsidRPr="003F1F19">
        <w:rPr>
          <w:spacing w:val="-3"/>
          <w:lang w:val="en-US"/>
        </w:rPr>
        <w:t>.</w:t>
      </w:r>
    </w:p>
    <w:p w14:paraId="2F62AC70" w14:textId="77777777" w:rsidR="007B7863" w:rsidRPr="003F1F19" w:rsidRDefault="007B7863" w:rsidP="004D1D74">
      <w:pPr>
        <w:suppressAutoHyphens/>
        <w:spacing w:line="360" w:lineRule="auto"/>
        <w:rPr>
          <w:spacing w:val="-3"/>
          <w:lang w:val="en-US"/>
        </w:rPr>
      </w:pPr>
    </w:p>
    <w:p w14:paraId="1A0B6C60" w14:textId="77777777" w:rsidR="00613197" w:rsidRPr="009361EA" w:rsidRDefault="00613197" w:rsidP="00D92B27">
      <w:pPr>
        <w:pStyle w:val="Ttulo2"/>
        <w:rPr>
          <w:bCs w:val="0"/>
          <w:lang w:val="en-US"/>
        </w:rPr>
      </w:pPr>
      <w:r w:rsidRPr="00DE1CA2">
        <w:rPr>
          <w:bCs w:val="0"/>
          <w:lang w:val="en-US"/>
        </w:rPr>
        <w:lastRenderedPageBreak/>
        <w:t>ACKNOWLEDGMENT</w:t>
      </w:r>
    </w:p>
    <w:p w14:paraId="43495676" w14:textId="35479C8A" w:rsidR="00613197" w:rsidRDefault="00A57537" w:rsidP="004D1D74">
      <w:pPr>
        <w:spacing w:line="360" w:lineRule="auto"/>
        <w:rPr>
          <w:spacing w:val="-3"/>
          <w:lang w:val="en-US"/>
        </w:rPr>
      </w:pPr>
      <w:r w:rsidRPr="009361EA">
        <w:rPr>
          <w:spacing w:val="-3"/>
          <w:lang w:val="en-US"/>
        </w:rPr>
        <w:t xml:space="preserve">The authors acknowledge the São Paulo Research Foundation (FAPESP) for grants 2017/03091-8 and 2017/16106-3. </w:t>
      </w:r>
      <w:r w:rsidR="000024A6">
        <w:rPr>
          <w:spacing w:val="-3"/>
          <w:lang w:val="en-US"/>
        </w:rPr>
        <w:t>Besides</w:t>
      </w:r>
      <w:r w:rsidRPr="009361EA">
        <w:rPr>
          <w:spacing w:val="-3"/>
          <w:lang w:val="en-US"/>
        </w:rPr>
        <w:t xml:space="preserve">, this work </w:t>
      </w:r>
      <w:r w:rsidRPr="00BC57CB">
        <w:rPr>
          <w:spacing w:val="-3"/>
          <w:lang w:val="en-US"/>
        </w:rPr>
        <w:t>was carried out within</w:t>
      </w:r>
      <w:r w:rsidRPr="009361EA">
        <w:rPr>
          <w:spacing w:val="-3"/>
          <w:lang w:val="en-US"/>
        </w:rPr>
        <w:t xml:space="preserve"> the framework of a FAPESP-BIOEN thematic research project, process 2015/20630-4.</w:t>
      </w:r>
      <w:r w:rsidR="00DE1CA2">
        <w:rPr>
          <w:spacing w:val="-3"/>
          <w:lang w:val="en-US"/>
        </w:rPr>
        <w:t xml:space="preserve"> Lastly, </w:t>
      </w:r>
      <w:proofErr w:type="gramStart"/>
      <w:r w:rsidR="00DE1CA2" w:rsidRPr="00DE1CA2">
        <w:rPr>
          <w:spacing w:val="-3"/>
          <w:lang w:val="en-US"/>
        </w:rPr>
        <w:t>We</w:t>
      </w:r>
      <w:proofErr w:type="gramEnd"/>
      <w:r w:rsidR="00DE1CA2" w:rsidRPr="00DE1CA2">
        <w:rPr>
          <w:spacing w:val="-3"/>
          <w:lang w:val="en-US"/>
        </w:rPr>
        <w:t xml:space="preserve"> </w:t>
      </w:r>
      <w:r w:rsidR="00DE1CA2">
        <w:rPr>
          <w:spacing w:val="-3"/>
          <w:lang w:val="en-US"/>
        </w:rPr>
        <w:t xml:space="preserve">also </w:t>
      </w:r>
      <w:r w:rsidR="00DE1CA2" w:rsidRPr="00DE1CA2">
        <w:rPr>
          <w:spacing w:val="-3"/>
          <w:lang w:val="en-US"/>
        </w:rPr>
        <w:t xml:space="preserve">thank Samantha E. </w:t>
      </w:r>
      <w:proofErr w:type="spellStart"/>
      <w:r w:rsidR="00DE1CA2" w:rsidRPr="00DE1CA2">
        <w:rPr>
          <w:spacing w:val="-3"/>
          <w:lang w:val="en-US"/>
        </w:rPr>
        <w:t>Tanzer</w:t>
      </w:r>
      <w:proofErr w:type="spellEnd"/>
      <w:r w:rsidR="00DE1CA2" w:rsidRPr="00DE1CA2">
        <w:rPr>
          <w:spacing w:val="-3"/>
          <w:lang w:val="en-US"/>
        </w:rPr>
        <w:t xml:space="preserve"> (TU Delft) for providing the mass balances used in this work.</w:t>
      </w:r>
    </w:p>
    <w:p w14:paraId="46812B18" w14:textId="77777777" w:rsidR="00137328" w:rsidRPr="009361EA" w:rsidRDefault="00137328" w:rsidP="00A57537">
      <w:pPr>
        <w:rPr>
          <w:spacing w:val="-3"/>
          <w:lang w:val="en-US"/>
        </w:rPr>
      </w:pPr>
    </w:p>
    <w:p w14:paraId="6F86D547" w14:textId="77777777" w:rsidR="00210B95" w:rsidRPr="009361EA" w:rsidRDefault="00210B95" w:rsidP="00210B95">
      <w:pPr>
        <w:pStyle w:val="Ttulo2"/>
        <w:rPr>
          <w:bCs w:val="0"/>
          <w:lang w:val="en-US"/>
        </w:rPr>
      </w:pPr>
      <w:r w:rsidRPr="009361EA">
        <w:rPr>
          <w:bCs w:val="0"/>
          <w:lang w:val="en-US"/>
        </w:rPr>
        <w:t>NOMENCLATURE</w:t>
      </w:r>
    </w:p>
    <w:p w14:paraId="22B0F63D" w14:textId="77777777" w:rsidR="00F1719F" w:rsidRPr="009361EA" w:rsidRDefault="00F1719F" w:rsidP="00F1719F">
      <w:pPr>
        <w:tabs>
          <w:tab w:val="center" w:pos="4819"/>
        </w:tabs>
        <w:suppressAutoHyphens/>
        <w:rPr>
          <w:noProof/>
          <w:spacing w:val="-3"/>
          <w:lang w:val="en-US"/>
        </w:rPr>
      </w:pPr>
      <w:r w:rsidRPr="009361EA">
        <w:rPr>
          <w:noProof/>
          <w:spacing w:val="-3"/>
          <w:lang w:val="en-US"/>
        </w:rPr>
        <w:t>Barrels per day (bpd)</w:t>
      </w:r>
    </w:p>
    <w:p w14:paraId="5F8CBF08" w14:textId="77777777" w:rsidR="00FA758C" w:rsidRPr="009361EA" w:rsidRDefault="00FA758C" w:rsidP="00FA758C">
      <w:pPr>
        <w:tabs>
          <w:tab w:val="center" w:pos="4819"/>
        </w:tabs>
        <w:suppressAutoHyphens/>
        <w:rPr>
          <w:noProof/>
          <w:spacing w:val="-3"/>
          <w:lang w:val="en-US"/>
        </w:rPr>
      </w:pPr>
      <w:r w:rsidRPr="009361EA">
        <w:rPr>
          <w:noProof/>
          <w:spacing w:val="-3"/>
          <w:lang w:val="en-US"/>
        </w:rPr>
        <w:t>Dry tones of lignocellulosic biomass (tdb)</w:t>
      </w:r>
    </w:p>
    <w:p w14:paraId="79E335EF" w14:textId="677758D2" w:rsidR="00F1719F" w:rsidRPr="009361EA" w:rsidRDefault="00F1719F" w:rsidP="00F1719F">
      <w:pPr>
        <w:tabs>
          <w:tab w:val="center" w:pos="4819"/>
        </w:tabs>
        <w:suppressAutoHyphens/>
        <w:rPr>
          <w:noProof/>
          <w:spacing w:val="-3"/>
          <w:lang w:val="en-US"/>
        </w:rPr>
      </w:pPr>
      <w:r w:rsidRPr="009361EA">
        <w:rPr>
          <w:noProof/>
          <w:spacing w:val="-3"/>
          <w:lang w:val="en-US"/>
        </w:rPr>
        <w:t>Cogeneration plant (COGEN)</w:t>
      </w:r>
    </w:p>
    <w:p w14:paraId="1C98FF5F" w14:textId="77777777" w:rsidR="00F1719F" w:rsidRPr="009361EA" w:rsidRDefault="00F1719F" w:rsidP="00F1719F">
      <w:pPr>
        <w:tabs>
          <w:tab w:val="center" w:pos="4819"/>
        </w:tabs>
        <w:suppressAutoHyphens/>
        <w:rPr>
          <w:noProof/>
          <w:spacing w:val="-3"/>
          <w:lang w:val="en-US"/>
        </w:rPr>
      </w:pPr>
      <w:r w:rsidRPr="009361EA">
        <w:rPr>
          <w:noProof/>
          <w:spacing w:val="-3"/>
          <w:lang w:val="en-US"/>
        </w:rPr>
        <w:t>Hydrothermal liquefaction with hydrodeoxygenation (HTL)</w:t>
      </w:r>
    </w:p>
    <w:p w14:paraId="3489A891" w14:textId="77777777" w:rsidR="00F1719F" w:rsidRPr="009361EA" w:rsidRDefault="00F1719F" w:rsidP="00F1719F">
      <w:pPr>
        <w:tabs>
          <w:tab w:val="center" w:pos="4819"/>
        </w:tabs>
        <w:suppressAutoHyphens/>
        <w:rPr>
          <w:noProof/>
          <w:spacing w:val="-3"/>
          <w:lang w:val="en-US"/>
        </w:rPr>
      </w:pPr>
      <w:r w:rsidRPr="009361EA">
        <w:rPr>
          <w:noProof/>
          <w:spacing w:val="-3"/>
          <w:lang w:val="en-US"/>
        </w:rPr>
        <w:t>Fast pyrolysis with hydrodeoxygenation (FPH)</w:t>
      </w:r>
    </w:p>
    <w:p w14:paraId="2014A057" w14:textId="77777777" w:rsidR="00F1719F" w:rsidRPr="009361EA" w:rsidRDefault="00F1719F" w:rsidP="00F1719F">
      <w:pPr>
        <w:tabs>
          <w:tab w:val="center" w:pos="4819"/>
        </w:tabs>
        <w:suppressAutoHyphens/>
        <w:rPr>
          <w:noProof/>
          <w:spacing w:val="-3"/>
          <w:lang w:val="en-US"/>
        </w:rPr>
      </w:pPr>
      <w:r w:rsidRPr="009361EA">
        <w:rPr>
          <w:noProof/>
          <w:spacing w:val="-3"/>
          <w:lang w:val="en-US"/>
        </w:rPr>
        <w:t>Gasification with Fischer-Tropsch synthesis (GFT)</w:t>
      </w:r>
    </w:p>
    <w:p w14:paraId="5257DF07" w14:textId="77777777" w:rsidR="00F1719F" w:rsidRPr="009361EA" w:rsidRDefault="00F1719F" w:rsidP="00F1719F">
      <w:pPr>
        <w:tabs>
          <w:tab w:val="center" w:pos="4819"/>
        </w:tabs>
        <w:suppressAutoHyphens/>
        <w:rPr>
          <w:noProof/>
          <w:spacing w:val="-3"/>
          <w:lang w:val="en-US"/>
        </w:rPr>
      </w:pPr>
      <w:r w:rsidRPr="009361EA">
        <w:rPr>
          <w:noProof/>
          <w:spacing w:val="-3"/>
          <w:lang w:val="en-US"/>
        </w:rPr>
        <w:t>Monoethanolamine (MEA)</w:t>
      </w:r>
    </w:p>
    <w:p w14:paraId="1013FCF1" w14:textId="77777777" w:rsidR="00F1719F" w:rsidRPr="009361EA" w:rsidRDefault="00F1719F" w:rsidP="00F1719F">
      <w:pPr>
        <w:tabs>
          <w:tab w:val="center" w:pos="4819"/>
        </w:tabs>
        <w:suppressAutoHyphens/>
        <w:rPr>
          <w:noProof/>
          <w:spacing w:val="-3"/>
          <w:lang w:val="en-US"/>
        </w:rPr>
      </w:pPr>
      <w:r w:rsidRPr="009361EA">
        <w:rPr>
          <w:noProof/>
          <w:spacing w:val="-3"/>
          <w:lang w:val="en-US"/>
        </w:rPr>
        <w:t>Steam methane reforming (SMR)</w:t>
      </w:r>
    </w:p>
    <w:p w14:paraId="20AC1A49" w14:textId="77777777" w:rsidR="00F1719F" w:rsidRPr="009361EA" w:rsidRDefault="00F1719F" w:rsidP="00F1719F">
      <w:pPr>
        <w:tabs>
          <w:tab w:val="center" w:pos="4819"/>
        </w:tabs>
        <w:suppressAutoHyphens/>
        <w:rPr>
          <w:noProof/>
          <w:spacing w:val="-3"/>
          <w:lang w:val="en-US"/>
        </w:rPr>
      </w:pPr>
      <w:r w:rsidRPr="009361EA">
        <w:rPr>
          <w:noProof/>
          <w:spacing w:val="-3"/>
          <w:lang w:val="en-US"/>
        </w:rPr>
        <w:t>Water gas shift (WGS)</w:t>
      </w:r>
    </w:p>
    <w:p w14:paraId="05791F71" w14:textId="77777777" w:rsidR="00BA779F" w:rsidRPr="009361EA" w:rsidRDefault="00BA779F" w:rsidP="00F1719F">
      <w:pPr>
        <w:tabs>
          <w:tab w:val="center" w:pos="4819"/>
        </w:tabs>
        <w:suppressAutoHyphens/>
        <w:rPr>
          <w:noProof/>
          <w:spacing w:val="-3"/>
          <w:lang w:val="en-US"/>
        </w:rPr>
      </w:pPr>
    </w:p>
    <w:p w14:paraId="12B7D904" w14:textId="77777777" w:rsidR="00310BF6" w:rsidRPr="009361EA" w:rsidRDefault="00310BF6" w:rsidP="00D92B27">
      <w:pPr>
        <w:pStyle w:val="Ttulo2"/>
        <w:rPr>
          <w:bCs w:val="0"/>
          <w:lang w:val="en-US"/>
        </w:rPr>
      </w:pPr>
      <w:r w:rsidRPr="009361EA">
        <w:rPr>
          <w:bCs w:val="0"/>
          <w:lang w:val="en-US"/>
        </w:rPr>
        <w:t>REFERENCES</w:t>
      </w:r>
    </w:p>
    <w:p w14:paraId="088B4B79" w14:textId="77777777" w:rsidR="00DE1CA2" w:rsidRDefault="006D27B6" w:rsidP="00DE1CA2">
      <w:pPr>
        <w:pStyle w:val="Bibliografia"/>
      </w:pPr>
      <w:r w:rsidRPr="009361EA">
        <w:rPr>
          <w:lang w:val="en-US"/>
        </w:rPr>
        <w:fldChar w:fldCharType="begin"/>
      </w:r>
      <w:r w:rsidRPr="009361EA">
        <w:rPr>
          <w:lang w:val="en-US"/>
        </w:rPr>
        <w:instrText xml:space="preserve"> ADDIN ZOTERO_BIBL {"uncited":[],"omitted":[],"custom":[]} CSL_BIBLIOGRAPHY </w:instrText>
      </w:r>
      <w:r w:rsidRPr="009361EA">
        <w:rPr>
          <w:lang w:val="en-US"/>
        </w:rPr>
        <w:fldChar w:fldCharType="separate"/>
      </w:r>
      <w:r w:rsidR="00DE1CA2">
        <w:t>[1]</w:t>
      </w:r>
      <w:r w:rsidR="00DE1CA2">
        <w:tab/>
        <w:t>International Maritime Organization (IMO), Sulphur 2020 – cutting sulphur oxide emissions., 2020. http://www.imo.org/en/MediaCentre/HotTopics/Pages/Sulphur-2020.aspx (accessed February 2, 2020).</w:t>
      </w:r>
    </w:p>
    <w:p w14:paraId="62DB25BD" w14:textId="77777777" w:rsidR="00DE1CA2" w:rsidRDefault="00DE1CA2" w:rsidP="00DE1CA2">
      <w:pPr>
        <w:pStyle w:val="Bibliografia"/>
      </w:pPr>
      <w:r>
        <w:t>[2]</w:t>
      </w:r>
      <w:r>
        <w:tab/>
        <w:t>Concawe, Marine fuel facts, Concawe, n.d. https://www.concawe.eu/ (accessed March 3, 2020).</w:t>
      </w:r>
    </w:p>
    <w:p w14:paraId="0C43BA20" w14:textId="77777777" w:rsidR="00DE1CA2" w:rsidRDefault="00DE1CA2" w:rsidP="00DE1CA2">
      <w:pPr>
        <w:pStyle w:val="Bibliografia"/>
      </w:pPr>
      <w:r>
        <w:t>[3]</w:t>
      </w:r>
      <w:r>
        <w:tab/>
        <w:t>FuelsEurope, STATISTICAL REPORT 2018, FuelsEurope, Belgium, 2018. https://www.fuelseurope.eu/ (accessed October 1, 2020).</w:t>
      </w:r>
    </w:p>
    <w:p w14:paraId="1D4817C6" w14:textId="77777777" w:rsidR="00DE1CA2" w:rsidRDefault="00DE1CA2" w:rsidP="00DE1CA2">
      <w:pPr>
        <w:pStyle w:val="Bibliografia"/>
      </w:pPr>
      <w:r>
        <w:t>[4]</w:t>
      </w:r>
      <w:r>
        <w:tab/>
        <w:t>C. Hsieh, C. Felby, Biofuels for the marine shipping sector. An overview and analysis of sector infrastructure, fuel technologies and regulations., International Energy Agency (IEA), Copenhagen, Denmark, 2017. https://task39.sites.olt.ubc.ca/files/2013/05/Marine-biofuel-report-final-Oct-2017.pdf (accessed May 3, 2020).</w:t>
      </w:r>
    </w:p>
    <w:p w14:paraId="71C4B89B" w14:textId="77777777" w:rsidR="00DE1CA2" w:rsidRDefault="00DE1CA2" w:rsidP="00DE1CA2">
      <w:pPr>
        <w:pStyle w:val="Bibliografia"/>
      </w:pPr>
      <w:r>
        <w:t>[5]</w:t>
      </w:r>
      <w:r>
        <w:tab/>
        <w:t>Oak Ridge National Laboratory (ORNL), Understanding the Opportunities of Biofuels for Marine Shipping, Oak Ridge National Laboratory (ORNL), United States, 2018. https://info.ornl.gov/sites/publications/Files/Pub120597.pdf (accessed March 15, 2020).</w:t>
      </w:r>
    </w:p>
    <w:p w14:paraId="22EAFC8F" w14:textId="77777777" w:rsidR="00DE1CA2" w:rsidRDefault="00DE1CA2" w:rsidP="00DE1CA2">
      <w:pPr>
        <w:pStyle w:val="Bibliografia"/>
      </w:pPr>
      <w:r>
        <w:t>[6]</w:t>
      </w:r>
      <w:r>
        <w:tab/>
        <w:t>J. Fu, S.Q. Turn, Characteristics and stability of biofuels used as drop-in replacement for NATO marine diesel, Fuel. 236 (2019) 516–524. https://doi.org/10.1016/j.fuel.2018.09.042.</w:t>
      </w:r>
    </w:p>
    <w:p w14:paraId="2BE7C34E" w14:textId="77777777" w:rsidR="00DE1CA2" w:rsidRDefault="00DE1CA2" w:rsidP="00DE1CA2">
      <w:pPr>
        <w:pStyle w:val="Bibliografia"/>
      </w:pPr>
      <w:r>
        <w:t>[7]</w:t>
      </w:r>
      <w:r>
        <w:tab/>
        <w:t>M.N. Nabi, J.E. Hustad, Investigation of engine performance and emissions of a diesel engine with a blend of marine gas oil and synthetic diesel fuel, Environmental Technology. 33 (2012) 9–15. https://doi.org/10.1080/09593330.2010.483599.</w:t>
      </w:r>
    </w:p>
    <w:p w14:paraId="753C5A81" w14:textId="77777777" w:rsidR="00DE1CA2" w:rsidRDefault="00DE1CA2" w:rsidP="00DE1CA2">
      <w:pPr>
        <w:pStyle w:val="Bibliografia"/>
      </w:pPr>
      <w:r>
        <w:t>[8]</w:t>
      </w:r>
      <w:r>
        <w:tab/>
        <w:t>S.E. Tanzer, J. Posada, S. Geraedts, A. Ramírez, Lignocellulosic marine biofuel: Technoeconomic and environmental assessment for production in Brazil and Sweden, Journal of Cleaner Production. 239 (2019) 117845. https://doi.org/10.1016/j.jclepro.2019.117845.</w:t>
      </w:r>
    </w:p>
    <w:p w14:paraId="2768F888" w14:textId="77777777" w:rsidR="00DE1CA2" w:rsidRDefault="00DE1CA2" w:rsidP="00DE1CA2">
      <w:pPr>
        <w:pStyle w:val="Bibliografia"/>
      </w:pPr>
      <w:r>
        <w:t>[9]</w:t>
      </w:r>
      <w:r>
        <w:tab/>
        <w:t>T. Koroglu, O.S. Sogut, Conventional and advanced exergy analyses of a marine steam power plant, Energy. 163 (2018) 392–403. https://doi.org/10.1016/j.energy.2018.08.119.</w:t>
      </w:r>
    </w:p>
    <w:p w14:paraId="01134204" w14:textId="77777777" w:rsidR="00DE1CA2" w:rsidRDefault="00DE1CA2" w:rsidP="00DE1CA2">
      <w:pPr>
        <w:pStyle w:val="Bibliografia"/>
      </w:pPr>
      <w:r>
        <w:lastRenderedPageBreak/>
        <w:t>[10]</w:t>
      </w:r>
      <w:r>
        <w:tab/>
        <w:t>Z.-M. Yao, Z.-Q. Qian, R. Li, E. Hu, Energy efficiency analysis of marine high-powered medium-speed diesel engine base on energy balance and exergy, Energy. 176 (2019) 991–1006. https://doi.org/10.1016/j.energy.2019.04.027.</w:t>
      </w:r>
    </w:p>
    <w:p w14:paraId="5AD8474D" w14:textId="77777777" w:rsidR="00DE1CA2" w:rsidRDefault="00DE1CA2" w:rsidP="00DE1CA2">
      <w:pPr>
        <w:pStyle w:val="Bibliografia"/>
      </w:pPr>
      <w:r>
        <w:t>[11]</w:t>
      </w:r>
      <w:r>
        <w:tab/>
        <w:t>F. Baldi, F. Ahlgren, T.-V. Nguyen, M. Thern, K. Andersson, Energy and Exergy Analysis of a Cruise Ship, Energies. 11 (2018) 2508. https://doi.org/10.3390/en11102508.</w:t>
      </w:r>
    </w:p>
    <w:p w14:paraId="3634497D" w14:textId="77777777" w:rsidR="00DE1CA2" w:rsidRDefault="00DE1CA2" w:rsidP="00DE1CA2">
      <w:pPr>
        <w:pStyle w:val="Bibliografia"/>
      </w:pPr>
      <w:r>
        <w:t>[12]</w:t>
      </w:r>
      <w:r>
        <w:tab/>
        <w:t>EPE, Brazilian Energy Research Company, (2019). http://www.epe.gov.br (accessed November 1, 2019).</w:t>
      </w:r>
    </w:p>
    <w:p w14:paraId="0EF410A9" w14:textId="77777777" w:rsidR="00DE1CA2" w:rsidRDefault="00DE1CA2" w:rsidP="00DE1CA2">
      <w:pPr>
        <w:pStyle w:val="Bibliografia"/>
      </w:pPr>
      <w:r>
        <w:t>[13]</w:t>
      </w:r>
      <w:r>
        <w:tab/>
        <w:t>P.A. Silva Ortiz, F. Maréchal, S. de Oliveira Junior, Exergy assessment and techno-economic optimization of bioethanol production routes, Fuel. 279 (2020) 118327. https://doi.org/10.1016/j.fuel.2020.118327.</w:t>
      </w:r>
    </w:p>
    <w:p w14:paraId="442FEB7A" w14:textId="77777777" w:rsidR="00DE1CA2" w:rsidRDefault="00DE1CA2" w:rsidP="00DE1CA2">
      <w:pPr>
        <w:pStyle w:val="Bibliografia"/>
      </w:pPr>
      <w:r>
        <w:t>[14]</w:t>
      </w:r>
      <w:r>
        <w:tab/>
        <w:t>Licella Holdings, Pulp and paper. Creating renewable crude at a comparable price to conventional crude., (2020). https://www.licella.com.au/pulp-paper/ (accessed March 1, 2020).</w:t>
      </w:r>
    </w:p>
    <w:p w14:paraId="7D69771E" w14:textId="77777777" w:rsidR="00DE1CA2" w:rsidRDefault="00DE1CA2" w:rsidP="00DE1CA2">
      <w:pPr>
        <w:pStyle w:val="Bibliografia"/>
      </w:pPr>
      <w:r>
        <w:t>[15]</w:t>
      </w:r>
      <w:r>
        <w:tab/>
        <w:t>Valmet, Bio-oil, (2020). https://www.valmet.com/more-industries/bio/bio-oil/ (accessed October 1, 2020).</w:t>
      </w:r>
    </w:p>
    <w:p w14:paraId="520BA4E5" w14:textId="77777777" w:rsidR="00DE1CA2" w:rsidRDefault="00DE1CA2" w:rsidP="00DE1CA2">
      <w:pPr>
        <w:pStyle w:val="Bibliografia"/>
      </w:pPr>
      <w:r>
        <w:t>[16]</w:t>
      </w:r>
      <w:r>
        <w:tab/>
        <w:t>BTG-BTL, Empyro project, (2020). https://www.btg-btl.com/en/company/projects/empyro (accessed March 20, 2020).</w:t>
      </w:r>
    </w:p>
    <w:p w14:paraId="23C1CDB8" w14:textId="77777777" w:rsidR="00DE1CA2" w:rsidRDefault="00DE1CA2" w:rsidP="00DE1CA2">
      <w:pPr>
        <w:pStyle w:val="Bibliografia"/>
      </w:pPr>
      <w:r>
        <w:t>[17]</w:t>
      </w:r>
      <w:r>
        <w:tab/>
        <w:t>The National Energy Technology Laboratory (NETL), Commercial Use of Fischer-Tropsch Synthesis, (n.d.). https://www.netl.doe.gov/research/Coal/energy-systems/gasification/gasifipedia/sasol (accessed February 16, 2020).</w:t>
      </w:r>
    </w:p>
    <w:p w14:paraId="5CFDCE3B" w14:textId="77777777" w:rsidR="00DE1CA2" w:rsidRDefault="00DE1CA2" w:rsidP="00DE1CA2">
      <w:pPr>
        <w:pStyle w:val="Bibliografia"/>
      </w:pPr>
      <w:r>
        <w:t>[18]</w:t>
      </w:r>
      <w:r>
        <w:tab/>
        <w:t>Fortum, First industrial-scale integrated bio-oil plant, (2012). https://www.fortum.com/media/2012/03/fortum-invests-eur-20-million-build-worlds-first-industrial-scale-integrated-bio-oil-plant (accessed June 11, 2019).</w:t>
      </w:r>
    </w:p>
    <w:p w14:paraId="0FDD84BA" w14:textId="77777777" w:rsidR="00DE1CA2" w:rsidRDefault="00DE1CA2" w:rsidP="00DE1CA2">
      <w:pPr>
        <w:pStyle w:val="Bibliografia"/>
      </w:pPr>
      <w:r>
        <w:t>[19]</w:t>
      </w:r>
      <w:r>
        <w:tab/>
        <w:t>ETIP Bioenergy, UPM Biofuels – commercial plant in Lappeenranta, Finland, European Technology and Innovation Platform Bioenergy. (2016). http://www.etipbioenergy.eu/images/Factsheet_UPM_final.pdf.</w:t>
      </w:r>
    </w:p>
    <w:p w14:paraId="40399E80" w14:textId="77777777" w:rsidR="00DE1CA2" w:rsidRDefault="00DE1CA2" w:rsidP="00DE1CA2">
      <w:pPr>
        <w:pStyle w:val="Bibliografia"/>
      </w:pPr>
      <w:r>
        <w:t>[20]</w:t>
      </w:r>
      <w:r>
        <w:tab/>
        <w:t>M.N. Nabi, M.M. Rahman, M.A. Islam, F.M. Hossain, P. Brooks, W.N. Rowlands, J. Tulloch, Z.D. Ristovski, R.J. Brown, Fuel characterisation, engine performance, combustion and exhaust emissions with a new renewable Licella biofuel, Energy Conversion and Management. 96 (2015) 588–598. https://doi.org/10.1016/j.enconman.2015.02.085.</w:t>
      </w:r>
    </w:p>
    <w:p w14:paraId="7D82608C" w14:textId="77777777" w:rsidR="00DE1CA2" w:rsidRDefault="00DE1CA2" w:rsidP="00DE1CA2">
      <w:pPr>
        <w:pStyle w:val="Bibliografia"/>
      </w:pPr>
      <w:r>
        <w:t>[21]</w:t>
      </w:r>
      <w:r>
        <w:tab/>
        <w:t>Y. Zhang, Hydrothermal Liquefaction to Convert Biomass into Crude Oil, in: Biofuels from Agricultural Wastes and Byproducts, John Wiley &amp; Sons, Ltd, 2010: pp. 201–232. https://doi.org/10.1002/9780813822716.ch10.</w:t>
      </w:r>
    </w:p>
    <w:p w14:paraId="0DBEE914" w14:textId="77777777" w:rsidR="00DE1CA2" w:rsidRDefault="00DE1CA2" w:rsidP="00DE1CA2">
      <w:pPr>
        <w:pStyle w:val="Bibliografia"/>
      </w:pPr>
      <w:r>
        <w:t>[22]</w:t>
      </w:r>
      <w:r>
        <w:tab/>
        <w:t>Z. Zhu, L. Rosendahl, S.S. Toor, D. Yu, G. Chen, Hydrothermal liquefaction of barley straw to bio-crude oil: Effects of reaction temperature and aqueous phase recirculation, Applied Energy. 137 (2015) 183–192. https://doi.org/10.1016/j.apenergy.2014.10.005.</w:t>
      </w:r>
    </w:p>
    <w:p w14:paraId="70004E73" w14:textId="77777777" w:rsidR="00DE1CA2" w:rsidRDefault="00DE1CA2" w:rsidP="00DE1CA2">
      <w:pPr>
        <w:pStyle w:val="Bibliografia"/>
      </w:pPr>
      <w:r>
        <w:t>[23]</w:t>
      </w:r>
      <w:r>
        <w:tab/>
        <w:t>M. Sugano, H. Takagi, K. Hirano, K. Mashimo, Hydrothermal liquefaction of plantation biomass with two kinds of wastewater from paper industry, J Mater Sci. 43 (2008) 2476–2486. https://doi.org/10.1007/s10853-007-2106-8.</w:t>
      </w:r>
    </w:p>
    <w:p w14:paraId="56CE75BB" w14:textId="77777777" w:rsidR="00DE1CA2" w:rsidRDefault="00DE1CA2" w:rsidP="00DE1CA2">
      <w:pPr>
        <w:pStyle w:val="Bibliografia"/>
      </w:pPr>
      <w:r>
        <w:t>[24]</w:t>
      </w:r>
      <w:r>
        <w:tab/>
        <w:t>I.J. Tews, D.C. Elliott, Low-Severity Hydroprocessing to Stabilize Bio-oil: TechnoEconomic Assessment, Pacific Northwest National Lab. (PNNL), Richland, WA (United States), 2014. https://doi.org/10.2172/1227072.</w:t>
      </w:r>
    </w:p>
    <w:p w14:paraId="49876CC3" w14:textId="77777777" w:rsidR="00DE1CA2" w:rsidRDefault="00DE1CA2" w:rsidP="00DE1CA2">
      <w:pPr>
        <w:pStyle w:val="Bibliografia"/>
      </w:pPr>
      <w:r>
        <w:t>[25]</w:t>
      </w:r>
      <w:r>
        <w:tab/>
        <w:t>E. Panisko, T. Wietsma, T. Lemmon, K. Albrecht, D. Howe, Characterization of the aqueous fractions from hydrotreatment and hydrothermal liquefaction of lignocellulosic feedstocks, Biomass and Bioenergy. 74 (2015) 162–171. https://doi.org/10.1016/j.biombioe.2015.01.011.</w:t>
      </w:r>
    </w:p>
    <w:p w14:paraId="6B6448E8" w14:textId="77777777" w:rsidR="00DE1CA2" w:rsidRDefault="00DE1CA2" w:rsidP="00DE1CA2">
      <w:pPr>
        <w:pStyle w:val="Bibliografia"/>
      </w:pPr>
      <w:r>
        <w:t>[26]</w:t>
      </w:r>
      <w:r>
        <w:tab/>
        <w:t>C. da Silva, Techno-Economic and Environmental Analysis of Oil Crop and Forestry Residues Based Integrated Biorefineries in Brazil, PDEng Thesis, Delft University of Technology, 2016.</w:t>
      </w:r>
    </w:p>
    <w:p w14:paraId="014DE4D8" w14:textId="77777777" w:rsidR="00DE1CA2" w:rsidRDefault="00DE1CA2" w:rsidP="00DE1CA2">
      <w:pPr>
        <w:pStyle w:val="Bibliografia"/>
      </w:pPr>
      <w:r>
        <w:lastRenderedPageBreak/>
        <w:t>[27]</w:t>
      </w:r>
      <w:r>
        <w:tab/>
        <w:t>Singh et al., Hydrothermal liquefaction of agricultural and forest biomass residue: comparative study, Springerprofessional.De. (2015). https://www.springerprofessional.de/hydrothermal-liquefaction-of-agricultural-and-forest-biomass-res/5335084 (accessed April 15, 2020).</w:t>
      </w:r>
    </w:p>
    <w:p w14:paraId="2450EFFD" w14:textId="77777777" w:rsidR="00DE1CA2" w:rsidRDefault="00DE1CA2" w:rsidP="00DE1CA2">
      <w:pPr>
        <w:pStyle w:val="Bibliografia"/>
      </w:pPr>
      <w:r>
        <w:t>[28]</w:t>
      </w:r>
      <w:r>
        <w:tab/>
        <w:t>Z. Bi, J. Zhang, E. Peterson, Z. Zhu, C. Xia, Y. Liang, T. Wiltowski, Biocrude from pretreated sorghum bagasse through catalytic hydrothermal liquefaction, Fuel. 188 (2017) 112–120. https://doi.org/10.1016/j.fuel.2016.10.039.</w:t>
      </w:r>
    </w:p>
    <w:p w14:paraId="50137542" w14:textId="77777777" w:rsidR="00DE1CA2" w:rsidRDefault="00DE1CA2" w:rsidP="00DE1CA2">
      <w:pPr>
        <w:pStyle w:val="Bibliografia"/>
      </w:pPr>
      <w:r>
        <w:t>[29]</w:t>
      </w:r>
      <w:r>
        <w:tab/>
        <w:t>S. Anouti, G. Haarlemmer, M. Déniel, A. Roubaud, Analysis of Physicochemical Properties of Bio-Oil from Hydrothermal Liquefaction of Blackcurrant Pomace, (2015). https://doi.org/10.1021/acs.energyfuels.5b02264.</w:t>
      </w:r>
    </w:p>
    <w:p w14:paraId="15863ABC" w14:textId="77777777" w:rsidR="00DE1CA2" w:rsidRDefault="00DE1CA2" w:rsidP="00DE1CA2">
      <w:pPr>
        <w:pStyle w:val="Bibliografia"/>
      </w:pPr>
      <w:r>
        <w:t>[30]</w:t>
      </w:r>
      <w:r>
        <w:tab/>
        <w:t>D.C. Elliott, P. Biller, A.B. Ross, A.J. Schmidt, S.B. Jones, Hydrothermal liquefaction of biomass: Developments from batch to continuous process, Bioresource Technology. 178 (2015) 147–156. https://doi.org/10.1016/j.biortech.2014.09.132.</w:t>
      </w:r>
    </w:p>
    <w:p w14:paraId="598800AF" w14:textId="77777777" w:rsidR="00DE1CA2" w:rsidRDefault="00DE1CA2" w:rsidP="00DE1CA2">
      <w:pPr>
        <w:pStyle w:val="Bibliografia"/>
      </w:pPr>
      <w:r>
        <w:t>[31]</w:t>
      </w:r>
      <w:r>
        <w:tab/>
        <w:t>S.S. Gill, A. Tsolakis, K.D. Dearn, J. Rodríguez-Fernández, Combustion characteristics and emissions of Fischer–Tropsch diesel fuels in IC engines, Progress in Energy and Combustion Science. 37 (2011) 503–523. https://doi.org/10.1016/j.pecs.2010.09.001.</w:t>
      </w:r>
    </w:p>
    <w:p w14:paraId="518F10DD" w14:textId="3BE38222" w:rsidR="00DE1CA2" w:rsidRDefault="00DE1CA2" w:rsidP="00DE1CA2">
      <w:pPr>
        <w:pStyle w:val="Bibliografia"/>
      </w:pPr>
      <w:r>
        <w:t>[32]</w:t>
      </w:r>
      <w:r>
        <w:tab/>
        <w:t>García et al., Catalytic Steam Gasification of Pine Sawdust. Effect of Catalyst Weight/Biomass Flow Rate and Steam/Biomass Ratios on Gas Production and Composition. https://pubs.acs.org/doi/10.1021/ef980250p (accessed April 15, 2020).</w:t>
      </w:r>
    </w:p>
    <w:p w14:paraId="7886DF93" w14:textId="77777777" w:rsidR="00DE1CA2" w:rsidRDefault="00DE1CA2" w:rsidP="00DE1CA2">
      <w:pPr>
        <w:pStyle w:val="Bibliografia"/>
      </w:pPr>
      <w:r>
        <w:t>[33]</w:t>
      </w:r>
      <w:r>
        <w:tab/>
        <w:t>R.M. Swanson, A. Platon, J.A. Satrio, R.C. Brown, D.D. Hsu, Techno-Economic Analysis of Biofuels Production Based on Gasification, National Renewable Energy Lab. (NREL), Golden, CO (United States), 2010. https://doi.org/10.2172/994017.</w:t>
      </w:r>
    </w:p>
    <w:p w14:paraId="693BFCD1" w14:textId="77777777" w:rsidR="00DE1CA2" w:rsidRDefault="00DE1CA2" w:rsidP="00DE1CA2">
      <w:pPr>
        <w:pStyle w:val="Bibliografia"/>
      </w:pPr>
      <w:r>
        <w:t>[34]</w:t>
      </w:r>
      <w:r>
        <w:tab/>
        <w:t>D.L. Carpenter, R.L. Bain, R.E. Davis, A. Dutta, C.J. Feik, K.R. Gaston, W. Jablonski, S.D. Phillips, M.R. Nimlos, Pilot-Scale Gasification of Corn Stover, Switchgrass, Wheat Straw, and Wood: 1. Parametric Study and Comparison with Literature, Ind. Eng. Chem. Res. 49 (2010) 1859–1871. https://doi.org/10.1021/ie900595m.</w:t>
      </w:r>
    </w:p>
    <w:p w14:paraId="3D5EC5DA" w14:textId="77777777" w:rsidR="00DE1CA2" w:rsidRDefault="00DE1CA2" w:rsidP="00DE1CA2">
      <w:pPr>
        <w:pStyle w:val="Bibliografia"/>
      </w:pPr>
      <w:r>
        <w:t>[35]</w:t>
      </w:r>
      <w:r>
        <w:tab/>
        <w:t>J. Figueroa, Y. Ardila, R. Maciel Filho, M. Maciel, Fluidized Bed Reactor For Gasification Of Sugarcane Bagasse: Distribution Of Syngas, Bio-tar And Char, Scopus. (2014). https://doi.org/10.3303/CET1437039.</w:t>
      </w:r>
    </w:p>
    <w:p w14:paraId="77D9138F" w14:textId="77777777" w:rsidR="00DE1CA2" w:rsidRDefault="00DE1CA2" w:rsidP="00DE1CA2">
      <w:pPr>
        <w:pStyle w:val="Bibliografia"/>
      </w:pPr>
      <w:r>
        <w:t>[36]</w:t>
      </w:r>
      <w:r>
        <w:tab/>
        <w:t>K.D. Panopoulos, D. Vamvuka, Experimental evaluation of thermochemical use of two promising biomass fuels, (2009). http://citeseerx.ist.psu.edu/viewdoc/summary?doi=10.1.1.463.2597.</w:t>
      </w:r>
    </w:p>
    <w:p w14:paraId="5DD04D35" w14:textId="77777777" w:rsidR="00DE1CA2" w:rsidRDefault="00DE1CA2" w:rsidP="00DE1CA2">
      <w:pPr>
        <w:pStyle w:val="Bibliografia"/>
      </w:pPr>
      <w:r>
        <w:t>[37]</w:t>
      </w:r>
      <w:r>
        <w:tab/>
        <w:t>S. Chang, Z. Zhao, A. Zheng, X. Li, X. Wang, Z. Huang, F. He, H. Li, Effect of hydrothermal pretreatment on properties of bio-oil produced from fast pyrolysis of eucalyptus wood in a fluidized bed reactor, Bioresource Technology. 138 (2013) 321–328. https://doi.org/10.1016/j.biortech.2013.03.170.</w:t>
      </w:r>
    </w:p>
    <w:p w14:paraId="1B2ED8A0" w14:textId="77777777" w:rsidR="00DE1CA2" w:rsidRDefault="00DE1CA2" w:rsidP="00DE1CA2">
      <w:pPr>
        <w:pStyle w:val="Bibliografia"/>
      </w:pPr>
      <w:r>
        <w:t>[38]</w:t>
      </w:r>
      <w:r>
        <w:tab/>
        <w:t>C.A. Mullen, A.A. Boateng, N.M. Goldberg, I.M. Lima, D.A. Laird, K.B. Hicks, Bio-oil and bio-char production from corn cobs and stover by fast pyrolysis, Biomass and Bioenergy. 34 (2010) 67–74. https://doi.org/10.1016/j.biombioe.2009.09.012.</w:t>
      </w:r>
    </w:p>
    <w:p w14:paraId="6F393AF4" w14:textId="77777777" w:rsidR="00DE1CA2" w:rsidRDefault="00DE1CA2" w:rsidP="00DE1CA2">
      <w:pPr>
        <w:pStyle w:val="Bibliografia"/>
      </w:pPr>
      <w:r>
        <w:t>[39]</w:t>
      </w:r>
      <w:r>
        <w:tab/>
        <w:t>S.-H. Jung, B.-S. Kang, J.-S. Kim, Production of bio-oil from rice straw and bamboo sawdust under various reaction conditions in a fast pyrolysis plant equipped with a fluidized bed and a char separation system, Journal of Analytical and Applied Pyrolysis. 82 (2008) 240–247. https://doi.org/10.1016/j.jaap.2008.04.001.</w:t>
      </w:r>
    </w:p>
    <w:p w14:paraId="019791C3" w14:textId="77777777" w:rsidR="00DE1CA2" w:rsidRDefault="00DE1CA2" w:rsidP="00DE1CA2">
      <w:pPr>
        <w:pStyle w:val="Bibliografia"/>
      </w:pPr>
      <w:r>
        <w:t>[40]</w:t>
      </w:r>
      <w:r>
        <w:tab/>
        <w:t>C.J. Mulligan, L. Strezov, V. Strezov, Thermal Decomposition of Wheat Straw and Mallee Residue Under Pyrolysis Conditions†, Energy and Fuels. (2009). https://doi.org/10.1021/ef9004797.</w:t>
      </w:r>
    </w:p>
    <w:p w14:paraId="2EBFA7B4" w14:textId="77777777" w:rsidR="00DE1CA2" w:rsidRDefault="00DE1CA2" w:rsidP="00DE1CA2">
      <w:pPr>
        <w:pStyle w:val="Bibliografia"/>
      </w:pPr>
      <w:r>
        <w:t>[41]</w:t>
      </w:r>
      <w:r>
        <w:tab/>
        <w:t>T. Hugo, Pyrolysis of Sugarcane Bagasse, Thesis (MScEng, Process Engineering), University of Stellenbosch, 2008.</w:t>
      </w:r>
    </w:p>
    <w:p w14:paraId="09917146" w14:textId="77777777" w:rsidR="00DE1CA2" w:rsidRDefault="00DE1CA2" w:rsidP="00DE1CA2">
      <w:pPr>
        <w:pStyle w:val="Bibliografia"/>
      </w:pPr>
      <w:r>
        <w:lastRenderedPageBreak/>
        <w:t>[42]</w:t>
      </w:r>
      <w:r>
        <w:tab/>
        <w:t>J. Piskorz, P. Majerski, D. Radlein, D.S. Scott, A.V. Bridgwater, Fast pyrolysis of sweet sorghum and sweet sorghum bagasse, Journal of Analytical and Applied Pyrolysis. 46 (1998) 15–29. https://doi.org/10.1016/S0165-2370(98)00067-9.</w:t>
      </w:r>
    </w:p>
    <w:p w14:paraId="2BB330FB" w14:textId="77777777" w:rsidR="00DE1CA2" w:rsidRDefault="00DE1CA2" w:rsidP="00DE1CA2">
      <w:pPr>
        <w:pStyle w:val="Bibliografia"/>
      </w:pPr>
      <w:r>
        <w:t>[43]</w:t>
      </w:r>
      <w:r>
        <w:tab/>
        <w:t>P.A. Meyer, L.J. Snowden-Swan, K.G. Rappé, S.B. Jones, T.L. Westover, K.G. Cafferty, Field-to-Fuel Performance Testing of Lignocellulosic Feedstocks for Fast Pyrolysis and Upgrading: Techno-economic Analysis and Greenhouse Gas Life Cycle Analysis, Energy and Fuels. (2016). https://doi.org/10.1021/acs.energyfuels.6b01643.</w:t>
      </w:r>
    </w:p>
    <w:p w14:paraId="146AE544" w14:textId="77777777" w:rsidR="00DE1CA2" w:rsidRDefault="00DE1CA2" w:rsidP="00DE1CA2">
      <w:pPr>
        <w:pStyle w:val="Bibliografia"/>
      </w:pPr>
      <w:r>
        <w:t>[44]</w:t>
      </w:r>
      <w:r>
        <w:tab/>
        <w:t>J. Wildschut, Pyrolysis Oil Upgrading to Transportation Fuels by Catalytic Hydrotreatment, PhD thesis, University of Groningen, 2009. https://www.rug.nl/research/portal/files/2648400/thesis.pdf.</w:t>
      </w:r>
    </w:p>
    <w:p w14:paraId="63EA15E4" w14:textId="77777777" w:rsidR="00DE1CA2" w:rsidRDefault="00DE1CA2" w:rsidP="00DE1CA2">
      <w:pPr>
        <w:pStyle w:val="Bibliografia"/>
      </w:pPr>
      <w:r>
        <w:t>[45]</w:t>
      </w:r>
      <w:r>
        <w:tab/>
        <w:t>B. Bakshi, Sustainable Engineering, Cambridge University Press, 2019. https://doi.org/10.1017/9781108333726.</w:t>
      </w:r>
    </w:p>
    <w:p w14:paraId="2656A628" w14:textId="77777777" w:rsidR="00DE1CA2" w:rsidRDefault="00DE1CA2" w:rsidP="00DE1CA2">
      <w:pPr>
        <w:pStyle w:val="Bibliografia"/>
      </w:pPr>
      <w:r>
        <w:t>[46]</w:t>
      </w:r>
      <w:r>
        <w:tab/>
        <w:t>J. SZARGUT, D. MORRIS, F. STEWARD, Exergy analysis of thermal, chemical, and metallurgical processes., Hemisphere Publishing Corporation, New York, 1988.</w:t>
      </w:r>
    </w:p>
    <w:p w14:paraId="653111EA" w14:textId="77777777" w:rsidR="00DE1CA2" w:rsidRDefault="00DE1CA2" w:rsidP="00DE1CA2">
      <w:pPr>
        <w:pStyle w:val="Bibliografia"/>
      </w:pPr>
      <w:r>
        <w:t>[47]</w:t>
      </w:r>
      <w:r>
        <w:tab/>
        <w:t>H. Marais, G. van Schoor, K.R. Uren, The merits of exergy-based fault detection in petrochemical processes, Journal of Process Control. (2017). https://doi.org/10.1016/j.jprocont.2017.11.005.</w:t>
      </w:r>
    </w:p>
    <w:p w14:paraId="26891F7E" w14:textId="77777777" w:rsidR="00DE1CA2" w:rsidRDefault="00DE1CA2" w:rsidP="00DE1CA2">
      <w:pPr>
        <w:pStyle w:val="Bibliografia"/>
      </w:pPr>
      <w:r>
        <w:t>[48]</w:t>
      </w:r>
      <w:r>
        <w:tab/>
        <w:t>T.J. KOTAS, The Exergy Method of Thermal Plant Design, Butterworths, London-UK, 1985.</w:t>
      </w:r>
    </w:p>
    <w:p w14:paraId="7589E44F" w14:textId="77777777" w:rsidR="00DE1CA2" w:rsidRPr="00DE1CA2" w:rsidRDefault="00DE1CA2" w:rsidP="00DE1CA2">
      <w:pPr>
        <w:pStyle w:val="Bibliografia"/>
        <w:rPr>
          <w:lang w:val="pt-BR"/>
        </w:rPr>
      </w:pPr>
      <w:r w:rsidRPr="00DE1CA2">
        <w:rPr>
          <w:lang w:val="pt-BR"/>
        </w:rPr>
        <w:t>[49]</w:t>
      </w:r>
      <w:r w:rsidRPr="00DE1CA2">
        <w:rPr>
          <w:lang w:val="pt-BR"/>
        </w:rPr>
        <w:tab/>
        <w:t>E. Silva Lora, O.J. Venturini, Biocombustíveis, 1ED., 2012.</w:t>
      </w:r>
    </w:p>
    <w:p w14:paraId="4608AC1A" w14:textId="77777777" w:rsidR="00DE1CA2" w:rsidRDefault="00DE1CA2" w:rsidP="00DE1CA2">
      <w:pPr>
        <w:pStyle w:val="Bibliografia"/>
      </w:pPr>
      <w:r>
        <w:t>[50]</w:t>
      </w:r>
      <w:r>
        <w:tab/>
        <w:t>I. Dinçer, C. Zamfirescu, Sustainable Energy Systems and Applications, Springer, 2011. https://www.springer.com/gp/book/9780387958606.</w:t>
      </w:r>
    </w:p>
    <w:p w14:paraId="55BF2F98" w14:textId="2DA6F617" w:rsidR="00DE1CA2" w:rsidRDefault="00DE1CA2" w:rsidP="00DE1CA2">
      <w:pPr>
        <w:pStyle w:val="Bibliografia"/>
      </w:pPr>
      <w:r w:rsidRPr="008E74FB">
        <w:rPr>
          <w:lang w:val="pt-BR"/>
        </w:rPr>
        <w:t>[51]</w:t>
      </w:r>
      <w:r w:rsidRPr="008E74FB">
        <w:rPr>
          <w:lang w:val="pt-BR"/>
        </w:rPr>
        <w:tab/>
        <w:t>P. SILVA ORTIZ, R. MACIEL, J. POSADA</w:t>
      </w:r>
      <w:r w:rsidR="008E74FB" w:rsidRPr="008E74FB">
        <w:rPr>
          <w:lang w:val="pt-BR"/>
        </w:rPr>
        <w:t>.</w:t>
      </w:r>
      <w:r w:rsidRPr="008E74FB">
        <w:rPr>
          <w:lang w:val="pt-BR"/>
        </w:rPr>
        <w:t xml:space="preserve"> </w:t>
      </w:r>
      <w:r>
        <w:t>Mass and Heat Integration in Ethanol Production Mills for Enhanced Process Efficiency and Exergy-Based Renewability Performance, Processes. 7(10) (2019) 670. https://doi.org/10.3390/pr7100670.</w:t>
      </w:r>
    </w:p>
    <w:p w14:paraId="2291C55E" w14:textId="77777777" w:rsidR="00DE1CA2" w:rsidRDefault="00DE1CA2" w:rsidP="00DE1CA2">
      <w:pPr>
        <w:pStyle w:val="Bibliografia"/>
      </w:pPr>
      <w:r>
        <w:t>[52]</w:t>
      </w:r>
      <w:r>
        <w:tab/>
        <w:t>K. Ptasinski, Efficiency of Biomass Energy: An Exergy Approach to Biofuels, Power, and Biorefineries, John Wiley &amp; Sons, Ltd, 2016. https://doi.org/10.1002/9781119118169.ch2.</w:t>
      </w:r>
    </w:p>
    <w:p w14:paraId="4D4D773F" w14:textId="77777777" w:rsidR="00DE1CA2" w:rsidRDefault="00DE1CA2" w:rsidP="00DE1CA2">
      <w:pPr>
        <w:pStyle w:val="Bibliografia"/>
      </w:pPr>
      <w:r>
        <w:t>[53]</w:t>
      </w:r>
      <w:r>
        <w:tab/>
        <w:t>S. de Oliveira Junior, Exergy Analysis and Environmental Impact, in: S. de Oliveira Junior (Ed.), Exergy: Production, Cost and Renewability, Springer London, London, 2013: pp. 281–303. https://doi.org/10.1007/978-1-4471-4165-5_9.</w:t>
      </w:r>
    </w:p>
    <w:p w14:paraId="7ED15474" w14:textId="33C643E0" w:rsidR="0084096B" w:rsidRDefault="006D27B6" w:rsidP="0084096B">
      <w:pPr>
        <w:pStyle w:val="reference"/>
        <w:numPr>
          <w:ilvl w:val="0"/>
          <w:numId w:val="0"/>
        </w:numPr>
        <w:ind w:left="284" w:hanging="284"/>
        <w:rPr>
          <w:lang w:val="en-US"/>
        </w:rPr>
      </w:pPr>
      <w:r w:rsidRPr="009361EA">
        <w:rPr>
          <w:lang w:val="en-US"/>
        </w:rPr>
        <w:fldChar w:fldCharType="end"/>
      </w:r>
    </w:p>
    <w:p w14:paraId="5826AA16" w14:textId="18069F3A" w:rsidR="0084096B" w:rsidRDefault="0084096B" w:rsidP="0084096B">
      <w:pPr>
        <w:pStyle w:val="reference"/>
        <w:numPr>
          <w:ilvl w:val="0"/>
          <w:numId w:val="0"/>
        </w:numPr>
        <w:ind w:left="284" w:hanging="284"/>
        <w:rPr>
          <w:lang w:val="en-US"/>
        </w:rPr>
      </w:pPr>
    </w:p>
    <w:p w14:paraId="511738DB" w14:textId="77777777" w:rsidR="00620753" w:rsidRDefault="00620753" w:rsidP="0084096B">
      <w:pPr>
        <w:pStyle w:val="reference"/>
        <w:numPr>
          <w:ilvl w:val="0"/>
          <w:numId w:val="0"/>
        </w:numPr>
        <w:ind w:left="284" w:hanging="284"/>
        <w:rPr>
          <w:lang w:val="en-US"/>
        </w:rPr>
      </w:pPr>
    </w:p>
    <w:p w14:paraId="57A5BDCA" w14:textId="0C6ED1AB" w:rsidR="0084096B" w:rsidRDefault="0084096B">
      <w:pPr>
        <w:autoSpaceDE/>
        <w:autoSpaceDN/>
        <w:jc w:val="left"/>
        <w:rPr>
          <w:spacing w:val="-3"/>
          <w:lang w:val="en-US"/>
        </w:rPr>
      </w:pPr>
      <w:r>
        <w:rPr>
          <w:lang w:val="en-US"/>
        </w:rPr>
        <w:br w:type="page"/>
      </w:r>
    </w:p>
    <w:p w14:paraId="126E3416" w14:textId="77777777" w:rsidR="0084096B" w:rsidRDefault="0084096B" w:rsidP="0084096B">
      <w:pPr>
        <w:pStyle w:val="reference"/>
        <w:numPr>
          <w:ilvl w:val="0"/>
          <w:numId w:val="0"/>
        </w:numPr>
        <w:ind w:left="284" w:hanging="284"/>
        <w:rPr>
          <w:lang w:val="en-US"/>
        </w:rPr>
      </w:pPr>
    </w:p>
    <w:p w14:paraId="3FA1EAFD" w14:textId="0D20B079" w:rsidR="0084096B" w:rsidRPr="00807F37" w:rsidRDefault="0084096B" w:rsidP="0084096B">
      <w:pPr>
        <w:pStyle w:val="reference"/>
        <w:numPr>
          <w:ilvl w:val="0"/>
          <w:numId w:val="0"/>
        </w:numPr>
        <w:ind w:left="284" w:hanging="284"/>
        <w:rPr>
          <w:b/>
          <w:bCs/>
          <w:i/>
          <w:iCs/>
          <w:lang w:val="en-US"/>
        </w:rPr>
      </w:pPr>
      <w:r w:rsidRPr="00807F37">
        <w:rPr>
          <w:b/>
          <w:bCs/>
          <w:i/>
          <w:iCs/>
          <w:lang w:val="en-US"/>
        </w:rPr>
        <w:t xml:space="preserve">List of </w:t>
      </w:r>
      <w:r>
        <w:rPr>
          <w:b/>
          <w:bCs/>
          <w:i/>
          <w:iCs/>
          <w:lang w:val="en-US"/>
        </w:rPr>
        <w:t>Table</w:t>
      </w:r>
      <w:r w:rsidRPr="00807F37">
        <w:rPr>
          <w:b/>
          <w:bCs/>
          <w:i/>
          <w:iCs/>
          <w:lang w:val="en-US"/>
        </w:rPr>
        <w:t>s</w:t>
      </w:r>
    </w:p>
    <w:p w14:paraId="41C0C7B3" w14:textId="77777777" w:rsidR="0084096B" w:rsidRDefault="0084096B" w:rsidP="0084096B">
      <w:pPr>
        <w:pStyle w:val="reference"/>
        <w:numPr>
          <w:ilvl w:val="0"/>
          <w:numId w:val="0"/>
        </w:numPr>
        <w:ind w:left="284" w:hanging="284"/>
        <w:rPr>
          <w:lang w:val="en-US"/>
        </w:rPr>
      </w:pPr>
    </w:p>
    <w:p w14:paraId="444B6841" w14:textId="1BB9E510" w:rsidR="00025BE8" w:rsidRDefault="00025BE8" w:rsidP="006D27B6">
      <w:pPr>
        <w:pStyle w:val="reference"/>
        <w:numPr>
          <w:ilvl w:val="0"/>
          <w:numId w:val="0"/>
        </w:numPr>
        <w:ind w:left="284" w:hanging="284"/>
        <w:rPr>
          <w:lang w:val="en-US"/>
        </w:rPr>
      </w:pPr>
    </w:p>
    <w:p w14:paraId="5A912684" w14:textId="399B9950" w:rsidR="00807F37" w:rsidRDefault="00807F37" w:rsidP="006D27B6">
      <w:pPr>
        <w:pStyle w:val="reference"/>
        <w:numPr>
          <w:ilvl w:val="0"/>
          <w:numId w:val="0"/>
        </w:numPr>
        <w:ind w:left="284" w:hanging="284"/>
        <w:rPr>
          <w:lang w:val="en-US"/>
        </w:rPr>
      </w:pPr>
    </w:p>
    <w:p w14:paraId="21556D54" w14:textId="707DEE9A" w:rsidR="00807F37" w:rsidRDefault="00807F37" w:rsidP="006D27B6">
      <w:pPr>
        <w:pStyle w:val="reference"/>
        <w:numPr>
          <w:ilvl w:val="0"/>
          <w:numId w:val="0"/>
        </w:numPr>
        <w:ind w:left="284" w:hanging="284"/>
        <w:rPr>
          <w:lang w:val="en-US"/>
        </w:rPr>
      </w:pPr>
      <w:r w:rsidRPr="00807F37">
        <w:rPr>
          <w:lang w:val="en-US"/>
        </w:rPr>
        <w:t>Table 1. Agroforestry residues feedstocks composition</w:t>
      </w:r>
    </w:p>
    <w:p w14:paraId="2A37802F" w14:textId="2E3D56D4" w:rsidR="00807F37" w:rsidRDefault="00807F37" w:rsidP="006D27B6">
      <w:pPr>
        <w:pStyle w:val="reference"/>
        <w:numPr>
          <w:ilvl w:val="0"/>
          <w:numId w:val="0"/>
        </w:numPr>
        <w:ind w:left="284" w:hanging="284"/>
        <w:rPr>
          <w:lang w:val="en-US"/>
        </w:rPr>
      </w:pPr>
    </w:p>
    <w:p w14:paraId="0238CEFF" w14:textId="280395CD" w:rsidR="00807F37" w:rsidRDefault="0084096B" w:rsidP="006D27B6">
      <w:pPr>
        <w:pStyle w:val="reference"/>
        <w:numPr>
          <w:ilvl w:val="0"/>
          <w:numId w:val="0"/>
        </w:numPr>
        <w:ind w:left="284" w:hanging="284"/>
        <w:rPr>
          <w:lang w:val="en-US"/>
        </w:rPr>
      </w:pPr>
      <w:r w:rsidRPr="0084096B">
        <w:rPr>
          <w:lang w:val="en-US"/>
        </w:rPr>
        <w:t>Table 2. Reactor conditions, yields, and heating values adopted in the HTL system</w:t>
      </w:r>
    </w:p>
    <w:p w14:paraId="6D0A1E0D" w14:textId="77777777" w:rsidR="00807F37" w:rsidRDefault="00807F37" w:rsidP="006D27B6">
      <w:pPr>
        <w:pStyle w:val="reference"/>
        <w:numPr>
          <w:ilvl w:val="0"/>
          <w:numId w:val="0"/>
        </w:numPr>
        <w:ind w:left="284" w:hanging="284"/>
        <w:rPr>
          <w:lang w:val="en-US"/>
        </w:rPr>
      </w:pPr>
    </w:p>
    <w:p w14:paraId="4622AC2B" w14:textId="14FFC8C7" w:rsidR="00807F37" w:rsidRDefault="0084096B" w:rsidP="006D27B6">
      <w:pPr>
        <w:pStyle w:val="reference"/>
        <w:numPr>
          <w:ilvl w:val="0"/>
          <w:numId w:val="0"/>
        </w:numPr>
        <w:ind w:left="284" w:hanging="284"/>
        <w:rPr>
          <w:lang w:val="en-US"/>
        </w:rPr>
      </w:pPr>
      <w:r w:rsidRPr="0084096B">
        <w:rPr>
          <w:lang w:val="en-US"/>
        </w:rPr>
        <w:t>Table 3. GFT conditions, yields, and heating values of reaction products</w:t>
      </w:r>
    </w:p>
    <w:p w14:paraId="4BCB534C" w14:textId="28D0F4DA" w:rsidR="00807F37" w:rsidRDefault="00807F37" w:rsidP="006D27B6">
      <w:pPr>
        <w:pStyle w:val="reference"/>
        <w:numPr>
          <w:ilvl w:val="0"/>
          <w:numId w:val="0"/>
        </w:numPr>
        <w:ind w:left="284" w:hanging="284"/>
        <w:rPr>
          <w:lang w:val="en-US"/>
        </w:rPr>
      </w:pPr>
    </w:p>
    <w:p w14:paraId="734E2642" w14:textId="2F457E2F" w:rsidR="0084096B" w:rsidRDefault="00620753" w:rsidP="006D27B6">
      <w:pPr>
        <w:pStyle w:val="reference"/>
        <w:numPr>
          <w:ilvl w:val="0"/>
          <w:numId w:val="0"/>
        </w:numPr>
        <w:ind w:left="284" w:hanging="284"/>
        <w:rPr>
          <w:lang w:val="en-US"/>
        </w:rPr>
      </w:pPr>
      <w:r w:rsidRPr="00620753">
        <w:rPr>
          <w:lang w:val="en-US"/>
        </w:rPr>
        <w:t>Table 4. Fast pyrolysis parameters</w:t>
      </w:r>
    </w:p>
    <w:p w14:paraId="2E7430CC" w14:textId="77777777" w:rsidR="00620753" w:rsidRDefault="00620753" w:rsidP="006D27B6">
      <w:pPr>
        <w:pStyle w:val="reference"/>
        <w:numPr>
          <w:ilvl w:val="0"/>
          <w:numId w:val="0"/>
        </w:numPr>
        <w:ind w:left="284" w:hanging="284"/>
        <w:rPr>
          <w:lang w:val="en-US"/>
        </w:rPr>
      </w:pPr>
    </w:p>
    <w:p w14:paraId="6D081C0F" w14:textId="57274A61" w:rsidR="0084096B" w:rsidRDefault="00620753" w:rsidP="006D27B6">
      <w:pPr>
        <w:pStyle w:val="reference"/>
        <w:numPr>
          <w:ilvl w:val="0"/>
          <w:numId w:val="0"/>
        </w:numPr>
        <w:ind w:left="284" w:hanging="284"/>
        <w:rPr>
          <w:lang w:val="en-US"/>
        </w:rPr>
      </w:pPr>
      <w:r w:rsidRPr="00620753">
        <w:rPr>
          <w:lang w:val="en-US"/>
        </w:rPr>
        <w:t>Table 5. Chemical exergies for several components</w:t>
      </w:r>
    </w:p>
    <w:p w14:paraId="2C4DB749" w14:textId="3A80BC08" w:rsidR="0084096B" w:rsidRDefault="0084096B" w:rsidP="006D27B6">
      <w:pPr>
        <w:pStyle w:val="reference"/>
        <w:numPr>
          <w:ilvl w:val="0"/>
          <w:numId w:val="0"/>
        </w:numPr>
        <w:ind w:left="284" w:hanging="284"/>
        <w:rPr>
          <w:lang w:val="en-US"/>
        </w:rPr>
      </w:pPr>
    </w:p>
    <w:p w14:paraId="77BA420A" w14:textId="77777777" w:rsidR="00620753" w:rsidRDefault="00620753" w:rsidP="006D27B6">
      <w:pPr>
        <w:pStyle w:val="reference"/>
        <w:numPr>
          <w:ilvl w:val="0"/>
          <w:numId w:val="0"/>
        </w:numPr>
        <w:ind w:left="284" w:hanging="284"/>
        <w:rPr>
          <w:lang w:val="en-US"/>
        </w:rPr>
      </w:pPr>
    </w:p>
    <w:p w14:paraId="2A1D4BA7" w14:textId="77777777" w:rsidR="0084096B" w:rsidRDefault="0084096B" w:rsidP="006D27B6">
      <w:pPr>
        <w:pStyle w:val="reference"/>
        <w:numPr>
          <w:ilvl w:val="0"/>
          <w:numId w:val="0"/>
        </w:numPr>
        <w:ind w:left="284" w:hanging="284"/>
        <w:rPr>
          <w:lang w:val="en-US"/>
        </w:rPr>
      </w:pPr>
    </w:p>
    <w:p w14:paraId="23E552E5" w14:textId="69148E65" w:rsidR="00807F37" w:rsidRDefault="00807F37">
      <w:pPr>
        <w:autoSpaceDE/>
        <w:autoSpaceDN/>
        <w:jc w:val="left"/>
        <w:rPr>
          <w:spacing w:val="-3"/>
          <w:lang w:val="en-US"/>
        </w:rPr>
      </w:pPr>
      <w:r>
        <w:rPr>
          <w:lang w:val="en-US"/>
        </w:rPr>
        <w:br w:type="page"/>
      </w:r>
    </w:p>
    <w:p w14:paraId="428A006E" w14:textId="5801909D" w:rsidR="00807F37" w:rsidRDefault="00807F37" w:rsidP="006D27B6">
      <w:pPr>
        <w:pStyle w:val="reference"/>
        <w:numPr>
          <w:ilvl w:val="0"/>
          <w:numId w:val="0"/>
        </w:numPr>
        <w:ind w:left="284" w:hanging="284"/>
        <w:rPr>
          <w:lang w:val="en-US"/>
        </w:rPr>
      </w:pPr>
    </w:p>
    <w:p w14:paraId="10293C4A" w14:textId="77777777" w:rsidR="00807F37" w:rsidRPr="009361EA" w:rsidRDefault="00807F37" w:rsidP="00807F37">
      <w:pPr>
        <w:rPr>
          <w:lang w:val="en-US" w:eastAsia="ja-JP"/>
        </w:rPr>
      </w:pPr>
    </w:p>
    <w:p w14:paraId="18FA9982" w14:textId="77777777" w:rsidR="00807F37" w:rsidRPr="009361EA" w:rsidRDefault="00807F37" w:rsidP="00807F37">
      <w:pPr>
        <w:tabs>
          <w:tab w:val="left" w:pos="-437"/>
        </w:tabs>
        <w:suppressAutoHyphens/>
        <w:jc w:val="center"/>
        <w:rPr>
          <w:spacing w:val="-3"/>
          <w:lang w:val="en-US"/>
        </w:rPr>
      </w:pPr>
      <w:r w:rsidRPr="00CD7158">
        <w:rPr>
          <w:spacing w:val="-3"/>
          <w:lang w:val="en-US"/>
        </w:rPr>
        <w:t>Table 1. Agroforestry residues feedstocks composition</w:t>
      </w:r>
    </w:p>
    <w:p w14:paraId="60DFD3A9" w14:textId="77777777" w:rsidR="00807F37" w:rsidRPr="009361EA" w:rsidRDefault="00807F37" w:rsidP="00807F37">
      <w:pPr>
        <w:tabs>
          <w:tab w:val="left" w:pos="-437"/>
        </w:tabs>
        <w:suppressAutoHyphens/>
        <w:jc w:val="center"/>
        <w:rPr>
          <w:spacing w:val="-3"/>
          <w:sz w:val="20"/>
          <w:lang w:val="en-US"/>
        </w:rPr>
      </w:pPr>
    </w:p>
    <w:tbl>
      <w:tblPr>
        <w:tblW w:w="9923" w:type="dxa"/>
        <w:jc w:val="center"/>
        <w:tblLayout w:type="fixed"/>
        <w:tblCellMar>
          <w:left w:w="107" w:type="dxa"/>
          <w:right w:w="107" w:type="dxa"/>
        </w:tblCellMar>
        <w:tblLook w:val="0000" w:firstRow="0" w:lastRow="0" w:firstColumn="0" w:lastColumn="0" w:noHBand="0" w:noVBand="0"/>
      </w:tblPr>
      <w:tblGrid>
        <w:gridCol w:w="1559"/>
        <w:gridCol w:w="850"/>
        <w:gridCol w:w="1134"/>
        <w:gridCol w:w="1134"/>
        <w:gridCol w:w="1134"/>
        <w:gridCol w:w="1134"/>
        <w:gridCol w:w="852"/>
        <w:gridCol w:w="1134"/>
        <w:gridCol w:w="992"/>
      </w:tblGrid>
      <w:tr w:rsidR="00807F37" w:rsidRPr="009361EA" w14:paraId="117A25B5" w14:textId="77777777" w:rsidTr="00B849AD">
        <w:trPr>
          <w:jc w:val="center"/>
        </w:trPr>
        <w:tc>
          <w:tcPr>
            <w:tcW w:w="1559" w:type="dxa"/>
            <w:tcBorders>
              <w:top w:val="single" w:sz="6" w:space="0" w:color="auto"/>
              <w:left w:val="nil"/>
              <w:bottom w:val="single" w:sz="6" w:space="0" w:color="auto"/>
              <w:right w:val="nil"/>
            </w:tcBorders>
            <w:shd w:val="clear" w:color="auto" w:fill="auto"/>
          </w:tcPr>
          <w:p w14:paraId="05C7E685" w14:textId="77777777" w:rsidR="00807F37" w:rsidRPr="009361EA" w:rsidRDefault="00807F37" w:rsidP="00B849AD">
            <w:pPr>
              <w:tabs>
                <w:tab w:val="left" w:pos="-437"/>
              </w:tabs>
              <w:suppressAutoHyphens/>
              <w:jc w:val="center"/>
              <w:rPr>
                <w:b/>
                <w:spacing w:val="-3"/>
                <w:sz w:val="18"/>
                <w:lang w:val="en-US"/>
              </w:rPr>
            </w:pPr>
            <w:r w:rsidRPr="009361EA">
              <w:rPr>
                <w:b/>
                <w:spacing w:val="-3"/>
                <w:sz w:val="18"/>
                <w:lang w:val="en-US"/>
              </w:rPr>
              <w:t>Feedstock</w:t>
            </w:r>
          </w:p>
        </w:tc>
        <w:tc>
          <w:tcPr>
            <w:tcW w:w="850" w:type="dxa"/>
            <w:tcBorders>
              <w:top w:val="single" w:sz="6" w:space="0" w:color="auto"/>
              <w:left w:val="nil"/>
              <w:bottom w:val="single" w:sz="6" w:space="0" w:color="auto"/>
              <w:right w:val="nil"/>
            </w:tcBorders>
            <w:shd w:val="clear" w:color="auto" w:fill="auto"/>
          </w:tcPr>
          <w:p w14:paraId="60E333E9" w14:textId="77777777" w:rsidR="00807F37" w:rsidRPr="009361EA" w:rsidRDefault="00807F37" w:rsidP="00B849AD">
            <w:pPr>
              <w:tabs>
                <w:tab w:val="left" w:pos="-437"/>
              </w:tabs>
              <w:suppressAutoHyphens/>
              <w:jc w:val="center"/>
              <w:rPr>
                <w:b/>
                <w:spacing w:val="-3"/>
                <w:sz w:val="18"/>
                <w:lang w:val="en-US"/>
              </w:rPr>
            </w:pPr>
          </w:p>
        </w:tc>
        <w:tc>
          <w:tcPr>
            <w:tcW w:w="1134" w:type="dxa"/>
            <w:tcBorders>
              <w:top w:val="single" w:sz="6" w:space="0" w:color="auto"/>
              <w:left w:val="nil"/>
              <w:bottom w:val="single" w:sz="6" w:space="0" w:color="auto"/>
              <w:right w:val="nil"/>
            </w:tcBorders>
            <w:shd w:val="clear" w:color="auto" w:fill="auto"/>
          </w:tcPr>
          <w:p w14:paraId="074B694F"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Eucalyptus Residues</w:t>
            </w:r>
          </w:p>
        </w:tc>
        <w:tc>
          <w:tcPr>
            <w:tcW w:w="1134" w:type="dxa"/>
            <w:tcBorders>
              <w:top w:val="single" w:sz="6" w:space="0" w:color="auto"/>
              <w:left w:val="nil"/>
              <w:bottom w:val="single" w:sz="6" w:space="0" w:color="auto"/>
              <w:right w:val="nil"/>
            </w:tcBorders>
            <w:shd w:val="clear" w:color="auto" w:fill="auto"/>
          </w:tcPr>
          <w:p w14:paraId="7313B23F"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Pine</w:t>
            </w:r>
          </w:p>
          <w:p w14:paraId="55A9FDB7"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Residues</w:t>
            </w:r>
          </w:p>
        </w:tc>
        <w:tc>
          <w:tcPr>
            <w:tcW w:w="1134" w:type="dxa"/>
            <w:tcBorders>
              <w:top w:val="single" w:sz="6" w:space="0" w:color="auto"/>
              <w:left w:val="nil"/>
              <w:bottom w:val="single" w:sz="6" w:space="0" w:color="auto"/>
              <w:right w:val="nil"/>
            </w:tcBorders>
            <w:shd w:val="clear" w:color="auto" w:fill="auto"/>
          </w:tcPr>
          <w:p w14:paraId="757745CC"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Corn</w:t>
            </w:r>
          </w:p>
          <w:p w14:paraId="7BBD87A9"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Stover</w:t>
            </w:r>
          </w:p>
        </w:tc>
        <w:tc>
          <w:tcPr>
            <w:tcW w:w="1134" w:type="dxa"/>
            <w:tcBorders>
              <w:top w:val="single" w:sz="6" w:space="0" w:color="auto"/>
              <w:left w:val="nil"/>
              <w:bottom w:val="single" w:sz="6" w:space="0" w:color="auto"/>
              <w:right w:val="nil"/>
            </w:tcBorders>
            <w:shd w:val="clear" w:color="auto" w:fill="auto"/>
          </w:tcPr>
          <w:p w14:paraId="310A559B"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Rice</w:t>
            </w:r>
          </w:p>
          <w:p w14:paraId="7482F4D8"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Straw</w:t>
            </w:r>
          </w:p>
        </w:tc>
        <w:tc>
          <w:tcPr>
            <w:tcW w:w="852" w:type="dxa"/>
            <w:tcBorders>
              <w:top w:val="single" w:sz="6" w:space="0" w:color="auto"/>
              <w:left w:val="nil"/>
              <w:bottom w:val="single" w:sz="6" w:space="0" w:color="auto"/>
              <w:right w:val="nil"/>
            </w:tcBorders>
            <w:shd w:val="clear" w:color="auto" w:fill="auto"/>
          </w:tcPr>
          <w:p w14:paraId="5EF804FE"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Wheat</w:t>
            </w:r>
          </w:p>
          <w:p w14:paraId="6BE46E4B"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Straw</w:t>
            </w:r>
          </w:p>
        </w:tc>
        <w:tc>
          <w:tcPr>
            <w:tcW w:w="1134" w:type="dxa"/>
            <w:tcBorders>
              <w:top w:val="single" w:sz="6" w:space="0" w:color="auto"/>
              <w:left w:val="nil"/>
              <w:bottom w:val="single" w:sz="6" w:space="0" w:color="auto"/>
              <w:right w:val="nil"/>
            </w:tcBorders>
            <w:shd w:val="clear" w:color="auto" w:fill="auto"/>
          </w:tcPr>
          <w:p w14:paraId="35683446"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Sugarcane Bagasse</w:t>
            </w:r>
          </w:p>
        </w:tc>
        <w:tc>
          <w:tcPr>
            <w:tcW w:w="992" w:type="dxa"/>
            <w:tcBorders>
              <w:top w:val="single" w:sz="6" w:space="0" w:color="auto"/>
              <w:left w:val="nil"/>
              <w:bottom w:val="single" w:sz="6" w:space="0" w:color="auto"/>
              <w:right w:val="nil"/>
            </w:tcBorders>
            <w:shd w:val="clear" w:color="auto" w:fill="auto"/>
          </w:tcPr>
          <w:p w14:paraId="79AA332C" w14:textId="77777777" w:rsidR="00807F37" w:rsidRPr="00CD7158" w:rsidRDefault="00807F37" w:rsidP="00B849AD">
            <w:pPr>
              <w:tabs>
                <w:tab w:val="left" w:pos="-437"/>
              </w:tabs>
              <w:suppressAutoHyphens/>
              <w:jc w:val="center"/>
              <w:rPr>
                <w:b/>
                <w:spacing w:val="-3"/>
                <w:sz w:val="18"/>
                <w:lang w:val="en-US"/>
              </w:rPr>
            </w:pPr>
            <w:r w:rsidRPr="00CD7158">
              <w:rPr>
                <w:b/>
                <w:spacing w:val="-3"/>
                <w:sz w:val="18"/>
                <w:lang w:val="en-US"/>
              </w:rPr>
              <w:t>Sorghum</w:t>
            </w:r>
            <w:r w:rsidRPr="00CD7158">
              <w:t xml:space="preserve"> </w:t>
            </w:r>
            <w:r w:rsidRPr="00CD7158">
              <w:rPr>
                <w:b/>
                <w:spacing w:val="-3"/>
                <w:sz w:val="18"/>
                <w:lang w:val="en-US"/>
              </w:rPr>
              <w:t>Bagasse</w:t>
            </w:r>
          </w:p>
        </w:tc>
      </w:tr>
      <w:tr w:rsidR="00807F37" w:rsidRPr="009361EA" w14:paraId="5045E7E6" w14:textId="77777777" w:rsidTr="00B849AD">
        <w:trPr>
          <w:jc w:val="center"/>
        </w:trPr>
        <w:tc>
          <w:tcPr>
            <w:tcW w:w="1559" w:type="dxa"/>
            <w:tcBorders>
              <w:top w:val="single" w:sz="6" w:space="0" w:color="auto"/>
              <w:left w:val="nil"/>
              <w:bottom w:val="single" w:sz="4" w:space="0" w:color="auto"/>
              <w:right w:val="nil"/>
            </w:tcBorders>
            <w:shd w:val="clear" w:color="auto" w:fill="auto"/>
          </w:tcPr>
          <w:p w14:paraId="16055B03" w14:textId="77777777" w:rsidR="00807F37" w:rsidRPr="009361EA" w:rsidRDefault="00807F37" w:rsidP="00B849AD">
            <w:pPr>
              <w:tabs>
                <w:tab w:val="left" w:pos="-437"/>
              </w:tabs>
              <w:suppressAutoHyphens/>
              <w:jc w:val="center"/>
              <w:rPr>
                <w:i/>
                <w:spacing w:val="-3"/>
                <w:sz w:val="22"/>
                <w:lang w:val="en-US"/>
              </w:rPr>
            </w:pPr>
          </w:p>
        </w:tc>
        <w:tc>
          <w:tcPr>
            <w:tcW w:w="850" w:type="dxa"/>
            <w:tcBorders>
              <w:top w:val="single" w:sz="6" w:space="0" w:color="auto"/>
              <w:left w:val="nil"/>
              <w:bottom w:val="single" w:sz="4" w:space="0" w:color="auto"/>
              <w:right w:val="nil"/>
            </w:tcBorders>
            <w:shd w:val="clear" w:color="auto" w:fill="auto"/>
          </w:tcPr>
          <w:p w14:paraId="668135CA" w14:textId="77777777" w:rsidR="00807F37" w:rsidRPr="009361EA" w:rsidRDefault="00807F37" w:rsidP="00B849AD">
            <w:pPr>
              <w:tabs>
                <w:tab w:val="left" w:pos="-437"/>
              </w:tabs>
              <w:suppressAutoHyphens/>
              <w:jc w:val="center"/>
              <w:rPr>
                <w:i/>
                <w:spacing w:val="-3"/>
                <w:sz w:val="22"/>
                <w:lang w:val="en-US"/>
              </w:rPr>
            </w:pPr>
            <w:r w:rsidRPr="009361EA">
              <w:rPr>
                <w:i/>
                <w:spacing w:val="-3"/>
                <w:sz w:val="22"/>
                <w:lang w:val="en-US"/>
              </w:rPr>
              <w:t>Units</w:t>
            </w:r>
          </w:p>
        </w:tc>
        <w:tc>
          <w:tcPr>
            <w:tcW w:w="1134" w:type="dxa"/>
            <w:tcBorders>
              <w:top w:val="single" w:sz="6" w:space="0" w:color="auto"/>
              <w:left w:val="nil"/>
              <w:bottom w:val="single" w:sz="4" w:space="0" w:color="auto"/>
              <w:right w:val="nil"/>
            </w:tcBorders>
            <w:shd w:val="clear" w:color="auto" w:fill="auto"/>
          </w:tcPr>
          <w:p w14:paraId="05F96CF7" w14:textId="77777777" w:rsidR="00807F37" w:rsidRPr="008E6619" w:rsidRDefault="00807F37" w:rsidP="00B849AD">
            <w:pPr>
              <w:tabs>
                <w:tab w:val="left" w:pos="-437"/>
              </w:tabs>
              <w:suppressAutoHyphens/>
              <w:jc w:val="center"/>
              <w:rPr>
                <w:i/>
                <w:spacing w:val="-3"/>
                <w:sz w:val="22"/>
                <w:highlight w:val="cyan"/>
                <w:lang w:val="en-US"/>
              </w:rPr>
            </w:pPr>
          </w:p>
        </w:tc>
        <w:tc>
          <w:tcPr>
            <w:tcW w:w="1134" w:type="dxa"/>
            <w:tcBorders>
              <w:top w:val="single" w:sz="6" w:space="0" w:color="auto"/>
              <w:left w:val="nil"/>
              <w:bottom w:val="single" w:sz="4" w:space="0" w:color="auto"/>
              <w:right w:val="nil"/>
            </w:tcBorders>
            <w:shd w:val="clear" w:color="auto" w:fill="auto"/>
          </w:tcPr>
          <w:p w14:paraId="4CD5E665" w14:textId="77777777" w:rsidR="00807F37" w:rsidRPr="008E6619" w:rsidRDefault="00807F37" w:rsidP="00B849AD">
            <w:pPr>
              <w:tabs>
                <w:tab w:val="left" w:pos="-437"/>
              </w:tabs>
              <w:suppressAutoHyphens/>
              <w:jc w:val="center"/>
              <w:rPr>
                <w:i/>
                <w:spacing w:val="-3"/>
                <w:sz w:val="22"/>
                <w:highlight w:val="cyan"/>
                <w:lang w:val="en-US"/>
              </w:rPr>
            </w:pPr>
          </w:p>
        </w:tc>
        <w:tc>
          <w:tcPr>
            <w:tcW w:w="1134" w:type="dxa"/>
            <w:tcBorders>
              <w:top w:val="single" w:sz="6" w:space="0" w:color="auto"/>
              <w:left w:val="nil"/>
              <w:bottom w:val="single" w:sz="4" w:space="0" w:color="auto"/>
              <w:right w:val="nil"/>
            </w:tcBorders>
            <w:shd w:val="clear" w:color="auto" w:fill="auto"/>
          </w:tcPr>
          <w:p w14:paraId="44F4800A" w14:textId="77777777" w:rsidR="00807F37" w:rsidRPr="008E6619" w:rsidRDefault="00807F37" w:rsidP="00B849AD">
            <w:pPr>
              <w:tabs>
                <w:tab w:val="left" w:pos="-437"/>
              </w:tabs>
              <w:suppressAutoHyphens/>
              <w:jc w:val="center"/>
              <w:rPr>
                <w:i/>
                <w:spacing w:val="-3"/>
                <w:sz w:val="22"/>
                <w:highlight w:val="cyan"/>
                <w:lang w:val="en-US"/>
              </w:rPr>
            </w:pPr>
          </w:p>
        </w:tc>
        <w:tc>
          <w:tcPr>
            <w:tcW w:w="1134" w:type="dxa"/>
            <w:tcBorders>
              <w:top w:val="single" w:sz="6" w:space="0" w:color="auto"/>
              <w:left w:val="nil"/>
              <w:bottom w:val="single" w:sz="4" w:space="0" w:color="auto"/>
              <w:right w:val="nil"/>
            </w:tcBorders>
            <w:shd w:val="clear" w:color="auto" w:fill="auto"/>
          </w:tcPr>
          <w:p w14:paraId="72E0E72E" w14:textId="77777777" w:rsidR="00807F37" w:rsidRPr="008E6619" w:rsidRDefault="00807F37" w:rsidP="00B849AD">
            <w:pPr>
              <w:tabs>
                <w:tab w:val="left" w:pos="-437"/>
              </w:tabs>
              <w:suppressAutoHyphens/>
              <w:jc w:val="center"/>
              <w:rPr>
                <w:i/>
                <w:spacing w:val="-3"/>
                <w:sz w:val="22"/>
                <w:highlight w:val="cyan"/>
                <w:lang w:val="en-US"/>
              </w:rPr>
            </w:pPr>
          </w:p>
        </w:tc>
        <w:tc>
          <w:tcPr>
            <w:tcW w:w="852" w:type="dxa"/>
            <w:tcBorders>
              <w:top w:val="single" w:sz="6" w:space="0" w:color="auto"/>
              <w:left w:val="nil"/>
              <w:bottom w:val="single" w:sz="4" w:space="0" w:color="auto"/>
              <w:right w:val="nil"/>
            </w:tcBorders>
            <w:shd w:val="clear" w:color="auto" w:fill="auto"/>
          </w:tcPr>
          <w:p w14:paraId="3911D0F7" w14:textId="77777777" w:rsidR="00807F37" w:rsidRPr="008E6619" w:rsidRDefault="00807F37" w:rsidP="00B849AD">
            <w:pPr>
              <w:tabs>
                <w:tab w:val="left" w:pos="-437"/>
              </w:tabs>
              <w:suppressAutoHyphens/>
              <w:jc w:val="center"/>
              <w:rPr>
                <w:i/>
                <w:spacing w:val="-3"/>
                <w:sz w:val="22"/>
                <w:highlight w:val="cyan"/>
                <w:lang w:val="en-US"/>
              </w:rPr>
            </w:pPr>
          </w:p>
        </w:tc>
        <w:tc>
          <w:tcPr>
            <w:tcW w:w="1134" w:type="dxa"/>
            <w:tcBorders>
              <w:top w:val="single" w:sz="6" w:space="0" w:color="auto"/>
              <w:left w:val="nil"/>
              <w:bottom w:val="single" w:sz="4" w:space="0" w:color="auto"/>
              <w:right w:val="nil"/>
            </w:tcBorders>
            <w:shd w:val="clear" w:color="auto" w:fill="auto"/>
          </w:tcPr>
          <w:p w14:paraId="7B8A53F1" w14:textId="77777777" w:rsidR="00807F37" w:rsidRPr="008E6619" w:rsidRDefault="00807F37" w:rsidP="00B849AD">
            <w:pPr>
              <w:tabs>
                <w:tab w:val="left" w:pos="-437"/>
              </w:tabs>
              <w:suppressAutoHyphens/>
              <w:jc w:val="center"/>
              <w:rPr>
                <w:i/>
                <w:spacing w:val="-3"/>
                <w:sz w:val="22"/>
                <w:highlight w:val="cyan"/>
                <w:lang w:val="en-US"/>
              </w:rPr>
            </w:pPr>
          </w:p>
        </w:tc>
        <w:tc>
          <w:tcPr>
            <w:tcW w:w="992" w:type="dxa"/>
            <w:tcBorders>
              <w:top w:val="single" w:sz="6" w:space="0" w:color="auto"/>
              <w:left w:val="nil"/>
              <w:bottom w:val="single" w:sz="4" w:space="0" w:color="auto"/>
              <w:right w:val="nil"/>
            </w:tcBorders>
            <w:shd w:val="clear" w:color="auto" w:fill="auto"/>
          </w:tcPr>
          <w:p w14:paraId="04C337F2" w14:textId="77777777" w:rsidR="00807F37" w:rsidRPr="008E6619" w:rsidRDefault="00807F37" w:rsidP="00B849AD">
            <w:pPr>
              <w:tabs>
                <w:tab w:val="left" w:pos="-437"/>
              </w:tabs>
              <w:suppressAutoHyphens/>
              <w:jc w:val="center"/>
              <w:rPr>
                <w:i/>
                <w:spacing w:val="-3"/>
                <w:sz w:val="22"/>
                <w:highlight w:val="cyan"/>
                <w:lang w:val="en-US"/>
              </w:rPr>
            </w:pPr>
          </w:p>
        </w:tc>
      </w:tr>
      <w:tr w:rsidR="00807F37" w:rsidRPr="009361EA" w14:paraId="25B3F525" w14:textId="77777777" w:rsidTr="00B849AD">
        <w:trPr>
          <w:jc w:val="center"/>
        </w:trPr>
        <w:tc>
          <w:tcPr>
            <w:tcW w:w="1559" w:type="dxa"/>
            <w:tcBorders>
              <w:top w:val="single" w:sz="4" w:space="0" w:color="auto"/>
              <w:left w:val="nil"/>
              <w:right w:val="nil"/>
            </w:tcBorders>
            <w:shd w:val="clear" w:color="000000" w:fill="FFFFFF"/>
          </w:tcPr>
          <w:p w14:paraId="24DE4A1C" w14:textId="77777777" w:rsidR="00807F37" w:rsidRPr="00FE0EEB" w:rsidRDefault="00807F37" w:rsidP="00B849AD">
            <w:pPr>
              <w:tabs>
                <w:tab w:val="left" w:pos="-437"/>
              </w:tabs>
              <w:suppressAutoHyphens/>
              <w:jc w:val="left"/>
              <w:rPr>
                <w:spacing w:val="-3"/>
                <w:sz w:val="22"/>
                <w:lang w:val="en-US"/>
              </w:rPr>
            </w:pPr>
            <w:r w:rsidRPr="00FE0EEB">
              <w:rPr>
                <w:spacing w:val="-3"/>
                <w:sz w:val="22"/>
                <w:lang w:val="en-US"/>
              </w:rPr>
              <w:t xml:space="preserve">Biomass </w:t>
            </w:r>
            <w:r>
              <w:rPr>
                <w:spacing w:val="-3"/>
                <w:sz w:val="22"/>
                <w:lang w:val="en-US"/>
              </w:rPr>
              <w:t>d</w:t>
            </w:r>
            <w:r w:rsidRPr="00FE0EEB">
              <w:rPr>
                <w:spacing w:val="-3"/>
                <w:sz w:val="22"/>
                <w:lang w:val="en-US"/>
              </w:rPr>
              <w:t>ry</w:t>
            </w:r>
            <w:r w:rsidRPr="00CD7158">
              <w:rPr>
                <w:b/>
                <w:bCs/>
                <w:i/>
                <w:iCs/>
                <w:spacing w:val="-3"/>
                <w:sz w:val="22"/>
                <w:vertAlign w:val="superscript"/>
                <w:lang w:val="en-US"/>
              </w:rPr>
              <w:t>1</w:t>
            </w:r>
          </w:p>
        </w:tc>
        <w:tc>
          <w:tcPr>
            <w:tcW w:w="850" w:type="dxa"/>
            <w:tcBorders>
              <w:top w:val="single" w:sz="4" w:space="0" w:color="auto"/>
              <w:left w:val="nil"/>
              <w:right w:val="nil"/>
            </w:tcBorders>
            <w:shd w:val="clear" w:color="000000" w:fill="FFFFFF"/>
          </w:tcPr>
          <w:p w14:paraId="7ECDC8B1" w14:textId="77777777" w:rsidR="00807F37" w:rsidRPr="009361EA" w:rsidRDefault="00807F37" w:rsidP="00B849AD">
            <w:pPr>
              <w:tabs>
                <w:tab w:val="left" w:pos="-437"/>
              </w:tabs>
              <w:suppressAutoHyphens/>
              <w:jc w:val="center"/>
              <w:rPr>
                <w:spacing w:val="-3"/>
                <w:lang w:val="en-US"/>
              </w:rPr>
            </w:pPr>
            <w:r w:rsidRPr="009361EA">
              <w:rPr>
                <w:spacing w:val="-3"/>
                <w:lang w:val="en-US"/>
              </w:rPr>
              <w:t>kg</w:t>
            </w:r>
          </w:p>
        </w:tc>
        <w:tc>
          <w:tcPr>
            <w:tcW w:w="1134" w:type="dxa"/>
            <w:tcBorders>
              <w:top w:val="single" w:sz="4" w:space="0" w:color="auto"/>
              <w:left w:val="nil"/>
              <w:right w:val="nil"/>
            </w:tcBorders>
            <w:shd w:val="clear" w:color="000000" w:fill="FFFFFF"/>
          </w:tcPr>
          <w:p w14:paraId="37993B2B" w14:textId="77777777" w:rsidR="00807F37" w:rsidRPr="009361EA" w:rsidRDefault="00807F37" w:rsidP="00B849AD">
            <w:pPr>
              <w:tabs>
                <w:tab w:val="left" w:pos="-437"/>
              </w:tabs>
              <w:suppressAutoHyphens/>
              <w:jc w:val="center"/>
              <w:rPr>
                <w:spacing w:val="-3"/>
                <w:lang w:val="en-US"/>
              </w:rPr>
            </w:pPr>
            <w:r w:rsidRPr="009361EA">
              <w:rPr>
                <w:spacing w:val="-3"/>
                <w:lang w:val="en-US"/>
              </w:rPr>
              <w:t>100</w:t>
            </w:r>
          </w:p>
        </w:tc>
        <w:tc>
          <w:tcPr>
            <w:tcW w:w="1134" w:type="dxa"/>
            <w:tcBorders>
              <w:top w:val="single" w:sz="4" w:space="0" w:color="auto"/>
              <w:left w:val="nil"/>
              <w:right w:val="nil"/>
            </w:tcBorders>
            <w:shd w:val="clear" w:color="000000" w:fill="FFFFFF"/>
          </w:tcPr>
          <w:p w14:paraId="0C7FA6AF" w14:textId="77777777" w:rsidR="00807F37" w:rsidRPr="009361EA" w:rsidRDefault="00807F37" w:rsidP="00B849AD">
            <w:pPr>
              <w:tabs>
                <w:tab w:val="left" w:pos="-437"/>
              </w:tabs>
              <w:suppressAutoHyphens/>
              <w:jc w:val="center"/>
              <w:rPr>
                <w:spacing w:val="-3"/>
                <w:lang w:val="en-US"/>
              </w:rPr>
            </w:pPr>
            <w:r w:rsidRPr="009361EA">
              <w:rPr>
                <w:spacing w:val="-3"/>
                <w:lang w:val="en-US"/>
              </w:rPr>
              <w:t>100</w:t>
            </w:r>
          </w:p>
        </w:tc>
        <w:tc>
          <w:tcPr>
            <w:tcW w:w="1134" w:type="dxa"/>
            <w:tcBorders>
              <w:top w:val="single" w:sz="4" w:space="0" w:color="auto"/>
              <w:left w:val="nil"/>
              <w:right w:val="nil"/>
            </w:tcBorders>
            <w:shd w:val="clear" w:color="000000" w:fill="FFFFFF"/>
          </w:tcPr>
          <w:p w14:paraId="182A34AF" w14:textId="77777777" w:rsidR="00807F37" w:rsidRPr="009361EA" w:rsidRDefault="00807F37" w:rsidP="00B849AD">
            <w:pPr>
              <w:tabs>
                <w:tab w:val="left" w:pos="-437"/>
              </w:tabs>
              <w:suppressAutoHyphens/>
              <w:jc w:val="center"/>
              <w:rPr>
                <w:spacing w:val="-3"/>
                <w:lang w:val="en-US"/>
              </w:rPr>
            </w:pPr>
            <w:r w:rsidRPr="009361EA">
              <w:rPr>
                <w:spacing w:val="-3"/>
                <w:lang w:val="en-US"/>
              </w:rPr>
              <w:t>100</w:t>
            </w:r>
          </w:p>
        </w:tc>
        <w:tc>
          <w:tcPr>
            <w:tcW w:w="1134" w:type="dxa"/>
            <w:tcBorders>
              <w:top w:val="single" w:sz="4" w:space="0" w:color="auto"/>
              <w:left w:val="nil"/>
              <w:right w:val="nil"/>
            </w:tcBorders>
            <w:shd w:val="clear" w:color="000000" w:fill="FFFFFF"/>
          </w:tcPr>
          <w:p w14:paraId="2633DE64" w14:textId="77777777" w:rsidR="00807F37" w:rsidRPr="009361EA" w:rsidRDefault="00807F37" w:rsidP="00B849AD">
            <w:pPr>
              <w:tabs>
                <w:tab w:val="left" w:pos="-437"/>
              </w:tabs>
              <w:suppressAutoHyphens/>
              <w:jc w:val="center"/>
              <w:rPr>
                <w:spacing w:val="-3"/>
                <w:lang w:val="en-US"/>
              </w:rPr>
            </w:pPr>
            <w:r w:rsidRPr="009361EA">
              <w:rPr>
                <w:spacing w:val="-3"/>
                <w:lang w:val="en-US"/>
              </w:rPr>
              <w:t>100</w:t>
            </w:r>
          </w:p>
        </w:tc>
        <w:tc>
          <w:tcPr>
            <w:tcW w:w="852" w:type="dxa"/>
            <w:tcBorders>
              <w:top w:val="single" w:sz="4" w:space="0" w:color="auto"/>
              <w:left w:val="nil"/>
              <w:right w:val="nil"/>
            </w:tcBorders>
            <w:shd w:val="clear" w:color="000000" w:fill="FFFFFF"/>
          </w:tcPr>
          <w:p w14:paraId="2EE75A60" w14:textId="77777777" w:rsidR="00807F37" w:rsidRPr="009361EA" w:rsidRDefault="00807F37" w:rsidP="00B849AD">
            <w:pPr>
              <w:tabs>
                <w:tab w:val="left" w:pos="-437"/>
              </w:tabs>
              <w:suppressAutoHyphens/>
              <w:jc w:val="center"/>
              <w:rPr>
                <w:spacing w:val="-3"/>
                <w:lang w:val="en-US"/>
              </w:rPr>
            </w:pPr>
            <w:r w:rsidRPr="009361EA">
              <w:rPr>
                <w:spacing w:val="-3"/>
                <w:lang w:val="en-US"/>
              </w:rPr>
              <w:t>100</w:t>
            </w:r>
          </w:p>
        </w:tc>
        <w:tc>
          <w:tcPr>
            <w:tcW w:w="1134" w:type="dxa"/>
            <w:tcBorders>
              <w:top w:val="single" w:sz="4" w:space="0" w:color="auto"/>
              <w:left w:val="nil"/>
              <w:right w:val="nil"/>
            </w:tcBorders>
            <w:shd w:val="clear" w:color="000000" w:fill="FFFFFF"/>
          </w:tcPr>
          <w:p w14:paraId="7C82E99E" w14:textId="77777777" w:rsidR="00807F37" w:rsidRPr="009361EA" w:rsidRDefault="00807F37" w:rsidP="00B849AD">
            <w:pPr>
              <w:tabs>
                <w:tab w:val="left" w:pos="-437"/>
              </w:tabs>
              <w:suppressAutoHyphens/>
              <w:jc w:val="center"/>
              <w:rPr>
                <w:spacing w:val="-3"/>
                <w:lang w:val="en-US"/>
              </w:rPr>
            </w:pPr>
            <w:r w:rsidRPr="009361EA">
              <w:rPr>
                <w:spacing w:val="-3"/>
                <w:lang w:val="en-US"/>
              </w:rPr>
              <w:t>100</w:t>
            </w:r>
          </w:p>
        </w:tc>
        <w:tc>
          <w:tcPr>
            <w:tcW w:w="992" w:type="dxa"/>
            <w:tcBorders>
              <w:top w:val="single" w:sz="4" w:space="0" w:color="auto"/>
              <w:left w:val="nil"/>
              <w:right w:val="nil"/>
            </w:tcBorders>
            <w:shd w:val="clear" w:color="000000" w:fill="FFFFFF"/>
          </w:tcPr>
          <w:p w14:paraId="45493CF2" w14:textId="77777777" w:rsidR="00807F37" w:rsidRPr="009361EA" w:rsidRDefault="00807F37" w:rsidP="00B849AD">
            <w:pPr>
              <w:tabs>
                <w:tab w:val="left" w:pos="-437"/>
              </w:tabs>
              <w:suppressAutoHyphens/>
              <w:jc w:val="center"/>
              <w:rPr>
                <w:spacing w:val="-3"/>
                <w:lang w:val="en-US"/>
              </w:rPr>
            </w:pPr>
            <w:r w:rsidRPr="009361EA">
              <w:rPr>
                <w:spacing w:val="-3"/>
                <w:lang w:val="en-US"/>
              </w:rPr>
              <w:t>100</w:t>
            </w:r>
          </w:p>
        </w:tc>
      </w:tr>
      <w:tr w:rsidR="00807F37" w:rsidRPr="009361EA" w14:paraId="2FA6E5AB" w14:textId="77777777" w:rsidTr="00B849AD">
        <w:trPr>
          <w:jc w:val="center"/>
        </w:trPr>
        <w:tc>
          <w:tcPr>
            <w:tcW w:w="1559" w:type="dxa"/>
            <w:tcBorders>
              <w:top w:val="nil"/>
              <w:left w:val="nil"/>
              <w:bottom w:val="nil"/>
              <w:right w:val="nil"/>
            </w:tcBorders>
            <w:shd w:val="clear" w:color="000000" w:fill="FFFFFF"/>
          </w:tcPr>
          <w:p w14:paraId="03D04F22" w14:textId="77777777" w:rsidR="00807F37" w:rsidRPr="00FE0EEB" w:rsidRDefault="00807F37" w:rsidP="00B849AD">
            <w:pPr>
              <w:tabs>
                <w:tab w:val="left" w:pos="-437"/>
              </w:tabs>
              <w:suppressAutoHyphens/>
              <w:jc w:val="left"/>
              <w:rPr>
                <w:spacing w:val="-3"/>
                <w:sz w:val="22"/>
                <w:lang w:val="en-US"/>
              </w:rPr>
            </w:pPr>
            <w:r w:rsidRPr="00FE0EEB">
              <w:rPr>
                <w:spacing w:val="-3"/>
                <w:sz w:val="22"/>
                <w:lang w:val="en-US"/>
              </w:rPr>
              <w:t>Moisture</w:t>
            </w:r>
          </w:p>
        </w:tc>
        <w:tc>
          <w:tcPr>
            <w:tcW w:w="850" w:type="dxa"/>
            <w:tcBorders>
              <w:top w:val="nil"/>
              <w:left w:val="nil"/>
              <w:bottom w:val="nil"/>
              <w:right w:val="nil"/>
            </w:tcBorders>
            <w:shd w:val="clear" w:color="000000" w:fill="FFFFFF"/>
          </w:tcPr>
          <w:p w14:paraId="697871CA" w14:textId="77777777" w:rsidR="00807F37" w:rsidRPr="009361EA" w:rsidRDefault="00807F37" w:rsidP="00B849AD">
            <w:pPr>
              <w:tabs>
                <w:tab w:val="left" w:pos="-437"/>
              </w:tabs>
              <w:suppressAutoHyphens/>
              <w:jc w:val="center"/>
              <w:rPr>
                <w:spacing w:val="-3"/>
                <w:lang w:val="en-US"/>
              </w:rPr>
            </w:pPr>
            <w:r w:rsidRPr="009361EA">
              <w:rPr>
                <w:spacing w:val="-3"/>
                <w:lang w:val="en-US"/>
              </w:rPr>
              <w:t>%w</w:t>
            </w:r>
            <w:r>
              <w:rPr>
                <w:spacing w:val="-3"/>
                <w:lang w:val="en-US"/>
              </w:rPr>
              <w:t>w</w:t>
            </w:r>
            <w:r w:rsidRPr="00CD7158">
              <w:rPr>
                <w:b/>
                <w:bCs/>
                <w:i/>
                <w:iCs/>
                <w:spacing w:val="-3"/>
                <w:vertAlign w:val="superscript"/>
                <w:lang w:val="en-US"/>
              </w:rPr>
              <w:t>2</w:t>
            </w:r>
          </w:p>
        </w:tc>
        <w:tc>
          <w:tcPr>
            <w:tcW w:w="1134" w:type="dxa"/>
            <w:tcBorders>
              <w:top w:val="nil"/>
              <w:left w:val="nil"/>
              <w:bottom w:val="nil"/>
              <w:right w:val="nil"/>
            </w:tcBorders>
            <w:shd w:val="clear" w:color="000000" w:fill="FFFFFF"/>
          </w:tcPr>
          <w:p w14:paraId="4CB23331" w14:textId="77777777" w:rsidR="00807F37" w:rsidRPr="009361EA" w:rsidRDefault="00807F37" w:rsidP="00B849AD">
            <w:pPr>
              <w:tabs>
                <w:tab w:val="left" w:pos="-437"/>
              </w:tabs>
              <w:suppressAutoHyphens/>
              <w:jc w:val="center"/>
              <w:rPr>
                <w:spacing w:val="-3"/>
                <w:lang w:val="en-US"/>
              </w:rPr>
            </w:pPr>
            <w:r w:rsidRPr="009361EA">
              <w:rPr>
                <w:spacing w:val="-3"/>
                <w:lang w:val="en-US"/>
              </w:rPr>
              <w:t>42</w:t>
            </w:r>
            <w:r>
              <w:rPr>
                <w:spacing w:val="-3"/>
                <w:lang w:val="en-US"/>
              </w:rPr>
              <w:t>.00</w:t>
            </w:r>
          </w:p>
        </w:tc>
        <w:tc>
          <w:tcPr>
            <w:tcW w:w="1134" w:type="dxa"/>
            <w:tcBorders>
              <w:top w:val="nil"/>
              <w:left w:val="nil"/>
              <w:bottom w:val="nil"/>
              <w:right w:val="nil"/>
            </w:tcBorders>
            <w:shd w:val="clear" w:color="000000" w:fill="FFFFFF"/>
          </w:tcPr>
          <w:p w14:paraId="6B62AC59" w14:textId="77777777" w:rsidR="00807F37" w:rsidRPr="009361EA" w:rsidRDefault="00807F37" w:rsidP="00B849AD">
            <w:pPr>
              <w:tabs>
                <w:tab w:val="left" w:pos="-437"/>
              </w:tabs>
              <w:suppressAutoHyphens/>
              <w:jc w:val="center"/>
              <w:rPr>
                <w:spacing w:val="-3"/>
                <w:lang w:val="en-US"/>
              </w:rPr>
            </w:pPr>
            <w:r w:rsidRPr="009361EA">
              <w:rPr>
                <w:spacing w:val="-3"/>
                <w:lang w:val="en-US"/>
              </w:rPr>
              <w:t>50.00</w:t>
            </w:r>
          </w:p>
        </w:tc>
        <w:tc>
          <w:tcPr>
            <w:tcW w:w="1134" w:type="dxa"/>
            <w:tcBorders>
              <w:top w:val="nil"/>
              <w:left w:val="nil"/>
              <w:bottom w:val="nil"/>
              <w:right w:val="nil"/>
            </w:tcBorders>
            <w:shd w:val="clear" w:color="000000" w:fill="FFFFFF"/>
          </w:tcPr>
          <w:p w14:paraId="437AD276" w14:textId="77777777" w:rsidR="00807F37" w:rsidRPr="009361EA" w:rsidRDefault="00807F37" w:rsidP="00B849AD">
            <w:pPr>
              <w:tabs>
                <w:tab w:val="left" w:pos="-437"/>
              </w:tabs>
              <w:suppressAutoHyphens/>
              <w:jc w:val="center"/>
              <w:rPr>
                <w:spacing w:val="-3"/>
                <w:lang w:val="en-US"/>
              </w:rPr>
            </w:pPr>
            <w:r w:rsidRPr="009361EA">
              <w:rPr>
                <w:spacing w:val="-3"/>
                <w:lang w:val="en-US"/>
              </w:rPr>
              <w:t>15.00</w:t>
            </w:r>
          </w:p>
        </w:tc>
        <w:tc>
          <w:tcPr>
            <w:tcW w:w="1134" w:type="dxa"/>
            <w:tcBorders>
              <w:top w:val="nil"/>
              <w:left w:val="nil"/>
              <w:bottom w:val="nil"/>
              <w:right w:val="nil"/>
            </w:tcBorders>
            <w:shd w:val="clear" w:color="000000" w:fill="FFFFFF"/>
          </w:tcPr>
          <w:p w14:paraId="59E8C3B8" w14:textId="77777777" w:rsidR="00807F37" w:rsidRPr="009361EA" w:rsidRDefault="00807F37" w:rsidP="00B849AD">
            <w:pPr>
              <w:tabs>
                <w:tab w:val="left" w:pos="-437"/>
              </w:tabs>
              <w:suppressAutoHyphens/>
              <w:jc w:val="center"/>
              <w:rPr>
                <w:spacing w:val="-3"/>
                <w:lang w:val="en-US"/>
              </w:rPr>
            </w:pPr>
            <w:r w:rsidRPr="009361EA">
              <w:rPr>
                <w:spacing w:val="-3"/>
                <w:lang w:val="en-US"/>
              </w:rPr>
              <w:t>15.00</w:t>
            </w:r>
          </w:p>
        </w:tc>
        <w:tc>
          <w:tcPr>
            <w:tcW w:w="852" w:type="dxa"/>
            <w:tcBorders>
              <w:top w:val="nil"/>
              <w:left w:val="nil"/>
              <w:bottom w:val="nil"/>
              <w:right w:val="nil"/>
            </w:tcBorders>
            <w:shd w:val="clear" w:color="000000" w:fill="FFFFFF"/>
          </w:tcPr>
          <w:p w14:paraId="51A9554A" w14:textId="77777777" w:rsidR="00807F37" w:rsidRPr="009361EA" w:rsidRDefault="00807F37" w:rsidP="00B849AD">
            <w:pPr>
              <w:tabs>
                <w:tab w:val="left" w:pos="-437"/>
              </w:tabs>
              <w:suppressAutoHyphens/>
              <w:jc w:val="center"/>
              <w:rPr>
                <w:spacing w:val="-3"/>
                <w:lang w:val="en-US"/>
              </w:rPr>
            </w:pPr>
            <w:r w:rsidRPr="009361EA">
              <w:rPr>
                <w:spacing w:val="-3"/>
                <w:lang w:val="en-US"/>
              </w:rPr>
              <w:t>15.00</w:t>
            </w:r>
          </w:p>
        </w:tc>
        <w:tc>
          <w:tcPr>
            <w:tcW w:w="1134" w:type="dxa"/>
            <w:tcBorders>
              <w:top w:val="nil"/>
              <w:left w:val="nil"/>
              <w:bottom w:val="nil"/>
              <w:right w:val="nil"/>
            </w:tcBorders>
            <w:shd w:val="clear" w:color="000000" w:fill="FFFFFF"/>
          </w:tcPr>
          <w:p w14:paraId="6839E3DA" w14:textId="77777777" w:rsidR="00807F37" w:rsidRPr="009361EA" w:rsidRDefault="00807F37" w:rsidP="00B849AD">
            <w:pPr>
              <w:tabs>
                <w:tab w:val="left" w:pos="-437"/>
              </w:tabs>
              <w:suppressAutoHyphens/>
              <w:jc w:val="center"/>
              <w:rPr>
                <w:spacing w:val="-3"/>
                <w:lang w:val="en-US"/>
              </w:rPr>
            </w:pPr>
            <w:r w:rsidRPr="009361EA">
              <w:rPr>
                <w:spacing w:val="-3"/>
                <w:lang w:val="en-US"/>
              </w:rPr>
              <w:t>53.80</w:t>
            </w:r>
          </w:p>
        </w:tc>
        <w:tc>
          <w:tcPr>
            <w:tcW w:w="992" w:type="dxa"/>
            <w:tcBorders>
              <w:top w:val="nil"/>
              <w:left w:val="nil"/>
              <w:bottom w:val="nil"/>
              <w:right w:val="nil"/>
            </w:tcBorders>
            <w:shd w:val="clear" w:color="000000" w:fill="FFFFFF"/>
          </w:tcPr>
          <w:p w14:paraId="0FE71896" w14:textId="77777777" w:rsidR="00807F37" w:rsidRPr="009361EA" w:rsidRDefault="00807F37" w:rsidP="00B849AD">
            <w:pPr>
              <w:tabs>
                <w:tab w:val="left" w:pos="-437"/>
              </w:tabs>
              <w:suppressAutoHyphens/>
              <w:jc w:val="center"/>
              <w:rPr>
                <w:spacing w:val="-3"/>
                <w:lang w:val="en-US"/>
              </w:rPr>
            </w:pPr>
            <w:r w:rsidRPr="009361EA">
              <w:rPr>
                <w:spacing w:val="-3"/>
                <w:lang w:val="en-US"/>
              </w:rPr>
              <w:t>54.00</w:t>
            </w:r>
          </w:p>
        </w:tc>
      </w:tr>
      <w:tr w:rsidR="00807F37" w:rsidRPr="009361EA" w14:paraId="0AD4A189" w14:textId="77777777" w:rsidTr="00B849AD">
        <w:trPr>
          <w:jc w:val="center"/>
        </w:trPr>
        <w:tc>
          <w:tcPr>
            <w:tcW w:w="1559" w:type="dxa"/>
            <w:tcBorders>
              <w:top w:val="nil"/>
              <w:left w:val="nil"/>
              <w:bottom w:val="single" w:sz="4" w:space="0" w:color="auto"/>
              <w:right w:val="nil"/>
            </w:tcBorders>
            <w:shd w:val="clear" w:color="000000" w:fill="FFFFFF"/>
          </w:tcPr>
          <w:p w14:paraId="30C5AD49" w14:textId="77777777" w:rsidR="00807F37" w:rsidRPr="00FE0EEB" w:rsidRDefault="00807F37" w:rsidP="00B849AD">
            <w:pPr>
              <w:tabs>
                <w:tab w:val="left" w:pos="-437"/>
              </w:tabs>
              <w:suppressAutoHyphens/>
              <w:jc w:val="left"/>
              <w:rPr>
                <w:spacing w:val="-3"/>
                <w:sz w:val="22"/>
                <w:lang w:val="en-US"/>
              </w:rPr>
            </w:pPr>
            <w:r w:rsidRPr="00FE0EEB">
              <w:rPr>
                <w:spacing w:val="-3"/>
                <w:sz w:val="22"/>
                <w:lang w:val="en-US"/>
              </w:rPr>
              <w:t>Ash</w:t>
            </w:r>
          </w:p>
        </w:tc>
        <w:tc>
          <w:tcPr>
            <w:tcW w:w="850" w:type="dxa"/>
            <w:tcBorders>
              <w:top w:val="nil"/>
              <w:left w:val="nil"/>
              <w:bottom w:val="single" w:sz="4" w:space="0" w:color="auto"/>
              <w:right w:val="nil"/>
            </w:tcBorders>
            <w:shd w:val="clear" w:color="000000" w:fill="FFFFFF"/>
          </w:tcPr>
          <w:p w14:paraId="2A958D08" w14:textId="77777777" w:rsidR="00807F37" w:rsidRPr="009361EA" w:rsidRDefault="00807F37" w:rsidP="00B849AD">
            <w:pPr>
              <w:tabs>
                <w:tab w:val="left" w:pos="-437"/>
              </w:tabs>
              <w:suppressAutoHyphens/>
              <w:jc w:val="center"/>
              <w:rPr>
                <w:spacing w:val="-3"/>
                <w:lang w:val="en-US"/>
              </w:rPr>
            </w:pPr>
            <w:r w:rsidRPr="009361EA">
              <w:rPr>
                <w:spacing w:val="-3"/>
                <w:lang w:val="en-US"/>
              </w:rPr>
              <w:t>%dw</w:t>
            </w:r>
            <w:r w:rsidRPr="00CD7158">
              <w:rPr>
                <w:b/>
                <w:bCs/>
                <w:i/>
                <w:iCs/>
                <w:spacing w:val="-3"/>
                <w:vertAlign w:val="superscript"/>
                <w:lang w:val="en-US"/>
              </w:rPr>
              <w:t>3</w:t>
            </w:r>
          </w:p>
        </w:tc>
        <w:tc>
          <w:tcPr>
            <w:tcW w:w="1134" w:type="dxa"/>
            <w:tcBorders>
              <w:top w:val="nil"/>
              <w:left w:val="nil"/>
              <w:bottom w:val="single" w:sz="4" w:space="0" w:color="auto"/>
              <w:right w:val="nil"/>
            </w:tcBorders>
            <w:shd w:val="clear" w:color="000000" w:fill="FFFFFF"/>
          </w:tcPr>
          <w:p w14:paraId="465038A2" w14:textId="77777777" w:rsidR="00807F37" w:rsidRPr="009361EA" w:rsidRDefault="00807F37" w:rsidP="00B849AD">
            <w:pPr>
              <w:tabs>
                <w:tab w:val="left" w:pos="-437"/>
              </w:tabs>
              <w:suppressAutoHyphens/>
              <w:jc w:val="center"/>
              <w:rPr>
                <w:spacing w:val="-3"/>
                <w:lang w:val="en-US"/>
              </w:rPr>
            </w:pPr>
            <w:r w:rsidRPr="009361EA">
              <w:rPr>
                <w:spacing w:val="-3"/>
                <w:lang w:val="en-US"/>
              </w:rPr>
              <w:t>1.50</w:t>
            </w:r>
          </w:p>
        </w:tc>
        <w:tc>
          <w:tcPr>
            <w:tcW w:w="1134" w:type="dxa"/>
            <w:tcBorders>
              <w:top w:val="nil"/>
              <w:left w:val="nil"/>
              <w:bottom w:val="single" w:sz="4" w:space="0" w:color="auto"/>
              <w:right w:val="nil"/>
            </w:tcBorders>
            <w:shd w:val="clear" w:color="000000" w:fill="FFFFFF"/>
          </w:tcPr>
          <w:p w14:paraId="0E9978B2" w14:textId="77777777" w:rsidR="00807F37" w:rsidRPr="009361EA" w:rsidRDefault="00807F37" w:rsidP="00B849AD">
            <w:pPr>
              <w:tabs>
                <w:tab w:val="left" w:pos="-437"/>
              </w:tabs>
              <w:suppressAutoHyphens/>
              <w:jc w:val="center"/>
              <w:rPr>
                <w:spacing w:val="-3"/>
                <w:lang w:val="en-US"/>
              </w:rPr>
            </w:pPr>
            <w:r w:rsidRPr="009361EA">
              <w:rPr>
                <w:spacing w:val="-3"/>
                <w:lang w:val="en-US"/>
              </w:rPr>
              <w:t>0.50</w:t>
            </w:r>
          </w:p>
        </w:tc>
        <w:tc>
          <w:tcPr>
            <w:tcW w:w="1134" w:type="dxa"/>
            <w:tcBorders>
              <w:top w:val="nil"/>
              <w:left w:val="nil"/>
              <w:bottom w:val="single" w:sz="4" w:space="0" w:color="auto"/>
              <w:right w:val="nil"/>
            </w:tcBorders>
            <w:shd w:val="clear" w:color="000000" w:fill="FFFFFF"/>
          </w:tcPr>
          <w:p w14:paraId="30B7EFF9" w14:textId="77777777" w:rsidR="00807F37" w:rsidRPr="009361EA" w:rsidRDefault="00807F37" w:rsidP="00B849AD">
            <w:pPr>
              <w:tabs>
                <w:tab w:val="left" w:pos="-437"/>
              </w:tabs>
              <w:suppressAutoHyphens/>
              <w:jc w:val="center"/>
              <w:rPr>
                <w:spacing w:val="-3"/>
                <w:lang w:val="en-US"/>
              </w:rPr>
            </w:pPr>
            <w:r w:rsidRPr="009361EA">
              <w:rPr>
                <w:spacing w:val="-3"/>
                <w:lang w:val="en-US"/>
              </w:rPr>
              <w:t>6.00</w:t>
            </w:r>
          </w:p>
        </w:tc>
        <w:tc>
          <w:tcPr>
            <w:tcW w:w="1134" w:type="dxa"/>
            <w:tcBorders>
              <w:top w:val="nil"/>
              <w:left w:val="nil"/>
              <w:bottom w:val="single" w:sz="4" w:space="0" w:color="auto"/>
              <w:right w:val="nil"/>
            </w:tcBorders>
            <w:shd w:val="clear" w:color="000000" w:fill="FFFFFF"/>
          </w:tcPr>
          <w:p w14:paraId="1B7DFCD9" w14:textId="77777777" w:rsidR="00807F37" w:rsidRPr="009361EA" w:rsidRDefault="00807F37" w:rsidP="00B849AD">
            <w:pPr>
              <w:tabs>
                <w:tab w:val="left" w:pos="-437"/>
              </w:tabs>
              <w:suppressAutoHyphens/>
              <w:jc w:val="center"/>
              <w:rPr>
                <w:spacing w:val="-3"/>
                <w:lang w:val="en-US"/>
              </w:rPr>
            </w:pPr>
            <w:r w:rsidRPr="009361EA">
              <w:rPr>
                <w:spacing w:val="-3"/>
                <w:lang w:val="en-US"/>
              </w:rPr>
              <w:t>18.00</w:t>
            </w:r>
          </w:p>
        </w:tc>
        <w:tc>
          <w:tcPr>
            <w:tcW w:w="852" w:type="dxa"/>
            <w:tcBorders>
              <w:top w:val="nil"/>
              <w:left w:val="nil"/>
              <w:bottom w:val="single" w:sz="4" w:space="0" w:color="auto"/>
              <w:right w:val="nil"/>
            </w:tcBorders>
            <w:shd w:val="clear" w:color="000000" w:fill="FFFFFF"/>
          </w:tcPr>
          <w:p w14:paraId="4B59DF0F" w14:textId="77777777" w:rsidR="00807F37" w:rsidRPr="009361EA" w:rsidRDefault="00807F37" w:rsidP="00B849AD">
            <w:pPr>
              <w:tabs>
                <w:tab w:val="left" w:pos="-437"/>
              </w:tabs>
              <w:suppressAutoHyphens/>
              <w:jc w:val="center"/>
              <w:rPr>
                <w:spacing w:val="-3"/>
                <w:lang w:val="en-US"/>
              </w:rPr>
            </w:pPr>
            <w:r w:rsidRPr="009361EA">
              <w:rPr>
                <w:spacing w:val="-3"/>
                <w:lang w:val="en-US"/>
              </w:rPr>
              <w:t>7.00</w:t>
            </w:r>
          </w:p>
        </w:tc>
        <w:tc>
          <w:tcPr>
            <w:tcW w:w="1134" w:type="dxa"/>
            <w:tcBorders>
              <w:top w:val="nil"/>
              <w:left w:val="nil"/>
              <w:bottom w:val="single" w:sz="4" w:space="0" w:color="auto"/>
              <w:right w:val="nil"/>
            </w:tcBorders>
            <w:shd w:val="clear" w:color="000000" w:fill="FFFFFF"/>
          </w:tcPr>
          <w:p w14:paraId="51CF0E33" w14:textId="77777777" w:rsidR="00807F37" w:rsidRPr="009361EA" w:rsidRDefault="00807F37" w:rsidP="00B849AD">
            <w:pPr>
              <w:tabs>
                <w:tab w:val="left" w:pos="-437"/>
              </w:tabs>
              <w:suppressAutoHyphens/>
              <w:jc w:val="center"/>
              <w:rPr>
                <w:spacing w:val="-3"/>
                <w:lang w:val="en-US"/>
              </w:rPr>
            </w:pPr>
            <w:r w:rsidRPr="009361EA">
              <w:rPr>
                <w:spacing w:val="-3"/>
                <w:lang w:val="en-US"/>
              </w:rPr>
              <w:t>3.50</w:t>
            </w:r>
          </w:p>
        </w:tc>
        <w:tc>
          <w:tcPr>
            <w:tcW w:w="992" w:type="dxa"/>
            <w:tcBorders>
              <w:top w:val="nil"/>
              <w:left w:val="nil"/>
              <w:bottom w:val="single" w:sz="4" w:space="0" w:color="auto"/>
              <w:right w:val="nil"/>
            </w:tcBorders>
            <w:shd w:val="clear" w:color="000000" w:fill="FFFFFF"/>
          </w:tcPr>
          <w:p w14:paraId="0F60ACDF" w14:textId="77777777" w:rsidR="00807F37" w:rsidRPr="009361EA" w:rsidRDefault="00807F37" w:rsidP="00B849AD">
            <w:pPr>
              <w:tabs>
                <w:tab w:val="left" w:pos="-437"/>
              </w:tabs>
              <w:suppressAutoHyphens/>
              <w:jc w:val="center"/>
              <w:rPr>
                <w:spacing w:val="-3"/>
                <w:lang w:val="en-US"/>
              </w:rPr>
            </w:pPr>
            <w:r w:rsidRPr="009361EA">
              <w:rPr>
                <w:spacing w:val="-3"/>
                <w:lang w:val="en-US"/>
              </w:rPr>
              <w:t>7.00</w:t>
            </w:r>
          </w:p>
        </w:tc>
      </w:tr>
      <w:tr w:rsidR="00807F37" w:rsidRPr="009361EA" w14:paraId="7EEE03BD" w14:textId="77777777" w:rsidTr="00B849AD">
        <w:trPr>
          <w:jc w:val="center"/>
        </w:trPr>
        <w:tc>
          <w:tcPr>
            <w:tcW w:w="9923" w:type="dxa"/>
            <w:gridSpan w:val="9"/>
            <w:tcBorders>
              <w:top w:val="single" w:sz="4" w:space="0" w:color="auto"/>
              <w:left w:val="nil"/>
              <w:bottom w:val="single" w:sz="4" w:space="0" w:color="auto"/>
              <w:right w:val="nil"/>
            </w:tcBorders>
          </w:tcPr>
          <w:p w14:paraId="1A45B2EE" w14:textId="77777777" w:rsidR="00807F37" w:rsidRPr="003F1F19" w:rsidRDefault="00807F37" w:rsidP="00B849AD">
            <w:pPr>
              <w:tabs>
                <w:tab w:val="left" w:pos="-437"/>
              </w:tabs>
              <w:suppressAutoHyphens/>
              <w:jc w:val="center"/>
              <w:rPr>
                <w:b/>
                <w:spacing w:val="-3"/>
                <w:sz w:val="20"/>
                <w:lang w:val="en-US"/>
              </w:rPr>
            </w:pPr>
            <w:r w:rsidRPr="003F1F19">
              <w:rPr>
                <w:b/>
                <w:spacing w:val="-3"/>
                <w:sz w:val="20"/>
                <w:lang w:val="en-US"/>
              </w:rPr>
              <w:t>Dry Matter Composition</w:t>
            </w:r>
          </w:p>
        </w:tc>
      </w:tr>
      <w:tr w:rsidR="00807F37" w:rsidRPr="009361EA" w14:paraId="1E58834F" w14:textId="77777777" w:rsidTr="00B849AD">
        <w:trPr>
          <w:jc w:val="center"/>
        </w:trPr>
        <w:tc>
          <w:tcPr>
            <w:tcW w:w="1559" w:type="dxa"/>
            <w:tcBorders>
              <w:top w:val="single" w:sz="4" w:space="0" w:color="auto"/>
              <w:left w:val="nil"/>
              <w:bottom w:val="nil"/>
              <w:right w:val="nil"/>
            </w:tcBorders>
            <w:shd w:val="clear" w:color="000000" w:fill="FFFFFF"/>
          </w:tcPr>
          <w:p w14:paraId="0C125B1B" w14:textId="77777777" w:rsidR="00807F37" w:rsidRPr="00FE0EEB" w:rsidRDefault="00807F37" w:rsidP="00B849AD">
            <w:pPr>
              <w:tabs>
                <w:tab w:val="left" w:pos="-437"/>
              </w:tabs>
              <w:suppressAutoHyphens/>
              <w:jc w:val="left"/>
              <w:rPr>
                <w:spacing w:val="-3"/>
                <w:sz w:val="22"/>
                <w:lang w:val="en-US"/>
              </w:rPr>
            </w:pPr>
            <w:r w:rsidRPr="00FE0EEB">
              <w:rPr>
                <w:spacing w:val="-3"/>
                <w:sz w:val="22"/>
                <w:lang w:val="en-US"/>
              </w:rPr>
              <w:t>Lignin</w:t>
            </w:r>
          </w:p>
        </w:tc>
        <w:tc>
          <w:tcPr>
            <w:tcW w:w="850" w:type="dxa"/>
            <w:tcBorders>
              <w:top w:val="single" w:sz="4" w:space="0" w:color="auto"/>
              <w:left w:val="nil"/>
              <w:bottom w:val="nil"/>
              <w:right w:val="nil"/>
            </w:tcBorders>
            <w:shd w:val="clear" w:color="000000" w:fill="FFFFFF"/>
          </w:tcPr>
          <w:p w14:paraId="373DCE96" w14:textId="77777777" w:rsidR="00807F37" w:rsidRPr="009361EA" w:rsidRDefault="00807F37" w:rsidP="00B849AD">
            <w:pPr>
              <w:tabs>
                <w:tab w:val="left" w:pos="-437"/>
              </w:tabs>
              <w:suppressAutoHyphens/>
              <w:jc w:val="center"/>
              <w:rPr>
                <w:spacing w:val="-3"/>
                <w:lang w:val="en-US"/>
              </w:rPr>
            </w:pPr>
            <w:r w:rsidRPr="009361EA">
              <w:rPr>
                <w:spacing w:val="-3"/>
                <w:lang w:val="en-US"/>
              </w:rPr>
              <w:t>%</w:t>
            </w:r>
            <w:proofErr w:type="spellStart"/>
            <w:r w:rsidRPr="009361EA">
              <w:rPr>
                <w:spacing w:val="-3"/>
                <w:lang w:val="en-US"/>
              </w:rPr>
              <w:t>dw</w:t>
            </w:r>
            <w:proofErr w:type="spellEnd"/>
          </w:p>
        </w:tc>
        <w:tc>
          <w:tcPr>
            <w:tcW w:w="1134" w:type="dxa"/>
            <w:tcBorders>
              <w:top w:val="single" w:sz="4" w:space="0" w:color="auto"/>
              <w:left w:val="nil"/>
              <w:bottom w:val="nil"/>
              <w:right w:val="nil"/>
            </w:tcBorders>
            <w:shd w:val="clear" w:color="000000" w:fill="FFFFFF"/>
          </w:tcPr>
          <w:p w14:paraId="592B17AC" w14:textId="77777777" w:rsidR="00807F37" w:rsidRPr="009361EA" w:rsidRDefault="00807F37" w:rsidP="00B849AD">
            <w:pPr>
              <w:tabs>
                <w:tab w:val="left" w:pos="-437"/>
              </w:tabs>
              <w:suppressAutoHyphens/>
              <w:jc w:val="center"/>
              <w:rPr>
                <w:spacing w:val="-3"/>
                <w:lang w:val="en-US"/>
              </w:rPr>
            </w:pPr>
            <w:r w:rsidRPr="009361EA">
              <w:rPr>
                <w:spacing w:val="-3"/>
                <w:lang w:val="en-US"/>
              </w:rPr>
              <w:t>27.00</w:t>
            </w:r>
          </w:p>
        </w:tc>
        <w:tc>
          <w:tcPr>
            <w:tcW w:w="1134" w:type="dxa"/>
            <w:tcBorders>
              <w:top w:val="single" w:sz="4" w:space="0" w:color="auto"/>
              <w:left w:val="nil"/>
              <w:bottom w:val="nil"/>
              <w:right w:val="nil"/>
            </w:tcBorders>
            <w:shd w:val="clear" w:color="000000" w:fill="FFFFFF"/>
          </w:tcPr>
          <w:p w14:paraId="653810C0" w14:textId="77777777" w:rsidR="00807F37" w:rsidRPr="009361EA" w:rsidRDefault="00807F37" w:rsidP="00B849AD">
            <w:pPr>
              <w:tabs>
                <w:tab w:val="left" w:pos="-437"/>
              </w:tabs>
              <w:suppressAutoHyphens/>
              <w:jc w:val="center"/>
              <w:rPr>
                <w:spacing w:val="-3"/>
                <w:lang w:val="en-US"/>
              </w:rPr>
            </w:pPr>
            <w:r w:rsidRPr="009361EA">
              <w:rPr>
                <w:spacing w:val="-3"/>
                <w:lang w:val="en-US"/>
              </w:rPr>
              <w:t>27.70</w:t>
            </w:r>
          </w:p>
        </w:tc>
        <w:tc>
          <w:tcPr>
            <w:tcW w:w="1134" w:type="dxa"/>
            <w:tcBorders>
              <w:top w:val="single" w:sz="4" w:space="0" w:color="auto"/>
              <w:left w:val="nil"/>
              <w:bottom w:val="nil"/>
              <w:right w:val="nil"/>
            </w:tcBorders>
            <w:shd w:val="clear" w:color="000000" w:fill="FFFFFF"/>
          </w:tcPr>
          <w:p w14:paraId="32E78BD7" w14:textId="77777777" w:rsidR="00807F37" w:rsidRPr="009361EA" w:rsidRDefault="00807F37" w:rsidP="00B849AD">
            <w:pPr>
              <w:tabs>
                <w:tab w:val="left" w:pos="-437"/>
              </w:tabs>
              <w:suppressAutoHyphens/>
              <w:jc w:val="center"/>
              <w:rPr>
                <w:spacing w:val="-3"/>
                <w:lang w:val="en-US"/>
              </w:rPr>
            </w:pPr>
            <w:r w:rsidRPr="009361EA">
              <w:rPr>
                <w:spacing w:val="-3"/>
                <w:lang w:val="en-US"/>
              </w:rPr>
              <w:t>15.00</w:t>
            </w:r>
          </w:p>
        </w:tc>
        <w:tc>
          <w:tcPr>
            <w:tcW w:w="1134" w:type="dxa"/>
            <w:tcBorders>
              <w:top w:val="single" w:sz="4" w:space="0" w:color="auto"/>
              <w:left w:val="nil"/>
              <w:bottom w:val="nil"/>
              <w:right w:val="nil"/>
            </w:tcBorders>
            <w:shd w:val="clear" w:color="000000" w:fill="FFFFFF"/>
          </w:tcPr>
          <w:p w14:paraId="77EC74C5" w14:textId="77777777" w:rsidR="00807F37" w:rsidRPr="009361EA" w:rsidRDefault="00807F37" w:rsidP="00B849AD">
            <w:pPr>
              <w:tabs>
                <w:tab w:val="left" w:pos="-437"/>
              </w:tabs>
              <w:suppressAutoHyphens/>
              <w:jc w:val="center"/>
              <w:rPr>
                <w:spacing w:val="-3"/>
                <w:lang w:val="en-US"/>
              </w:rPr>
            </w:pPr>
            <w:r w:rsidRPr="009361EA">
              <w:rPr>
                <w:spacing w:val="-3"/>
                <w:lang w:val="en-US"/>
              </w:rPr>
              <w:t>13.00</w:t>
            </w:r>
          </w:p>
        </w:tc>
        <w:tc>
          <w:tcPr>
            <w:tcW w:w="852" w:type="dxa"/>
            <w:tcBorders>
              <w:top w:val="single" w:sz="4" w:space="0" w:color="auto"/>
              <w:left w:val="nil"/>
              <w:bottom w:val="nil"/>
              <w:right w:val="nil"/>
            </w:tcBorders>
            <w:shd w:val="clear" w:color="000000" w:fill="FFFFFF"/>
          </w:tcPr>
          <w:p w14:paraId="45489636" w14:textId="77777777" w:rsidR="00807F37" w:rsidRPr="009361EA" w:rsidRDefault="00807F37" w:rsidP="00B849AD">
            <w:pPr>
              <w:tabs>
                <w:tab w:val="left" w:pos="-437"/>
              </w:tabs>
              <w:suppressAutoHyphens/>
              <w:jc w:val="center"/>
              <w:rPr>
                <w:spacing w:val="-3"/>
                <w:lang w:val="en-US"/>
              </w:rPr>
            </w:pPr>
            <w:r w:rsidRPr="009361EA">
              <w:rPr>
                <w:spacing w:val="-3"/>
                <w:lang w:val="en-US"/>
              </w:rPr>
              <w:t>18.00</w:t>
            </w:r>
          </w:p>
        </w:tc>
        <w:tc>
          <w:tcPr>
            <w:tcW w:w="1134" w:type="dxa"/>
            <w:tcBorders>
              <w:top w:val="single" w:sz="4" w:space="0" w:color="auto"/>
              <w:left w:val="nil"/>
              <w:bottom w:val="nil"/>
              <w:right w:val="nil"/>
            </w:tcBorders>
            <w:shd w:val="clear" w:color="000000" w:fill="FFFFFF"/>
          </w:tcPr>
          <w:p w14:paraId="0CB77E25" w14:textId="77777777" w:rsidR="00807F37" w:rsidRPr="009361EA" w:rsidRDefault="00807F37" w:rsidP="00B849AD">
            <w:pPr>
              <w:tabs>
                <w:tab w:val="left" w:pos="-437"/>
              </w:tabs>
              <w:suppressAutoHyphens/>
              <w:jc w:val="center"/>
              <w:rPr>
                <w:spacing w:val="-3"/>
                <w:lang w:val="en-US"/>
              </w:rPr>
            </w:pPr>
            <w:r w:rsidRPr="009361EA">
              <w:rPr>
                <w:spacing w:val="-3"/>
                <w:lang w:val="en-US"/>
              </w:rPr>
              <w:t>20.50</w:t>
            </w:r>
          </w:p>
        </w:tc>
        <w:tc>
          <w:tcPr>
            <w:tcW w:w="992" w:type="dxa"/>
            <w:tcBorders>
              <w:top w:val="single" w:sz="4" w:space="0" w:color="auto"/>
              <w:left w:val="nil"/>
              <w:bottom w:val="nil"/>
              <w:right w:val="nil"/>
            </w:tcBorders>
            <w:shd w:val="clear" w:color="000000" w:fill="FFFFFF"/>
          </w:tcPr>
          <w:p w14:paraId="766F13D3" w14:textId="77777777" w:rsidR="00807F37" w:rsidRPr="009361EA" w:rsidRDefault="00807F37" w:rsidP="00B849AD">
            <w:pPr>
              <w:tabs>
                <w:tab w:val="left" w:pos="-437"/>
              </w:tabs>
              <w:suppressAutoHyphens/>
              <w:jc w:val="center"/>
              <w:rPr>
                <w:spacing w:val="-3"/>
                <w:lang w:val="en-US"/>
              </w:rPr>
            </w:pPr>
            <w:r w:rsidRPr="009361EA">
              <w:rPr>
                <w:spacing w:val="-3"/>
                <w:lang w:val="en-US"/>
              </w:rPr>
              <w:t>8.50</w:t>
            </w:r>
          </w:p>
        </w:tc>
      </w:tr>
      <w:tr w:rsidR="00807F37" w:rsidRPr="009361EA" w14:paraId="4C130CED" w14:textId="77777777" w:rsidTr="00B849AD">
        <w:trPr>
          <w:jc w:val="center"/>
        </w:trPr>
        <w:tc>
          <w:tcPr>
            <w:tcW w:w="1559" w:type="dxa"/>
            <w:tcBorders>
              <w:top w:val="nil"/>
              <w:left w:val="nil"/>
              <w:bottom w:val="nil"/>
              <w:right w:val="nil"/>
            </w:tcBorders>
            <w:shd w:val="clear" w:color="000000" w:fill="FFFFFF"/>
          </w:tcPr>
          <w:p w14:paraId="44B238B4" w14:textId="77777777" w:rsidR="00807F37" w:rsidRPr="00FE0EEB" w:rsidRDefault="00807F37" w:rsidP="00B849AD">
            <w:pPr>
              <w:tabs>
                <w:tab w:val="left" w:pos="-437"/>
              </w:tabs>
              <w:suppressAutoHyphens/>
              <w:jc w:val="left"/>
              <w:rPr>
                <w:spacing w:val="-3"/>
                <w:sz w:val="22"/>
                <w:lang w:val="en-US"/>
              </w:rPr>
            </w:pPr>
            <w:r w:rsidRPr="00FE0EEB">
              <w:rPr>
                <w:spacing w:val="-3"/>
                <w:sz w:val="22"/>
                <w:lang w:val="en-US"/>
              </w:rPr>
              <w:t>Cellulose</w:t>
            </w:r>
          </w:p>
        </w:tc>
        <w:tc>
          <w:tcPr>
            <w:tcW w:w="850" w:type="dxa"/>
            <w:tcBorders>
              <w:top w:val="nil"/>
              <w:left w:val="nil"/>
              <w:bottom w:val="nil"/>
              <w:right w:val="nil"/>
            </w:tcBorders>
            <w:shd w:val="clear" w:color="000000" w:fill="FFFFFF"/>
          </w:tcPr>
          <w:p w14:paraId="0436246A" w14:textId="77777777" w:rsidR="00807F37" w:rsidRPr="009361EA" w:rsidRDefault="00807F37" w:rsidP="00B849AD">
            <w:pPr>
              <w:tabs>
                <w:tab w:val="left" w:pos="-437"/>
              </w:tabs>
              <w:suppressAutoHyphens/>
              <w:jc w:val="center"/>
              <w:rPr>
                <w:spacing w:val="-3"/>
                <w:lang w:val="en-US"/>
              </w:rPr>
            </w:pPr>
            <w:r w:rsidRPr="009361EA">
              <w:rPr>
                <w:spacing w:val="-3"/>
                <w:lang w:val="en-US"/>
              </w:rPr>
              <w:t>%</w:t>
            </w:r>
            <w:proofErr w:type="spellStart"/>
            <w:r w:rsidRPr="009361EA">
              <w:rPr>
                <w:spacing w:val="-3"/>
                <w:lang w:val="en-US"/>
              </w:rPr>
              <w:t>dw</w:t>
            </w:r>
            <w:proofErr w:type="spellEnd"/>
          </w:p>
        </w:tc>
        <w:tc>
          <w:tcPr>
            <w:tcW w:w="1134" w:type="dxa"/>
            <w:tcBorders>
              <w:top w:val="nil"/>
              <w:left w:val="nil"/>
              <w:bottom w:val="nil"/>
              <w:right w:val="nil"/>
            </w:tcBorders>
            <w:shd w:val="clear" w:color="000000" w:fill="FFFFFF"/>
          </w:tcPr>
          <w:p w14:paraId="2C1FB3E0" w14:textId="77777777" w:rsidR="00807F37" w:rsidRPr="009361EA" w:rsidRDefault="00807F37" w:rsidP="00B849AD">
            <w:pPr>
              <w:tabs>
                <w:tab w:val="left" w:pos="-437"/>
              </w:tabs>
              <w:suppressAutoHyphens/>
              <w:jc w:val="center"/>
              <w:rPr>
                <w:spacing w:val="-3"/>
                <w:lang w:val="en-US"/>
              </w:rPr>
            </w:pPr>
            <w:r w:rsidRPr="009361EA">
              <w:rPr>
                <w:spacing w:val="-3"/>
                <w:lang w:val="en-US"/>
              </w:rPr>
              <w:t>43.00</w:t>
            </w:r>
          </w:p>
        </w:tc>
        <w:tc>
          <w:tcPr>
            <w:tcW w:w="1134" w:type="dxa"/>
            <w:tcBorders>
              <w:top w:val="nil"/>
              <w:left w:val="nil"/>
              <w:bottom w:val="nil"/>
              <w:right w:val="nil"/>
            </w:tcBorders>
            <w:shd w:val="clear" w:color="000000" w:fill="FFFFFF"/>
          </w:tcPr>
          <w:p w14:paraId="57446926" w14:textId="77777777" w:rsidR="00807F37" w:rsidRPr="009361EA" w:rsidRDefault="00807F37" w:rsidP="00B849AD">
            <w:pPr>
              <w:tabs>
                <w:tab w:val="left" w:pos="-437"/>
              </w:tabs>
              <w:suppressAutoHyphens/>
              <w:jc w:val="center"/>
              <w:rPr>
                <w:spacing w:val="-3"/>
                <w:lang w:val="en-US"/>
              </w:rPr>
            </w:pPr>
            <w:r w:rsidRPr="009361EA">
              <w:rPr>
                <w:spacing w:val="-3"/>
                <w:lang w:val="en-US"/>
              </w:rPr>
              <w:t>42.00</w:t>
            </w:r>
          </w:p>
        </w:tc>
        <w:tc>
          <w:tcPr>
            <w:tcW w:w="1134" w:type="dxa"/>
            <w:tcBorders>
              <w:top w:val="nil"/>
              <w:left w:val="nil"/>
              <w:bottom w:val="nil"/>
              <w:right w:val="nil"/>
            </w:tcBorders>
            <w:shd w:val="clear" w:color="000000" w:fill="FFFFFF"/>
          </w:tcPr>
          <w:p w14:paraId="7682A94C" w14:textId="77777777" w:rsidR="00807F37" w:rsidRPr="009361EA" w:rsidRDefault="00807F37" w:rsidP="00B849AD">
            <w:pPr>
              <w:tabs>
                <w:tab w:val="left" w:pos="-437"/>
              </w:tabs>
              <w:suppressAutoHyphens/>
              <w:jc w:val="center"/>
              <w:rPr>
                <w:spacing w:val="-3"/>
                <w:lang w:val="en-US"/>
              </w:rPr>
            </w:pPr>
            <w:r w:rsidRPr="009361EA">
              <w:rPr>
                <w:spacing w:val="-3"/>
                <w:lang w:val="en-US"/>
              </w:rPr>
              <w:t>37.00</w:t>
            </w:r>
          </w:p>
        </w:tc>
        <w:tc>
          <w:tcPr>
            <w:tcW w:w="1134" w:type="dxa"/>
            <w:tcBorders>
              <w:top w:val="nil"/>
              <w:left w:val="nil"/>
              <w:bottom w:val="nil"/>
              <w:right w:val="nil"/>
            </w:tcBorders>
            <w:shd w:val="clear" w:color="000000" w:fill="FFFFFF"/>
          </w:tcPr>
          <w:p w14:paraId="0DA5C84A" w14:textId="77777777" w:rsidR="00807F37" w:rsidRPr="009361EA" w:rsidRDefault="00807F37" w:rsidP="00B849AD">
            <w:pPr>
              <w:tabs>
                <w:tab w:val="left" w:pos="-437"/>
              </w:tabs>
              <w:suppressAutoHyphens/>
              <w:jc w:val="center"/>
              <w:rPr>
                <w:spacing w:val="-3"/>
                <w:lang w:val="en-US"/>
              </w:rPr>
            </w:pPr>
            <w:r w:rsidRPr="009361EA">
              <w:rPr>
                <w:spacing w:val="-3"/>
                <w:lang w:val="en-US"/>
              </w:rPr>
              <w:t>37.00</w:t>
            </w:r>
          </w:p>
        </w:tc>
        <w:tc>
          <w:tcPr>
            <w:tcW w:w="852" w:type="dxa"/>
            <w:tcBorders>
              <w:top w:val="nil"/>
              <w:left w:val="nil"/>
              <w:bottom w:val="nil"/>
              <w:right w:val="nil"/>
            </w:tcBorders>
            <w:shd w:val="clear" w:color="000000" w:fill="FFFFFF"/>
          </w:tcPr>
          <w:p w14:paraId="2C018624" w14:textId="77777777" w:rsidR="00807F37" w:rsidRPr="009361EA" w:rsidRDefault="00807F37" w:rsidP="00B849AD">
            <w:pPr>
              <w:tabs>
                <w:tab w:val="left" w:pos="-437"/>
              </w:tabs>
              <w:suppressAutoHyphens/>
              <w:jc w:val="center"/>
              <w:rPr>
                <w:spacing w:val="-3"/>
                <w:lang w:val="en-US"/>
              </w:rPr>
            </w:pPr>
            <w:r w:rsidRPr="009361EA">
              <w:rPr>
                <w:spacing w:val="-3"/>
                <w:lang w:val="en-US"/>
              </w:rPr>
              <w:t>37.00</w:t>
            </w:r>
          </w:p>
        </w:tc>
        <w:tc>
          <w:tcPr>
            <w:tcW w:w="1134" w:type="dxa"/>
            <w:tcBorders>
              <w:top w:val="nil"/>
              <w:left w:val="nil"/>
              <w:bottom w:val="nil"/>
              <w:right w:val="nil"/>
            </w:tcBorders>
            <w:shd w:val="clear" w:color="000000" w:fill="FFFFFF"/>
          </w:tcPr>
          <w:p w14:paraId="5183E2F3" w14:textId="77777777" w:rsidR="00807F37" w:rsidRPr="009361EA" w:rsidRDefault="00807F37" w:rsidP="00B849AD">
            <w:pPr>
              <w:tabs>
                <w:tab w:val="left" w:pos="-437"/>
              </w:tabs>
              <w:suppressAutoHyphens/>
              <w:jc w:val="center"/>
              <w:rPr>
                <w:spacing w:val="-3"/>
                <w:lang w:val="en-US"/>
              </w:rPr>
            </w:pPr>
            <w:r w:rsidRPr="009361EA">
              <w:rPr>
                <w:spacing w:val="-3"/>
                <w:lang w:val="en-US"/>
              </w:rPr>
              <w:t>35.00</w:t>
            </w:r>
          </w:p>
        </w:tc>
        <w:tc>
          <w:tcPr>
            <w:tcW w:w="992" w:type="dxa"/>
            <w:tcBorders>
              <w:top w:val="nil"/>
              <w:left w:val="nil"/>
              <w:bottom w:val="nil"/>
              <w:right w:val="nil"/>
            </w:tcBorders>
            <w:shd w:val="clear" w:color="000000" w:fill="FFFFFF"/>
          </w:tcPr>
          <w:p w14:paraId="4BA6763E" w14:textId="77777777" w:rsidR="00807F37" w:rsidRPr="009361EA" w:rsidRDefault="00807F37" w:rsidP="00B849AD">
            <w:pPr>
              <w:tabs>
                <w:tab w:val="left" w:pos="-437"/>
              </w:tabs>
              <w:suppressAutoHyphens/>
              <w:jc w:val="center"/>
              <w:rPr>
                <w:spacing w:val="-3"/>
                <w:lang w:val="en-US"/>
              </w:rPr>
            </w:pPr>
            <w:r w:rsidRPr="009361EA">
              <w:rPr>
                <w:spacing w:val="-3"/>
                <w:lang w:val="en-US"/>
              </w:rPr>
              <w:t>36.00</w:t>
            </w:r>
          </w:p>
        </w:tc>
      </w:tr>
      <w:tr w:rsidR="00807F37" w:rsidRPr="009361EA" w14:paraId="152D8FDA" w14:textId="77777777" w:rsidTr="00B849AD">
        <w:trPr>
          <w:jc w:val="center"/>
        </w:trPr>
        <w:tc>
          <w:tcPr>
            <w:tcW w:w="1559" w:type="dxa"/>
            <w:tcBorders>
              <w:top w:val="nil"/>
              <w:left w:val="nil"/>
              <w:right w:val="nil"/>
            </w:tcBorders>
            <w:shd w:val="clear" w:color="000000" w:fill="FFFFFF"/>
          </w:tcPr>
          <w:p w14:paraId="11E3C93A" w14:textId="77777777" w:rsidR="00807F37" w:rsidRPr="00FE0EEB" w:rsidRDefault="00807F37" w:rsidP="00B849AD">
            <w:pPr>
              <w:tabs>
                <w:tab w:val="left" w:pos="-437"/>
              </w:tabs>
              <w:suppressAutoHyphens/>
              <w:jc w:val="left"/>
              <w:rPr>
                <w:spacing w:val="-3"/>
                <w:sz w:val="22"/>
                <w:lang w:val="en-US"/>
              </w:rPr>
            </w:pPr>
            <w:r w:rsidRPr="00FE0EEB">
              <w:rPr>
                <w:spacing w:val="-3"/>
                <w:sz w:val="22"/>
                <w:lang w:val="en-US"/>
              </w:rPr>
              <w:t>Hemicellulose</w:t>
            </w:r>
          </w:p>
        </w:tc>
        <w:tc>
          <w:tcPr>
            <w:tcW w:w="850" w:type="dxa"/>
            <w:tcBorders>
              <w:top w:val="nil"/>
              <w:left w:val="nil"/>
              <w:right w:val="nil"/>
            </w:tcBorders>
            <w:shd w:val="clear" w:color="000000" w:fill="FFFFFF"/>
          </w:tcPr>
          <w:p w14:paraId="6AAB6379" w14:textId="77777777" w:rsidR="00807F37" w:rsidRPr="009361EA" w:rsidRDefault="00807F37" w:rsidP="00B849AD">
            <w:pPr>
              <w:tabs>
                <w:tab w:val="left" w:pos="-437"/>
              </w:tabs>
              <w:suppressAutoHyphens/>
              <w:jc w:val="center"/>
              <w:rPr>
                <w:spacing w:val="-3"/>
                <w:lang w:val="en-US"/>
              </w:rPr>
            </w:pPr>
            <w:r w:rsidRPr="009361EA">
              <w:rPr>
                <w:spacing w:val="-3"/>
                <w:lang w:val="en-US"/>
              </w:rPr>
              <w:t>%</w:t>
            </w:r>
            <w:proofErr w:type="spellStart"/>
            <w:r w:rsidRPr="009361EA">
              <w:rPr>
                <w:spacing w:val="-3"/>
                <w:lang w:val="en-US"/>
              </w:rPr>
              <w:t>dw</w:t>
            </w:r>
            <w:proofErr w:type="spellEnd"/>
          </w:p>
        </w:tc>
        <w:tc>
          <w:tcPr>
            <w:tcW w:w="1134" w:type="dxa"/>
            <w:tcBorders>
              <w:top w:val="nil"/>
              <w:left w:val="nil"/>
              <w:right w:val="nil"/>
            </w:tcBorders>
            <w:shd w:val="clear" w:color="000000" w:fill="FFFFFF"/>
          </w:tcPr>
          <w:p w14:paraId="4C141C02" w14:textId="77777777" w:rsidR="00807F37" w:rsidRPr="009361EA" w:rsidRDefault="00807F37" w:rsidP="00B849AD">
            <w:pPr>
              <w:tabs>
                <w:tab w:val="left" w:pos="-437"/>
              </w:tabs>
              <w:suppressAutoHyphens/>
              <w:jc w:val="center"/>
              <w:rPr>
                <w:spacing w:val="-3"/>
                <w:lang w:val="en-US"/>
              </w:rPr>
            </w:pPr>
            <w:r w:rsidRPr="009361EA">
              <w:rPr>
                <w:spacing w:val="-3"/>
                <w:lang w:val="en-US"/>
              </w:rPr>
              <w:t>18.00</w:t>
            </w:r>
          </w:p>
        </w:tc>
        <w:tc>
          <w:tcPr>
            <w:tcW w:w="1134" w:type="dxa"/>
            <w:tcBorders>
              <w:top w:val="nil"/>
              <w:left w:val="nil"/>
              <w:right w:val="nil"/>
            </w:tcBorders>
            <w:shd w:val="clear" w:color="000000" w:fill="FFFFFF"/>
          </w:tcPr>
          <w:p w14:paraId="3A8346A7" w14:textId="77777777" w:rsidR="00807F37" w:rsidRPr="009361EA" w:rsidRDefault="00807F37" w:rsidP="00B849AD">
            <w:pPr>
              <w:tabs>
                <w:tab w:val="left" w:pos="-437"/>
              </w:tabs>
              <w:suppressAutoHyphens/>
              <w:jc w:val="center"/>
              <w:rPr>
                <w:spacing w:val="-3"/>
                <w:lang w:val="en-US"/>
              </w:rPr>
            </w:pPr>
            <w:r w:rsidRPr="009361EA">
              <w:rPr>
                <w:spacing w:val="-3"/>
                <w:lang w:val="en-US"/>
              </w:rPr>
              <w:t>26.50</w:t>
            </w:r>
          </w:p>
        </w:tc>
        <w:tc>
          <w:tcPr>
            <w:tcW w:w="1134" w:type="dxa"/>
            <w:tcBorders>
              <w:top w:val="nil"/>
              <w:left w:val="nil"/>
              <w:right w:val="nil"/>
            </w:tcBorders>
            <w:shd w:val="clear" w:color="000000" w:fill="FFFFFF"/>
          </w:tcPr>
          <w:p w14:paraId="593A4AE9" w14:textId="77777777" w:rsidR="00807F37" w:rsidRPr="009361EA" w:rsidRDefault="00807F37" w:rsidP="00B849AD">
            <w:pPr>
              <w:tabs>
                <w:tab w:val="left" w:pos="-437"/>
              </w:tabs>
              <w:suppressAutoHyphens/>
              <w:jc w:val="center"/>
              <w:rPr>
                <w:spacing w:val="-3"/>
                <w:lang w:val="en-US"/>
              </w:rPr>
            </w:pPr>
            <w:r w:rsidRPr="009361EA">
              <w:rPr>
                <w:spacing w:val="-3"/>
                <w:lang w:val="en-US"/>
              </w:rPr>
              <w:t>29.00</w:t>
            </w:r>
          </w:p>
        </w:tc>
        <w:tc>
          <w:tcPr>
            <w:tcW w:w="1134" w:type="dxa"/>
            <w:tcBorders>
              <w:top w:val="nil"/>
              <w:left w:val="nil"/>
              <w:right w:val="nil"/>
            </w:tcBorders>
            <w:shd w:val="clear" w:color="000000" w:fill="FFFFFF"/>
          </w:tcPr>
          <w:p w14:paraId="2C58A91C" w14:textId="77777777" w:rsidR="00807F37" w:rsidRPr="009361EA" w:rsidRDefault="00807F37" w:rsidP="00B849AD">
            <w:pPr>
              <w:tabs>
                <w:tab w:val="left" w:pos="-437"/>
              </w:tabs>
              <w:suppressAutoHyphens/>
              <w:jc w:val="center"/>
              <w:rPr>
                <w:spacing w:val="-3"/>
                <w:lang w:val="en-US"/>
              </w:rPr>
            </w:pPr>
            <w:r w:rsidRPr="009361EA">
              <w:rPr>
                <w:spacing w:val="-3"/>
                <w:lang w:val="en-US"/>
              </w:rPr>
              <w:t>24.00</w:t>
            </w:r>
          </w:p>
        </w:tc>
        <w:tc>
          <w:tcPr>
            <w:tcW w:w="852" w:type="dxa"/>
            <w:tcBorders>
              <w:top w:val="nil"/>
              <w:left w:val="nil"/>
              <w:right w:val="nil"/>
            </w:tcBorders>
            <w:shd w:val="clear" w:color="000000" w:fill="FFFFFF"/>
          </w:tcPr>
          <w:p w14:paraId="605C5031" w14:textId="77777777" w:rsidR="00807F37" w:rsidRPr="009361EA" w:rsidRDefault="00807F37" w:rsidP="00B849AD">
            <w:pPr>
              <w:tabs>
                <w:tab w:val="left" w:pos="-437"/>
              </w:tabs>
              <w:suppressAutoHyphens/>
              <w:jc w:val="center"/>
              <w:rPr>
                <w:spacing w:val="-3"/>
                <w:lang w:val="en-US"/>
              </w:rPr>
            </w:pPr>
            <w:r w:rsidRPr="009361EA">
              <w:rPr>
                <w:spacing w:val="-3"/>
                <w:lang w:val="en-US"/>
              </w:rPr>
              <w:t>37.00</w:t>
            </w:r>
          </w:p>
        </w:tc>
        <w:tc>
          <w:tcPr>
            <w:tcW w:w="1134" w:type="dxa"/>
            <w:tcBorders>
              <w:top w:val="nil"/>
              <w:left w:val="nil"/>
              <w:right w:val="nil"/>
            </w:tcBorders>
            <w:shd w:val="clear" w:color="000000" w:fill="FFFFFF"/>
          </w:tcPr>
          <w:p w14:paraId="507D4A68" w14:textId="77777777" w:rsidR="00807F37" w:rsidRPr="009361EA" w:rsidRDefault="00807F37" w:rsidP="00B849AD">
            <w:pPr>
              <w:tabs>
                <w:tab w:val="left" w:pos="-437"/>
              </w:tabs>
              <w:suppressAutoHyphens/>
              <w:jc w:val="center"/>
              <w:rPr>
                <w:spacing w:val="-3"/>
                <w:lang w:val="en-US"/>
              </w:rPr>
            </w:pPr>
            <w:r w:rsidRPr="009361EA">
              <w:rPr>
                <w:spacing w:val="-3"/>
                <w:lang w:val="en-US"/>
              </w:rPr>
              <w:t>35.50</w:t>
            </w:r>
          </w:p>
        </w:tc>
        <w:tc>
          <w:tcPr>
            <w:tcW w:w="992" w:type="dxa"/>
            <w:tcBorders>
              <w:top w:val="nil"/>
              <w:left w:val="nil"/>
              <w:right w:val="nil"/>
            </w:tcBorders>
            <w:shd w:val="clear" w:color="000000" w:fill="FFFFFF"/>
          </w:tcPr>
          <w:p w14:paraId="719C531E" w14:textId="77777777" w:rsidR="00807F37" w:rsidRPr="009361EA" w:rsidRDefault="00807F37" w:rsidP="00B849AD">
            <w:pPr>
              <w:tabs>
                <w:tab w:val="left" w:pos="-437"/>
              </w:tabs>
              <w:suppressAutoHyphens/>
              <w:jc w:val="center"/>
              <w:rPr>
                <w:spacing w:val="-3"/>
                <w:lang w:val="en-US"/>
              </w:rPr>
            </w:pPr>
            <w:r w:rsidRPr="009361EA">
              <w:rPr>
                <w:spacing w:val="-3"/>
                <w:lang w:val="en-US"/>
              </w:rPr>
              <w:t>25.50</w:t>
            </w:r>
          </w:p>
        </w:tc>
      </w:tr>
      <w:tr w:rsidR="00807F37" w:rsidRPr="009361EA" w14:paraId="639C6FB3" w14:textId="77777777" w:rsidTr="00B849AD">
        <w:trPr>
          <w:jc w:val="center"/>
        </w:trPr>
        <w:tc>
          <w:tcPr>
            <w:tcW w:w="1559" w:type="dxa"/>
            <w:tcBorders>
              <w:top w:val="nil"/>
              <w:left w:val="nil"/>
              <w:bottom w:val="single" w:sz="4" w:space="0" w:color="auto"/>
              <w:right w:val="nil"/>
            </w:tcBorders>
            <w:shd w:val="clear" w:color="000000" w:fill="FFFFFF"/>
          </w:tcPr>
          <w:p w14:paraId="0FF44BAE" w14:textId="77777777" w:rsidR="00807F37" w:rsidRPr="00FE0EEB" w:rsidRDefault="00807F37" w:rsidP="00B849AD">
            <w:pPr>
              <w:tabs>
                <w:tab w:val="left" w:pos="-437"/>
              </w:tabs>
              <w:suppressAutoHyphens/>
              <w:jc w:val="left"/>
              <w:rPr>
                <w:spacing w:val="-3"/>
                <w:sz w:val="22"/>
                <w:lang w:val="en-US"/>
              </w:rPr>
            </w:pPr>
            <w:r w:rsidRPr="00FE0EEB">
              <w:rPr>
                <w:spacing w:val="-3"/>
                <w:sz w:val="22"/>
                <w:lang w:val="en-US"/>
              </w:rPr>
              <w:t>Other</w:t>
            </w:r>
          </w:p>
        </w:tc>
        <w:tc>
          <w:tcPr>
            <w:tcW w:w="850" w:type="dxa"/>
            <w:tcBorders>
              <w:top w:val="nil"/>
              <w:left w:val="nil"/>
              <w:bottom w:val="single" w:sz="4" w:space="0" w:color="auto"/>
              <w:right w:val="nil"/>
            </w:tcBorders>
            <w:shd w:val="clear" w:color="000000" w:fill="FFFFFF"/>
          </w:tcPr>
          <w:p w14:paraId="2A080F81" w14:textId="77777777" w:rsidR="00807F37" w:rsidRPr="009361EA" w:rsidRDefault="00807F37" w:rsidP="00B849AD">
            <w:pPr>
              <w:tabs>
                <w:tab w:val="left" w:pos="-437"/>
              </w:tabs>
              <w:suppressAutoHyphens/>
              <w:jc w:val="center"/>
              <w:rPr>
                <w:spacing w:val="-3"/>
                <w:lang w:val="en-US"/>
              </w:rPr>
            </w:pPr>
            <w:r w:rsidRPr="009361EA">
              <w:rPr>
                <w:spacing w:val="-3"/>
                <w:lang w:val="en-US"/>
              </w:rPr>
              <w:t>%</w:t>
            </w:r>
            <w:proofErr w:type="spellStart"/>
            <w:r w:rsidRPr="009361EA">
              <w:rPr>
                <w:spacing w:val="-3"/>
                <w:lang w:val="en-US"/>
              </w:rPr>
              <w:t>dw</w:t>
            </w:r>
            <w:proofErr w:type="spellEnd"/>
          </w:p>
        </w:tc>
        <w:tc>
          <w:tcPr>
            <w:tcW w:w="1134" w:type="dxa"/>
            <w:tcBorders>
              <w:top w:val="nil"/>
              <w:left w:val="nil"/>
              <w:bottom w:val="single" w:sz="4" w:space="0" w:color="auto"/>
              <w:right w:val="nil"/>
            </w:tcBorders>
            <w:shd w:val="clear" w:color="000000" w:fill="FFFFFF"/>
          </w:tcPr>
          <w:p w14:paraId="124791AC" w14:textId="77777777" w:rsidR="00807F37" w:rsidRPr="009361EA" w:rsidRDefault="00807F37" w:rsidP="00B849AD">
            <w:pPr>
              <w:tabs>
                <w:tab w:val="left" w:pos="-437"/>
              </w:tabs>
              <w:suppressAutoHyphens/>
              <w:jc w:val="center"/>
              <w:rPr>
                <w:spacing w:val="-3"/>
                <w:lang w:val="en-US"/>
              </w:rPr>
            </w:pPr>
            <w:r w:rsidRPr="009361EA">
              <w:rPr>
                <w:spacing w:val="-3"/>
                <w:lang w:val="en-US"/>
              </w:rPr>
              <w:t>10.50</w:t>
            </w:r>
          </w:p>
        </w:tc>
        <w:tc>
          <w:tcPr>
            <w:tcW w:w="1134" w:type="dxa"/>
            <w:tcBorders>
              <w:top w:val="nil"/>
              <w:left w:val="nil"/>
              <w:bottom w:val="single" w:sz="4" w:space="0" w:color="auto"/>
              <w:right w:val="nil"/>
            </w:tcBorders>
            <w:shd w:val="clear" w:color="000000" w:fill="FFFFFF"/>
          </w:tcPr>
          <w:p w14:paraId="5EAC23BD" w14:textId="77777777" w:rsidR="00807F37" w:rsidRPr="009361EA" w:rsidRDefault="00807F37" w:rsidP="00B849AD">
            <w:pPr>
              <w:tabs>
                <w:tab w:val="left" w:pos="-437"/>
              </w:tabs>
              <w:suppressAutoHyphens/>
              <w:jc w:val="center"/>
              <w:rPr>
                <w:spacing w:val="-3"/>
                <w:lang w:val="en-US"/>
              </w:rPr>
            </w:pPr>
            <w:r w:rsidRPr="009361EA">
              <w:rPr>
                <w:spacing w:val="-3"/>
                <w:lang w:val="en-US"/>
              </w:rPr>
              <w:t>3.30</w:t>
            </w:r>
          </w:p>
        </w:tc>
        <w:tc>
          <w:tcPr>
            <w:tcW w:w="1134" w:type="dxa"/>
            <w:tcBorders>
              <w:top w:val="nil"/>
              <w:left w:val="nil"/>
              <w:bottom w:val="single" w:sz="4" w:space="0" w:color="auto"/>
              <w:right w:val="nil"/>
            </w:tcBorders>
            <w:shd w:val="clear" w:color="000000" w:fill="FFFFFF"/>
          </w:tcPr>
          <w:p w14:paraId="0CE3E29A" w14:textId="77777777" w:rsidR="00807F37" w:rsidRPr="009361EA" w:rsidRDefault="00807F37" w:rsidP="00B849AD">
            <w:pPr>
              <w:tabs>
                <w:tab w:val="left" w:pos="-437"/>
              </w:tabs>
              <w:suppressAutoHyphens/>
              <w:jc w:val="center"/>
              <w:rPr>
                <w:spacing w:val="-3"/>
                <w:lang w:val="en-US"/>
              </w:rPr>
            </w:pPr>
            <w:r w:rsidRPr="009361EA">
              <w:rPr>
                <w:spacing w:val="-3"/>
                <w:lang w:val="en-US"/>
              </w:rPr>
              <w:t>13.00</w:t>
            </w:r>
          </w:p>
        </w:tc>
        <w:tc>
          <w:tcPr>
            <w:tcW w:w="1134" w:type="dxa"/>
            <w:tcBorders>
              <w:top w:val="nil"/>
              <w:left w:val="nil"/>
              <w:bottom w:val="single" w:sz="4" w:space="0" w:color="auto"/>
              <w:right w:val="nil"/>
            </w:tcBorders>
            <w:shd w:val="clear" w:color="000000" w:fill="FFFFFF"/>
          </w:tcPr>
          <w:p w14:paraId="1D78F8BA" w14:textId="77777777" w:rsidR="00807F37" w:rsidRPr="009361EA" w:rsidRDefault="00807F37" w:rsidP="00B849AD">
            <w:pPr>
              <w:tabs>
                <w:tab w:val="left" w:pos="-437"/>
              </w:tabs>
              <w:suppressAutoHyphens/>
              <w:jc w:val="center"/>
              <w:rPr>
                <w:spacing w:val="-3"/>
                <w:lang w:val="en-US"/>
              </w:rPr>
            </w:pPr>
            <w:r w:rsidRPr="009361EA">
              <w:rPr>
                <w:spacing w:val="-3"/>
                <w:lang w:val="en-US"/>
              </w:rPr>
              <w:t>8.00</w:t>
            </w:r>
          </w:p>
        </w:tc>
        <w:tc>
          <w:tcPr>
            <w:tcW w:w="852" w:type="dxa"/>
            <w:tcBorders>
              <w:top w:val="nil"/>
              <w:left w:val="nil"/>
              <w:bottom w:val="single" w:sz="4" w:space="0" w:color="auto"/>
              <w:right w:val="nil"/>
            </w:tcBorders>
            <w:shd w:val="clear" w:color="000000" w:fill="FFFFFF"/>
          </w:tcPr>
          <w:p w14:paraId="44EAB5B0" w14:textId="77777777" w:rsidR="00807F37" w:rsidRPr="009361EA" w:rsidRDefault="00807F37" w:rsidP="00B849AD">
            <w:pPr>
              <w:tabs>
                <w:tab w:val="left" w:pos="-437"/>
              </w:tabs>
              <w:suppressAutoHyphens/>
              <w:jc w:val="center"/>
              <w:rPr>
                <w:spacing w:val="-3"/>
                <w:lang w:val="en-US"/>
              </w:rPr>
            </w:pPr>
            <w:r w:rsidRPr="009361EA">
              <w:rPr>
                <w:spacing w:val="-3"/>
                <w:lang w:val="en-US"/>
              </w:rPr>
              <w:t>1.00</w:t>
            </w:r>
          </w:p>
        </w:tc>
        <w:tc>
          <w:tcPr>
            <w:tcW w:w="1134" w:type="dxa"/>
            <w:tcBorders>
              <w:top w:val="nil"/>
              <w:left w:val="nil"/>
              <w:bottom w:val="single" w:sz="4" w:space="0" w:color="auto"/>
              <w:right w:val="nil"/>
            </w:tcBorders>
            <w:shd w:val="clear" w:color="000000" w:fill="FFFFFF"/>
          </w:tcPr>
          <w:p w14:paraId="7B48EAAA" w14:textId="77777777" w:rsidR="00807F37" w:rsidRPr="009361EA" w:rsidRDefault="00807F37" w:rsidP="00B849AD">
            <w:pPr>
              <w:tabs>
                <w:tab w:val="left" w:pos="-437"/>
              </w:tabs>
              <w:suppressAutoHyphens/>
              <w:jc w:val="center"/>
              <w:rPr>
                <w:spacing w:val="-3"/>
                <w:lang w:val="en-US"/>
              </w:rPr>
            </w:pPr>
            <w:r w:rsidRPr="009361EA">
              <w:rPr>
                <w:spacing w:val="-3"/>
                <w:lang w:val="en-US"/>
              </w:rPr>
              <w:t>5.50</w:t>
            </w:r>
          </w:p>
        </w:tc>
        <w:tc>
          <w:tcPr>
            <w:tcW w:w="992" w:type="dxa"/>
            <w:tcBorders>
              <w:top w:val="nil"/>
              <w:left w:val="nil"/>
              <w:bottom w:val="single" w:sz="4" w:space="0" w:color="auto"/>
              <w:right w:val="nil"/>
            </w:tcBorders>
            <w:shd w:val="clear" w:color="000000" w:fill="FFFFFF"/>
          </w:tcPr>
          <w:p w14:paraId="375F71C5" w14:textId="77777777" w:rsidR="00807F37" w:rsidRPr="009361EA" w:rsidRDefault="00807F37" w:rsidP="00B849AD">
            <w:pPr>
              <w:tabs>
                <w:tab w:val="left" w:pos="-437"/>
              </w:tabs>
              <w:suppressAutoHyphens/>
              <w:jc w:val="center"/>
              <w:rPr>
                <w:spacing w:val="-3"/>
                <w:lang w:val="en-US"/>
              </w:rPr>
            </w:pPr>
            <w:r w:rsidRPr="009361EA">
              <w:rPr>
                <w:spacing w:val="-3"/>
                <w:lang w:val="en-US"/>
              </w:rPr>
              <w:t>23.00</w:t>
            </w:r>
          </w:p>
        </w:tc>
      </w:tr>
      <w:tr w:rsidR="00807F37" w:rsidRPr="009361EA" w14:paraId="6560A5B8" w14:textId="77777777" w:rsidTr="00B849AD">
        <w:trPr>
          <w:jc w:val="center"/>
        </w:trPr>
        <w:tc>
          <w:tcPr>
            <w:tcW w:w="9923" w:type="dxa"/>
            <w:gridSpan w:val="9"/>
            <w:tcBorders>
              <w:top w:val="single" w:sz="4" w:space="0" w:color="auto"/>
              <w:left w:val="nil"/>
              <w:bottom w:val="single" w:sz="4" w:space="0" w:color="auto"/>
              <w:right w:val="nil"/>
            </w:tcBorders>
          </w:tcPr>
          <w:p w14:paraId="03761DC4" w14:textId="77777777" w:rsidR="00807F37" w:rsidRPr="003F1F19" w:rsidRDefault="00807F37" w:rsidP="00B849AD">
            <w:pPr>
              <w:tabs>
                <w:tab w:val="left" w:pos="-437"/>
              </w:tabs>
              <w:suppressAutoHyphens/>
              <w:jc w:val="center"/>
              <w:rPr>
                <w:b/>
                <w:spacing w:val="-3"/>
                <w:sz w:val="22"/>
                <w:lang w:val="en-US"/>
              </w:rPr>
            </w:pPr>
            <w:r w:rsidRPr="003F1F19">
              <w:rPr>
                <w:b/>
                <w:spacing w:val="-3"/>
                <w:sz w:val="20"/>
                <w:lang w:val="en-US"/>
              </w:rPr>
              <w:t>Elemental Analysis</w:t>
            </w:r>
          </w:p>
        </w:tc>
      </w:tr>
      <w:tr w:rsidR="00807F37" w:rsidRPr="009361EA" w14:paraId="43A028EF" w14:textId="77777777" w:rsidTr="00B849AD">
        <w:trPr>
          <w:jc w:val="center"/>
        </w:trPr>
        <w:tc>
          <w:tcPr>
            <w:tcW w:w="1559" w:type="dxa"/>
            <w:tcBorders>
              <w:top w:val="nil"/>
              <w:left w:val="nil"/>
              <w:bottom w:val="nil"/>
              <w:right w:val="nil"/>
            </w:tcBorders>
            <w:shd w:val="clear" w:color="000000" w:fill="FFFFFF"/>
          </w:tcPr>
          <w:p w14:paraId="47C2628E" w14:textId="77777777" w:rsidR="00807F37" w:rsidRPr="00FE0EEB" w:rsidRDefault="00807F37" w:rsidP="00B849AD">
            <w:pPr>
              <w:tabs>
                <w:tab w:val="left" w:pos="-437"/>
              </w:tabs>
              <w:suppressAutoHyphens/>
              <w:jc w:val="center"/>
              <w:rPr>
                <w:spacing w:val="-3"/>
                <w:sz w:val="22"/>
                <w:lang w:val="en-US"/>
              </w:rPr>
            </w:pPr>
            <w:r w:rsidRPr="00FE0EEB">
              <w:rPr>
                <w:spacing w:val="-3"/>
                <w:sz w:val="22"/>
                <w:lang w:val="en-US"/>
              </w:rPr>
              <w:t>C</w:t>
            </w:r>
          </w:p>
        </w:tc>
        <w:tc>
          <w:tcPr>
            <w:tcW w:w="850" w:type="dxa"/>
            <w:tcBorders>
              <w:top w:val="nil"/>
              <w:left w:val="nil"/>
              <w:bottom w:val="nil"/>
              <w:right w:val="nil"/>
            </w:tcBorders>
            <w:shd w:val="clear" w:color="000000" w:fill="FFFFFF"/>
          </w:tcPr>
          <w:p w14:paraId="074BABD8" w14:textId="77777777" w:rsidR="00807F37" w:rsidRPr="009361EA" w:rsidRDefault="00807F37" w:rsidP="00B849AD">
            <w:pPr>
              <w:tabs>
                <w:tab w:val="left" w:pos="-437"/>
              </w:tabs>
              <w:suppressAutoHyphens/>
              <w:jc w:val="center"/>
              <w:rPr>
                <w:spacing w:val="-3"/>
                <w:lang w:val="en-US"/>
              </w:rPr>
            </w:pPr>
            <w:r w:rsidRPr="009361EA">
              <w:rPr>
                <w:spacing w:val="-3"/>
                <w:lang w:val="en-US"/>
              </w:rPr>
              <w:t>%daf</w:t>
            </w:r>
            <w:r>
              <w:rPr>
                <w:spacing w:val="-3"/>
                <w:vertAlign w:val="superscript"/>
                <w:lang w:val="en-US"/>
              </w:rPr>
              <w:t>1</w:t>
            </w:r>
          </w:p>
        </w:tc>
        <w:tc>
          <w:tcPr>
            <w:tcW w:w="1134" w:type="dxa"/>
            <w:tcBorders>
              <w:top w:val="nil"/>
              <w:left w:val="nil"/>
              <w:bottom w:val="nil"/>
              <w:right w:val="nil"/>
            </w:tcBorders>
            <w:shd w:val="clear" w:color="000000" w:fill="FFFFFF"/>
          </w:tcPr>
          <w:p w14:paraId="7D0C312A" w14:textId="77777777" w:rsidR="00807F37" w:rsidRPr="009361EA" w:rsidRDefault="00807F37" w:rsidP="00B849AD">
            <w:pPr>
              <w:tabs>
                <w:tab w:val="left" w:pos="-437"/>
              </w:tabs>
              <w:suppressAutoHyphens/>
              <w:jc w:val="center"/>
              <w:rPr>
                <w:spacing w:val="-3"/>
                <w:lang w:val="en-US"/>
              </w:rPr>
            </w:pPr>
            <w:r w:rsidRPr="009361EA">
              <w:rPr>
                <w:spacing w:val="-3"/>
                <w:lang w:val="en-US"/>
              </w:rPr>
              <w:t>50.50</w:t>
            </w:r>
          </w:p>
        </w:tc>
        <w:tc>
          <w:tcPr>
            <w:tcW w:w="1134" w:type="dxa"/>
            <w:tcBorders>
              <w:top w:val="nil"/>
              <w:left w:val="nil"/>
              <w:bottom w:val="nil"/>
              <w:right w:val="nil"/>
            </w:tcBorders>
            <w:shd w:val="clear" w:color="000000" w:fill="FFFFFF"/>
          </w:tcPr>
          <w:p w14:paraId="57C72532" w14:textId="77777777" w:rsidR="00807F37" w:rsidRPr="009361EA" w:rsidRDefault="00807F37" w:rsidP="00B849AD">
            <w:pPr>
              <w:tabs>
                <w:tab w:val="left" w:pos="-437"/>
              </w:tabs>
              <w:suppressAutoHyphens/>
              <w:jc w:val="center"/>
              <w:rPr>
                <w:spacing w:val="-3"/>
                <w:lang w:val="en-US"/>
              </w:rPr>
            </w:pPr>
            <w:r w:rsidRPr="009361EA">
              <w:rPr>
                <w:spacing w:val="-3"/>
                <w:lang w:val="en-US"/>
              </w:rPr>
              <w:t>52.20</w:t>
            </w:r>
          </w:p>
        </w:tc>
        <w:tc>
          <w:tcPr>
            <w:tcW w:w="1134" w:type="dxa"/>
            <w:tcBorders>
              <w:top w:val="nil"/>
              <w:left w:val="nil"/>
              <w:bottom w:val="nil"/>
              <w:right w:val="nil"/>
            </w:tcBorders>
            <w:shd w:val="clear" w:color="000000" w:fill="FFFFFF"/>
          </w:tcPr>
          <w:p w14:paraId="0DEAE2A2" w14:textId="77777777" w:rsidR="00807F37" w:rsidRPr="009361EA" w:rsidRDefault="00807F37" w:rsidP="00B849AD">
            <w:pPr>
              <w:tabs>
                <w:tab w:val="left" w:pos="-437"/>
              </w:tabs>
              <w:suppressAutoHyphens/>
              <w:jc w:val="center"/>
              <w:rPr>
                <w:spacing w:val="-3"/>
                <w:lang w:val="en-US"/>
              </w:rPr>
            </w:pPr>
            <w:r w:rsidRPr="009361EA">
              <w:rPr>
                <w:spacing w:val="-3"/>
                <w:lang w:val="en-US"/>
              </w:rPr>
              <w:t>49.50</w:t>
            </w:r>
          </w:p>
        </w:tc>
        <w:tc>
          <w:tcPr>
            <w:tcW w:w="1134" w:type="dxa"/>
            <w:tcBorders>
              <w:top w:val="nil"/>
              <w:left w:val="nil"/>
              <w:bottom w:val="nil"/>
              <w:right w:val="nil"/>
            </w:tcBorders>
            <w:shd w:val="clear" w:color="000000" w:fill="FFFFFF"/>
          </w:tcPr>
          <w:p w14:paraId="070510CF" w14:textId="77777777" w:rsidR="00807F37" w:rsidRPr="009361EA" w:rsidRDefault="00807F37" w:rsidP="00B849AD">
            <w:pPr>
              <w:tabs>
                <w:tab w:val="left" w:pos="-437"/>
              </w:tabs>
              <w:suppressAutoHyphens/>
              <w:jc w:val="center"/>
              <w:rPr>
                <w:spacing w:val="-3"/>
                <w:lang w:val="en-US"/>
              </w:rPr>
            </w:pPr>
            <w:r w:rsidRPr="009361EA">
              <w:rPr>
                <w:spacing w:val="-3"/>
                <w:lang w:val="en-US"/>
              </w:rPr>
              <w:t>48.50</w:t>
            </w:r>
          </w:p>
        </w:tc>
        <w:tc>
          <w:tcPr>
            <w:tcW w:w="852" w:type="dxa"/>
            <w:tcBorders>
              <w:top w:val="nil"/>
              <w:left w:val="nil"/>
              <w:bottom w:val="nil"/>
              <w:right w:val="nil"/>
            </w:tcBorders>
            <w:shd w:val="clear" w:color="000000" w:fill="FFFFFF"/>
          </w:tcPr>
          <w:p w14:paraId="68629243" w14:textId="77777777" w:rsidR="00807F37" w:rsidRPr="009361EA" w:rsidRDefault="00807F37" w:rsidP="00B849AD">
            <w:pPr>
              <w:tabs>
                <w:tab w:val="left" w:pos="-437"/>
              </w:tabs>
              <w:suppressAutoHyphens/>
              <w:jc w:val="center"/>
              <w:rPr>
                <w:spacing w:val="-3"/>
                <w:lang w:val="en-US"/>
              </w:rPr>
            </w:pPr>
            <w:r w:rsidRPr="009361EA">
              <w:rPr>
                <w:spacing w:val="-3"/>
                <w:lang w:val="en-US"/>
              </w:rPr>
              <w:t>49.00</w:t>
            </w:r>
          </w:p>
        </w:tc>
        <w:tc>
          <w:tcPr>
            <w:tcW w:w="1134" w:type="dxa"/>
            <w:tcBorders>
              <w:top w:val="nil"/>
              <w:left w:val="nil"/>
              <w:bottom w:val="nil"/>
              <w:right w:val="nil"/>
            </w:tcBorders>
            <w:shd w:val="clear" w:color="000000" w:fill="FFFFFF"/>
          </w:tcPr>
          <w:p w14:paraId="289215F8" w14:textId="77777777" w:rsidR="00807F37" w:rsidRPr="009361EA" w:rsidRDefault="00807F37" w:rsidP="00B849AD">
            <w:pPr>
              <w:tabs>
                <w:tab w:val="left" w:pos="-437"/>
              </w:tabs>
              <w:suppressAutoHyphens/>
              <w:jc w:val="center"/>
              <w:rPr>
                <w:spacing w:val="-3"/>
                <w:lang w:val="en-US"/>
              </w:rPr>
            </w:pPr>
            <w:r w:rsidRPr="009361EA">
              <w:rPr>
                <w:spacing w:val="-3"/>
                <w:lang w:val="en-US"/>
              </w:rPr>
              <w:t>49.60</w:t>
            </w:r>
          </w:p>
        </w:tc>
        <w:tc>
          <w:tcPr>
            <w:tcW w:w="992" w:type="dxa"/>
            <w:tcBorders>
              <w:top w:val="nil"/>
              <w:left w:val="nil"/>
              <w:bottom w:val="nil"/>
              <w:right w:val="nil"/>
            </w:tcBorders>
            <w:shd w:val="clear" w:color="000000" w:fill="FFFFFF"/>
          </w:tcPr>
          <w:p w14:paraId="076187B7" w14:textId="77777777" w:rsidR="00807F37" w:rsidRPr="009361EA" w:rsidRDefault="00807F37" w:rsidP="00B849AD">
            <w:pPr>
              <w:tabs>
                <w:tab w:val="left" w:pos="-437"/>
              </w:tabs>
              <w:suppressAutoHyphens/>
              <w:jc w:val="center"/>
              <w:rPr>
                <w:spacing w:val="-3"/>
                <w:lang w:val="en-US"/>
              </w:rPr>
            </w:pPr>
            <w:r w:rsidRPr="009361EA">
              <w:rPr>
                <w:spacing w:val="-3"/>
                <w:lang w:val="en-US"/>
              </w:rPr>
              <w:t>47.10</w:t>
            </w:r>
          </w:p>
        </w:tc>
      </w:tr>
      <w:tr w:rsidR="00807F37" w:rsidRPr="009361EA" w14:paraId="3DBAE74D" w14:textId="77777777" w:rsidTr="00B849AD">
        <w:trPr>
          <w:jc w:val="center"/>
        </w:trPr>
        <w:tc>
          <w:tcPr>
            <w:tcW w:w="1559" w:type="dxa"/>
            <w:tcBorders>
              <w:top w:val="nil"/>
              <w:left w:val="nil"/>
              <w:bottom w:val="nil"/>
              <w:right w:val="nil"/>
            </w:tcBorders>
            <w:shd w:val="clear" w:color="000000" w:fill="FFFFFF"/>
          </w:tcPr>
          <w:p w14:paraId="724F2E2A" w14:textId="77777777" w:rsidR="00807F37" w:rsidRPr="00FE0EEB" w:rsidRDefault="00807F37" w:rsidP="00B849AD">
            <w:pPr>
              <w:tabs>
                <w:tab w:val="left" w:pos="-437"/>
              </w:tabs>
              <w:suppressAutoHyphens/>
              <w:jc w:val="center"/>
              <w:rPr>
                <w:spacing w:val="-3"/>
                <w:sz w:val="22"/>
                <w:lang w:val="en-US"/>
              </w:rPr>
            </w:pPr>
            <w:r w:rsidRPr="00FE0EEB">
              <w:rPr>
                <w:spacing w:val="-3"/>
                <w:sz w:val="22"/>
                <w:lang w:val="en-US"/>
              </w:rPr>
              <w:t>H</w:t>
            </w:r>
          </w:p>
        </w:tc>
        <w:tc>
          <w:tcPr>
            <w:tcW w:w="850" w:type="dxa"/>
            <w:tcBorders>
              <w:top w:val="nil"/>
              <w:left w:val="nil"/>
              <w:bottom w:val="nil"/>
              <w:right w:val="nil"/>
            </w:tcBorders>
            <w:shd w:val="clear" w:color="000000" w:fill="FFFFFF"/>
          </w:tcPr>
          <w:p w14:paraId="62AAFD30" w14:textId="77777777" w:rsidR="00807F37" w:rsidRPr="009361EA" w:rsidRDefault="00807F37" w:rsidP="00B849AD">
            <w:pPr>
              <w:tabs>
                <w:tab w:val="left" w:pos="-437"/>
              </w:tabs>
              <w:suppressAutoHyphens/>
              <w:jc w:val="center"/>
              <w:rPr>
                <w:spacing w:val="-3"/>
                <w:lang w:val="en-US"/>
              </w:rPr>
            </w:pPr>
            <w:r w:rsidRPr="009361EA">
              <w:rPr>
                <w:spacing w:val="-3"/>
                <w:lang w:val="en-US"/>
              </w:rPr>
              <w:t>%</w:t>
            </w:r>
            <w:proofErr w:type="spellStart"/>
            <w:r w:rsidRPr="009361EA">
              <w:rPr>
                <w:spacing w:val="-3"/>
                <w:lang w:val="en-US"/>
              </w:rPr>
              <w:t>daf</w:t>
            </w:r>
            <w:proofErr w:type="spellEnd"/>
          </w:p>
        </w:tc>
        <w:tc>
          <w:tcPr>
            <w:tcW w:w="1134" w:type="dxa"/>
            <w:tcBorders>
              <w:top w:val="nil"/>
              <w:left w:val="nil"/>
              <w:bottom w:val="nil"/>
              <w:right w:val="nil"/>
            </w:tcBorders>
            <w:shd w:val="clear" w:color="000000" w:fill="FFFFFF"/>
          </w:tcPr>
          <w:p w14:paraId="54C0050F" w14:textId="77777777" w:rsidR="00807F37" w:rsidRPr="009361EA" w:rsidRDefault="00807F37" w:rsidP="00B849AD">
            <w:pPr>
              <w:tabs>
                <w:tab w:val="left" w:pos="-437"/>
              </w:tabs>
              <w:suppressAutoHyphens/>
              <w:jc w:val="center"/>
              <w:rPr>
                <w:spacing w:val="-3"/>
                <w:lang w:val="en-US"/>
              </w:rPr>
            </w:pPr>
            <w:r w:rsidRPr="009361EA">
              <w:rPr>
                <w:spacing w:val="-3"/>
                <w:lang w:val="en-US"/>
              </w:rPr>
              <w:t>6.10</w:t>
            </w:r>
          </w:p>
        </w:tc>
        <w:tc>
          <w:tcPr>
            <w:tcW w:w="1134" w:type="dxa"/>
            <w:tcBorders>
              <w:top w:val="nil"/>
              <w:left w:val="nil"/>
              <w:bottom w:val="nil"/>
              <w:right w:val="nil"/>
            </w:tcBorders>
            <w:shd w:val="clear" w:color="000000" w:fill="FFFFFF"/>
          </w:tcPr>
          <w:p w14:paraId="658EFC7E" w14:textId="77777777" w:rsidR="00807F37" w:rsidRPr="009361EA" w:rsidRDefault="00807F37" w:rsidP="00B849AD">
            <w:pPr>
              <w:tabs>
                <w:tab w:val="left" w:pos="-437"/>
              </w:tabs>
              <w:suppressAutoHyphens/>
              <w:jc w:val="center"/>
              <w:rPr>
                <w:spacing w:val="-3"/>
                <w:lang w:val="en-US"/>
              </w:rPr>
            </w:pPr>
            <w:r w:rsidRPr="009361EA">
              <w:rPr>
                <w:spacing w:val="-3"/>
                <w:lang w:val="en-US"/>
              </w:rPr>
              <w:t>6.20</w:t>
            </w:r>
          </w:p>
        </w:tc>
        <w:tc>
          <w:tcPr>
            <w:tcW w:w="1134" w:type="dxa"/>
            <w:tcBorders>
              <w:top w:val="nil"/>
              <w:left w:val="nil"/>
              <w:bottom w:val="nil"/>
              <w:right w:val="nil"/>
            </w:tcBorders>
            <w:shd w:val="clear" w:color="000000" w:fill="FFFFFF"/>
          </w:tcPr>
          <w:p w14:paraId="39796B21" w14:textId="77777777" w:rsidR="00807F37" w:rsidRPr="009361EA" w:rsidRDefault="00807F37" w:rsidP="00B849AD">
            <w:pPr>
              <w:tabs>
                <w:tab w:val="left" w:pos="-437"/>
              </w:tabs>
              <w:suppressAutoHyphens/>
              <w:jc w:val="center"/>
              <w:rPr>
                <w:spacing w:val="-3"/>
                <w:lang w:val="en-US"/>
              </w:rPr>
            </w:pPr>
            <w:r w:rsidRPr="009361EA">
              <w:rPr>
                <w:spacing w:val="-3"/>
                <w:lang w:val="en-US"/>
              </w:rPr>
              <w:t>6.00</w:t>
            </w:r>
          </w:p>
        </w:tc>
        <w:tc>
          <w:tcPr>
            <w:tcW w:w="1134" w:type="dxa"/>
            <w:tcBorders>
              <w:top w:val="nil"/>
              <w:left w:val="nil"/>
              <w:bottom w:val="nil"/>
              <w:right w:val="nil"/>
            </w:tcBorders>
            <w:shd w:val="clear" w:color="000000" w:fill="FFFFFF"/>
          </w:tcPr>
          <w:p w14:paraId="020FA669" w14:textId="77777777" w:rsidR="00807F37" w:rsidRPr="009361EA" w:rsidRDefault="00807F37" w:rsidP="00B849AD">
            <w:pPr>
              <w:tabs>
                <w:tab w:val="left" w:pos="-437"/>
              </w:tabs>
              <w:suppressAutoHyphens/>
              <w:jc w:val="center"/>
              <w:rPr>
                <w:spacing w:val="-3"/>
                <w:lang w:val="en-US"/>
              </w:rPr>
            </w:pPr>
            <w:r w:rsidRPr="009361EA">
              <w:rPr>
                <w:spacing w:val="-3"/>
                <w:lang w:val="en-US"/>
              </w:rPr>
              <w:t>6.00</w:t>
            </w:r>
          </w:p>
        </w:tc>
        <w:tc>
          <w:tcPr>
            <w:tcW w:w="852" w:type="dxa"/>
            <w:tcBorders>
              <w:top w:val="nil"/>
              <w:left w:val="nil"/>
              <w:bottom w:val="nil"/>
              <w:right w:val="nil"/>
            </w:tcBorders>
            <w:shd w:val="clear" w:color="000000" w:fill="FFFFFF"/>
          </w:tcPr>
          <w:p w14:paraId="2D6FC052" w14:textId="77777777" w:rsidR="00807F37" w:rsidRPr="009361EA" w:rsidRDefault="00807F37" w:rsidP="00B849AD">
            <w:pPr>
              <w:tabs>
                <w:tab w:val="left" w:pos="-437"/>
              </w:tabs>
              <w:suppressAutoHyphens/>
              <w:jc w:val="center"/>
              <w:rPr>
                <w:spacing w:val="-3"/>
                <w:lang w:val="en-US"/>
              </w:rPr>
            </w:pPr>
            <w:r w:rsidRPr="009361EA">
              <w:rPr>
                <w:spacing w:val="-3"/>
                <w:lang w:val="en-US"/>
              </w:rPr>
              <w:t>6.00</w:t>
            </w:r>
          </w:p>
        </w:tc>
        <w:tc>
          <w:tcPr>
            <w:tcW w:w="1134" w:type="dxa"/>
            <w:tcBorders>
              <w:top w:val="nil"/>
              <w:left w:val="nil"/>
              <w:bottom w:val="nil"/>
              <w:right w:val="nil"/>
            </w:tcBorders>
            <w:shd w:val="clear" w:color="000000" w:fill="FFFFFF"/>
          </w:tcPr>
          <w:p w14:paraId="3331C9C8" w14:textId="77777777" w:rsidR="00807F37" w:rsidRPr="009361EA" w:rsidRDefault="00807F37" w:rsidP="00B849AD">
            <w:pPr>
              <w:tabs>
                <w:tab w:val="left" w:pos="-437"/>
              </w:tabs>
              <w:suppressAutoHyphens/>
              <w:jc w:val="center"/>
              <w:rPr>
                <w:spacing w:val="-3"/>
                <w:lang w:val="en-US"/>
              </w:rPr>
            </w:pPr>
            <w:r w:rsidRPr="009361EA">
              <w:rPr>
                <w:spacing w:val="-3"/>
                <w:lang w:val="en-US"/>
              </w:rPr>
              <w:t>6.00</w:t>
            </w:r>
          </w:p>
        </w:tc>
        <w:tc>
          <w:tcPr>
            <w:tcW w:w="992" w:type="dxa"/>
            <w:tcBorders>
              <w:top w:val="nil"/>
              <w:left w:val="nil"/>
              <w:bottom w:val="nil"/>
              <w:right w:val="nil"/>
            </w:tcBorders>
            <w:shd w:val="clear" w:color="000000" w:fill="FFFFFF"/>
          </w:tcPr>
          <w:p w14:paraId="1816CCC9" w14:textId="77777777" w:rsidR="00807F37" w:rsidRPr="009361EA" w:rsidRDefault="00807F37" w:rsidP="00B849AD">
            <w:pPr>
              <w:tabs>
                <w:tab w:val="left" w:pos="-437"/>
              </w:tabs>
              <w:suppressAutoHyphens/>
              <w:jc w:val="center"/>
              <w:rPr>
                <w:spacing w:val="-3"/>
                <w:lang w:val="en-US"/>
              </w:rPr>
            </w:pPr>
            <w:r w:rsidRPr="009361EA">
              <w:rPr>
                <w:spacing w:val="-3"/>
                <w:lang w:val="en-US"/>
              </w:rPr>
              <w:t>7.00</w:t>
            </w:r>
          </w:p>
        </w:tc>
      </w:tr>
      <w:tr w:rsidR="00807F37" w:rsidRPr="009361EA" w14:paraId="5324998A" w14:textId="77777777" w:rsidTr="00B849AD">
        <w:trPr>
          <w:jc w:val="center"/>
        </w:trPr>
        <w:tc>
          <w:tcPr>
            <w:tcW w:w="1559" w:type="dxa"/>
            <w:tcBorders>
              <w:top w:val="nil"/>
              <w:left w:val="nil"/>
              <w:bottom w:val="nil"/>
              <w:right w:val="nil"/>
            </w:tcBorders>
            <w:shd w:val="clear" w:color="000000" w:fill="FFFFFF"/>
          </w:tcPr>
          <w:p w14:paraId="46485C39" w14:textId="77777777" w:rsidR="00807F37" w:rsidRPr="00FE0EEB" w:rsidRDefault="00807F37" w:rsidP="00B849AD">
            <w:pPr>
              <w:tabs>
                <w:tab w:val="left" w:pos="-437"/>
              </w:tabs>
              <w:suppressAutoHyphens/>
              <w:jc w:val="center"/>
              <w:rPr>
                <w:spacing w:val="-3"/>
                <w:sz w:val="22"/>
                <w:lang w:val="en-US"/>
              </w:rPr>
            </w:pPr>
            <w:r w:rsidRPr="00FE0EEB">
              <w:rPr>
                <w:spacing w:val="-3"/>
                <w:sz w:val="22"/>
                <w:lang w:val="en-US"/>
              </w:rPr>
              <w:t>N</w:t>
            </w:r>
          </w:p>
        </w:tc>
        <w:tc>
          <w:tcPr>
            <w:tcW w:w="850" w:type="dxa"/>
            <w:tcBorders>
              <w:top w:val="nil"/>
              <w:left w:val="nil"/>
              <w:bottom w:val="nil"/>
              <w:right w:val="nil"/>
            </w:tcBorders>
            <w:shd w:val="clear" w:color="000000" w:fill="FFFFFF"/>
          </w:tcPr>
          <w:p w14:paraId="6106DC15" w14:textId="77777777" w:rsidR="00807F37" w:rsidRPr="009361EA" w:rsidRDefault="00807F37" w:rsidP="00B849AD">
            <w:pPr>
              <w:tabs>
                <w:tab w:val="left" w:pos="-437"/>
              </w:tabs>
              <w:suppressAutoHyphens/>
              <w:jc w:val="center"/>
              <w:rPr>
                <w:spacing w:val="-3"/>
                <w:lang w:val="en-US"/>
              </w:rPr>
            </w:pPr>
            <w:r w:rsidRPr="009361EA">
              <w:rPr>
                <w:spacing w:val="-3"/>
                <w:lang w:val="en-US"/>
              </w:rPr>
              <w:t>%</w:t>
            </w:r>
            <w:proofErr w:type="spellStart"/>
            <w:r w:rsidRPr="009361EA">
              <w:rPr>
                <w:spacing w:val="-3"/>
                <w:lang w:val="en-US"/>
              </w:rPr>
              <w:t>daf</w:t>
            </w:r>
            <w:proofErr w:type="spellEnd"/>
          </w:p>
        </w:tc>
        <w:tc>
          <w:tcPr>
            <w:tcW w:w="1134" w:type="dxa"/>
            <w:tcBorders>
              <w:top w:val="nil"/>
              <w:left w:val="nil"/>
              <w:bottom w:val="nil"/>
              <w:right w:val="nil"/>
            </w:tcBorders>
            <w:shd w:val="clear" w:color="000000" w:fill="FFFFFF"/>
          </w:tcPr>
          <w:p w14:paraId="5F36089D" w14:textId="77777777" w:rsidR="00807F37" w:rsidRPr="009361EA" w:rsidRDefault="00807F37" w:rsidP="00B849AD">
            <w:pPr>
              <w:tabs>
                <w:tab w:val="left" w:pos="-437"/>
              </w:tabs>
              <w:suppressAutoHyphens/>
              <w:jc w:val="center"/>
              <w:rPr>
                <w:spacing w:val="-3"/>
                <w:lang w:val="en-US"/>
              </w:rPr>
            </w:pPr>
            <w:r w:rsidRPr="009361EA">
              <w:rPr>
                <w:spacing w:val="-3"/>
                <w:lang w:val="en-US"/>
              </w:rPr>
              <w:t>0.30</w:t>
            </w:r>
          </w:p>
        </w:tc>
        <w:tc>
          <w:tcPr>
            <w:tcW w:w="1134" w:type="dxa"/>
            <w:tcBorders>
              <w:top w:val="nil"/>
              <w:left w:val="nil"/>
              <w:bottom w:val="nil"/>
              <w:right w:val="nil"/>
            </w:tcBorders>
            <w:shd w:val="clear" w:color="000000" w:fill="FFFFFF"/>
          </w:tcPr>
          <w:p w14:paraId="36F559F5" w14:textId="77777777" w:rsidR="00807F37" w:rsidRPr="009361EA" w:rsidRDefault="00807F37" w:rsidP="00B849AD">
            <w:pPr>
              <w:tabs>
                <w:tab w:val="left" w:pos="-437"/>
              </w:tabs>
              <w:suppressAutoHyphens/>
              <w:jc w:val="center"/>
              <w:rPr>
                <w:spacing w:val="-3"/>
                <w:lang w:val="en-US"/>
              </w:rPr>
            </w:pPr>
            <w:r w:rsidRPr="009361EA">
              <w:rPr>
                <w:spacing w:val="-3"/>
                <w:lang w:val="en-US"/>
              </w:rPr>
              <w:t>0.17</w:t>
            </w:r>
          </w:p>
        </w:tc>
        <w:tc>
          <w:tcPr>
            <w:tcW w:w="1134" w:type="dxa"/>
            <w:tcBorders>
              <w:top w:val="nil"/>
              <w:left w:val="nil"/>
              <w:bottom w:val="nil"/>
              <w:right w:val="nil"/>
            </w:tcBorders>
            <w:shd w:val="clear" w:color="000000" w:fill="FFFFFF"/>
          </w:tcPr>
          <w:p w14:paraId="7D88ED8F" w14:textId="77777777" w:rsidR="00807F37" w:rsidRPr="009361EA" w:rsidRDefault="00807F37" w:rsidP="00B849AD">
            <w:pPr>
              <w:tabs>
                <w:tab w:val="left" w:pos="-437"/>
              </w:tabs>
              <w:suppressAutoHyphens/>
              <w:jc w:val="center"/>
              <w:rPr>
                <w:spacing w:val="-3"/>
                <w:lang w:val="en-US"/>
              </w:rPr>
            </w:pPr>
            <w:r w:rsidRPr="009361EA">
              <w:rPr>
                <w:spacing w:val="-3"/>
                <w:lang w:val="en-US"/>
              </w:rPr>
              <w:t>0.75</w:t>
            </w:r>
          </w:p>
        </w:tc>
        <w:tc>
          <w:tcPr>
            <w:tcW w:w="1134" w:type="dxa"/>
            <w:tcBorders>
              <w:top w:val="nil"/>
              <w:left w:val="nil"/>
              <w:bottom w:val="nil"/>
              <w:right w:val="nil"/>
            </w:tcBorders>
            <w:shd w:val="clear" w:color="000000" w:fill="FFFFFF"/>
          </w:tcPr>
          <w:p w14:paraId="090E73D3" w14:textId="77777777" w:rsidR="00807F37" w:rsidRPr="009361EA" w:rsidRDefault="00807F37" w:rsidP="00B849AD">
            <w:pPr>
              <w:tabs>
                <w:tab w:val="left" w:pos="-437"/>
              </w:tabs>
              <w:suppressAutoHyphens/>
              <w:jc w:val="center"/>
              <w:rPr>
                <w:spacing w:val="-3"/>
                <w:lang w:val="en-US"/>
              </w:rPr>
            </w:pPr>
            <w:r w:rsidRPr="009361EA">
              <w:rPr>
                <w:spacing w:val="-3"/>
                <w:lang w:val="en-US"/>
              </w:rPr>
              <w:t>1.00</w:t>
            </w:r>
          </w:p>
        </w:tc>
        <w:tc>
          <w:tcPr>
            <w:tcW w:w="852" w:type="dxa"/>
            <w:tcBorders>
              <w:top w:val="nil"/>
              <w:left w:val="nil"/>
              <w:bottom w:val="nil"/>
              <w:right w:val="nil"/>
            </w:tcBorders>
            <w:shd w:val="clear" w:color="000000" w:fill="FFFFFF"/>
          </w:tcPr>
          <w:p w14:paraId="0A7E1649" w14:textId="77777777" w:rsidR="00807F37" w:rsidRPr="009361EA" w:rsidRDefault="00807F37" w:rsidP="00B849AD">
            <w:pPr>
              <w:tabs>
                <w:tab w:val="left" w:pos="-437"/>
              </w:tabs>
              <w:suppressAutoHyphens/>
              <w:jc w:val="center"/>
              <w:rPr>
                <w:spacing w:val="-3"/>
                <w:lang w:val="en-US"/>
              </w:rPr>
            </w:pPr>
            <w:r w:rsidRPr="009361EA">
              <w:rPr>
                <w:spacing w:val="-3"/>
                <w:lang w:val="en-US"/>
              </w:rPr>
              <w:t>0.70</w:t>
            </w:r>
          </w:p>
        </w:tc>
        <w:tc>
          <w:tcPr>
            <w:tcW w:w="1134" w:type="dxa"/>
            <w:tcBorders>
              <w:top w:val="nil"/>
              <w:left w:val="nil"/>
              <w:bottom w:val="nil"/>
              <w:right w:val="nil"/>
            </w:tcBorders>
            <w:shd w:val="clear" w:color="000000" w:fill="FFFFFF"/>
          </w:tcPr>
          <w:p w14:paraId="22299D94" w14:textId="77777777" w:rsidR="00807F37" w:rsidRPr="009361EA" w:rsidRDefault="00807F37" w:rsidP="00B849AD">
            <w:pPr>
              <w:tabs>
                <w:tab w:val="left" w:pos="-437"/>
              </w:tabs>
              <w:suppressAutoHyphens/>
              <w:jc w:val="center"/>
              <w:rPr>
                <w:spacing w:val="-3"/>
                <w:lang w:val="en-US"/>
              </w:rPr>
            </w:pPr>
            <w:r w:rsidRPr="009361EA">
              <w:rPr>
                <w:spacing w:val="-3"/>
                <w:lang w:val="en-US"/>
              </w:rPr>
              <w:t>0.40</w:t>
            </w:r>
          </w:p>
        </w:tc>
        <w:tc>
          <w:tcPr>
            <w:tcW w:w="992" w:type="dxa"/>
            <w:tcBorders>
              <w:top w:val="nil"/>
              <w:left w:val="nil"/>
              <w:bottom w:val="nil"/>
              <w:right w:val="nil"/>
            </w:tcBorders>
            <w:shd w:val="clear" w:color="000000" w:fill="FFFFFF"/>
          </w:tcPr>
          <w:p w14:paraId="318EECF1" w14:textId="77777777" w:rsidR="00807F37" w:rsidRPr="009361EA" w:rsidRDefault="00807F37" w:rsidP="00B849AD">
            <w:pPr>
              <w:tabs>
                <w:tab w:val="left" w:pos="-437"/>
              </w:tabs>
              <w:suppressAutoHyphens/>
              <w:jc w:val="center"/>
              <w:rPr>
                <w:spacing w:val="-3"/>
                <w:lang w:val="en-US"/>
              </w:rPr>
            </w:pPr>
            <w:r w:rsidRPr="009361EA">
              <w:rPr>
                <w:spacing w:val="-3"/>
                <w:lang w:val="en-US"/>
              </w:rPr>
              <w:t>1.50</w:t>
            </w:r>
          </w:p>
        </w:tc>
      </w:tr>
      <w:tr w:rsidR="00807F37" w:rsidRPr="009361EA" w14:paraId="7825D7BB" w14:textId="77777777" w:rsidTr="00B849AD">
        <w:trPr>
          <w:trHeight w:val="74"/>
          <w:jc w:val="center"/>
        </w:trPr>
        <w:tc>
          <w:tcPr>
            <w:tcW w:w="1559" w:type="dxa"/>
            <w:tcBorders>
              <w:top w:val="nil"/>
              <w:left w:val="nil"/>
              <w:right w:val="nil"/>
            </w:tcBorders>
            <w:shd w:val="clear" w:color="000000" w:fill="FFFFFF"/>
          </w:tcPr>
          <w:p w14:paraId="3E23219E" w14:textId="77777777" w:rsidR="00807F37" w:rsidRPr="00FE0EEB" w:rsidRDefault="00807F37" w:rsidP="00B849AD">
            <w:pPr>
              <w:tabs>
                <w:tab w:val="left" w:pos="-437"/>
              </w:tabs>
              <w:suppressAutoHyphens/>
              <w:jc w:val="center"/>
              <w:rPr>
                <w:spacing w:val="-3"/>
                <w:sz w:val="22"/>
                <w:lang w:val="en-US"/>
              </w:rPr>
            </w:pPr>
            <w:r w:rsidRPr="00FE0EEB">
              <w:rPr>
                <w:spacing w:val="-3"/>
                <w:sz w:val="22"/>
                <w:lang w:val="en-US"/>
              </w:rPr>
              <w:t>S</w:t>
            </w:r>
          </w:p>
        </w:tc>
        <w:tc>
          <w:tcPr>
            <w:tcW w:w="850" w:type="dxa"/>
            <w:tcBorders>
              <w:top w:val="nil"/>
              <w:left w:val="nil"/>
              <w:right w:val="nil"/>
            </w:tcBorders>
            <w:shd w:val="clear" w:color="000000" w:fill="FFFFFF"/>
          </w:tcPr>
          <w:p w14:paraId="64CD861C" w14:textId="77777777" w:rsidR="00807F37" w:rsidRPr="009361EA" w:rsidRDefault="00807F37" w:rsidP="00B849AD">
            <w:pPr>
              <w:tabs>
                <w:tab w:val="left" w:pos="-437"/>
              </w:tabs>
              <w:suppressAutoHyphens/>
              <w:jc w:val="center"/>
              <w:rPr>
                <w:spacing w:val="-3"/>
                <w:lang w:val="en-US"/>
              </w:rPr>
            </w:pPr>
            <w:r w:rsidRPr="009361EA">
              <w:rPr>
                <w:spacing w:val="-3"/>
                <w:lang w:val="en-US"/>
              </w:rPr>
              <w:t>%</w:t>
            </w:r>
            <w:proofErr w:type="spellStart"/>
            <w:r w:rsidRPr="009361EA">
              <w:rPr>
                <w:spacing w:val="-3"/>
                <w:lang w:val="en-US"/>
              </w:rPr>
              <w:t>daf</w:t>
            </w:r>
            <w:proofErr w:type="spellEnd"/>
          </w:p>
        </w:tc>
        <w:tc>
          <w:tcPr>
            <w:tcW w:w="1134" w:type="dxa"/>
            <w:tcBorders>
              <w:top w:val="nil"/>
              <w:left w:val="nil"/>
              <w:right w:val="nil"/>
            </w:tcBorders>
            <w:shd w:val="clear" w:color="000000" w:fill="FFFFFF"/>
          </w:tcPr>
          <w:p w14:paraId="3B9EC699" w14:textId="77777777" w:rsidR="00807F37" w:rsidRPr="009361EA" w:rsidRDefault="00807F37" w:rsidP="00B849AD">
            <w:pPr>
              <w:tabs>
                <w:tab w:val="left" w:pos="-437"/>
              </w:tabs>
              <w:suppressAutoHyphens/>
              <w:jc w:val="center"/>
              <w:rPr>
                <w:spacing w:val="-3"/>
                <w:lang w:val="en-US"/>
              </w:rPr>
            </w:pPr>
            <w:r w:rsidRPr="009361EA">
              <w:rPr>
                <w:spacing w:val="-3"/>
                <w:lang w:val="en-US"/>
              </w:rPr>
              <w:t>0.04</w:t>
            </w:r>
          </w:p>
        </w:tc>
        <w:tc>
          <w:tcPr>
            <w:tcW w:w="1134" w:type="dxa"/>
            <w:tcBorders>
              <w:top w:val="nil"/>
              <w:left w:val="nil"/>
              <w:right w:val="nil"/>
            </w:tcBorders>
            <w:shd w:val="clear" w:color="000000" w:fill="FFFFFF"/>
          </w:tcPr>
          <w:p w14:paraId="5535C109" w14:textId="77777777" w:rsidR="00807F37" w:rsidRPr="009361EA" w:rsidRDefault="00807F37" w:rsidP="00B849AD">
            <w:pPr>
              <w:tabs>
                <w:tab w:val="left" w:pos="-437"/>
              </w:tabs>
              <w:suppressAutoHyphens/>
              <w:jc w:val="center"/>
              <w:rPr>
                <w:spacing w:val="-3"/>
                <w:lang w:val="en-US"/>
              </w:rPr>
            </w:pPr>
            <w:r w:rsidRPr="009361EA">
              <w:rPr>
                <w:spacing w:val="-3"/>
                <w:lang w:val="en-US"/>
              </w:rPr>
              <w:t>0.08</w:t>
            </w:r>
          </w:p>
        </w:tc>
        <w:tc>
          <w:tcPr>
            <w:tcW w:w="1134" w:type="dxa"/>
            <w:tcBorders>
              <w:top w:val="nil"/>
              <w:left w:val="nil"/>
              <w:right w:val="nil"/>
            </w:tcBorders>
            <w:shd w:val="clear" w:color="000000" w:fill="FFFFFF"/>
          </w:tcPr>
          <w:p w14:paraId="0A3B4DDD" w14:textId="77777777" w:rsidR="00807F37" w:rsidRPr="009361EA" w:rsidRDefault="00807F37" w:rsidP="00B849AD">
            <w:pPr>
              <w:tabs>
                <w:tab w:val="left" w:pos="-437"/>
              </w:tabs>
              <w:suppressAutoHyphens/>
              <w:jc w:val="center"/>
              <w:rPr>
                <w:spacing w:val="-3"/>
                <w:lang w:val="en-US"/>
              </w:rPr>
            </w:pPr>
            <w:r w:rsidRPr="009361EA">
              <w:rPr>
                <w:spacing w:val="-3"/>
                <w:lang w:val="en-US"/>
              </w:rPr>
              <w:t>0.10</w:t>
            </w:r>
          </w:p>
        </w:tc>
        <w:tc>
          <w:tcPr>
            <w:tcW w:w="1134" w:type="dxa"/>
            <w:tcBorders>
              <w:top w:val="nil"/>
              <w:left w:val="nil"/>
              <w:right w:val="nil"/>
            </w:tcBorders>
            <w:shd w:val="clear" w:color="000000" w:fill="FFFFFF"/>
          </w:tcPr>
          <w:p w14:paraId="2026D7BA" w14:textId="77777777" w:rsidR="00807F37" w:rsidRPr="009361EA" w:rsidRDefault="00807F37" w:rsidP="00B849AD">
            <w:pPr>
              <w:tabs>
                <w:tab w:val="left" w:pos="-437"/>
              </w:tabs>
              <w:suppressAutoHyphens/>
              <w:jc w:val="center"/>
              <w:rPr>
                <w:spacing w:val="-3"/>
                <w:lang w:val="en-US"/>
              </w:rPr>
            </w:pPr>
            <w:r w:rsidRPr="009361EA">
              <w:rPr>
                <w:spacing w:val="-3"/>
                <w:lang w:val="en-US"/>
              </w:rPr>
              <w:t>0.14</w:t>
            </w:r>
          </w:p>
        </w:tc>
        <w:tc>
          <w:tcPr>
            <w:tcW w:w="852" w:type="dxa"/>
            <w:tcBorders>
              <w:top w:val="nil"/>
              <w:left w:val="nil"/>
              <w:right w:val="nil"/>
            </w:tcBorders>
            <w:shd w:val="clear" w:color="000000" w:fill="FFFFFF"/>
          </w:tcPr>
          <w:p w14:paraId="0D2EB624" w14:textId="77777777" w:rsidR="00807F37" w:rsidRPr="009361EA" w:rsidRDefault="00807F37" w:rsidP="00B849AD">
            <w:pPr>
              <w:tabs>
                <w:tab w:val="left" w:pos="-437"/>
              </w:tabs>
              <w:suppressAutoHyphens/>
              <w:jc w:val="center"/>
              <w:rPr>
                <w:spacing w:val="-3"/>
                <w:lang w:val="en-US"/>
              </w:rPr>
            </w:pPr>
            <w:r w:rsidRPr="009361EA">
              <w:rPr>
                <w:spacing w:val="-3"/>
                <w:lang w:val="en-US"/>
              </w:rPr>
              <w:t>0.15</w:t>
            </w:r>
          </w:p>
        </w:tc>
        <w:tc>
          <w:tcPr>
            <w:tcW w:w="1134" w:type="dxa"/>
            <w:tcBorders>
              <w:top w:val="nil"/>
              <w:left w:val="nil"/>
              <w:right w:val="nil"/>
            </w:tcBorders>
            <w:shd w:val="clear" w:color="000000" w:fill="FFFFFF"/>
          </w:tcPr>
          <w:p w14:paraId="540E4610" w14:textId="77777777" w:rsidR="00807F37" w:rsidRPr="009361EA" w:rsidRDefault="00807F37" w:rsidP="00B849AD">
            <w:pPr>
              <w:tabs>
                <w:tab w:val="left" w:pos="-437"/>
              </w:tabs>
              <w:suppressAutoHyphens/>
              <w:jc w:val="center"/>
              <w:rPr>
                <w:spacing w:val="-3"/>
                <w:lang w:val="en-US"/>
              </w:rPr>
            </w:pPr>
            <w:r w:rsidRPr="009361EA">
              <w:rPr>
                <w:spacing w:val="-3"/>
                <w:lang w:val="en-US"/>
              </w:rPr>
              <w:t>0.10</w:t>
            </w:r>
          </w:p>
        </w:tc>
        <w:tc>
          <w:tcPr>
            <w:tcW w:w="992" w:type="dxa"/>
            <w:tcBorders>
              <w:top w:val="nil"/>
              <w:left w:val="nil"/>
              <w:right w:val="nil"/>
            </w:tcBorders>
            <w:shd w:val="clear" w:color="000000" w:fill="FFFFFF"/>
          </w:tcPr>
          <w:p w14:paraId="42A2BC7D" w14:textId="77777777" w:rsidR="00807F37" w:rsidRPr="009361EA" w:rsidRDefault="00807F37" w:rsidP="00B849AD">
            <w:pPr>
              <w:tabs>
                <w:tab w:val="left" w:pos="-437"/>
              </w:tabs>
              <w:suppressAutoHyphens/>
              <w:jc w:val="center"/>
              <w:rPr>
                <w:spacing w:val="-3"/>
                <w:lang w:val="en-US"/>
              </w:rPr>
            </w:pPr>
            <w:r w:rsidRPr="009361EA">
              <w:rPr>
                <w:spacing w:val="-3"/>
                <w:lang w:val="en-US"/>
              </w:rPr>
              <w:t>0.20</w:t>
            </w:r>
          </w:p>
        </w:tc>
      </w:tr>
      <w:tr w:rsidR="00807F37" w:rsidRPr="009361EA" w14:paraId="3CE02C1B" w14:textId="77777777" w:rsidTr="00B849AD">
        <w:trPr>
          <w:jc w:val="center"/>
        </w:trPr>
        <w:tc>
          <w:tcPr>
            <w:tcW w:w="1559" w:type="dxa"/>
            <w:tcBorders>
              <w:top w:val="nil"/>
              <w:left w:val="nil"/>
              <w:bottom w:val="single" w:sz="4" w:space="0" w:color="auto"/>
              <w:right w:val="nil"/>
            </w:tcBorders>
            <w:shd w:val="clear" w:color="000000" w:fill="FFFFFF"/>
          </w:tcPr>
          <w:p w14:paraId="5ED21658" w14:textId="77777777" w:rsidR="00807F37" w:rsidRPr="00FE0EEB" w:rsidRDefault="00807F37" w:rsidP="00B849AD">
            <w:pPr>
              <w:tabs>
                <w:tab w:val="left" w:pos="-437"/>
              </w:tabs>
              <w:suppressAutoHyphens/>
              <w:jc w:val="center"/>
              <w:rPr>
                <w:spacing w:val="-3"/>
                <w:sz w:val="22"/>
                <w:lang w:val="en-US"/>
              </w:rPr>
            </w:pPr>
            <w:r w:rsidRPr="00FE0EEB">
              <w:rPr>
                <w:spacing w:val="-3"/>
                <w:sz w:val="22"/>
                <w:lang w:val="en-US"/>
              </w:rPr>
              <w:t>O</w:t>
            </w:r>
          </w:p>
        </w:tc>
        <w:tc>
          <w:tcPr>
            <w:tcW w:w="850" w:type="dxa"/>
            <w:tcBorders>
              <w:top w:val="nil"/>
              <w:left w:val="nil"/>
              <w:bottom w:val="single" w:sz="4" w:space="0" w:color="auto"/>
              <w:right w:val="nil"/>
            </w:tcBorders>
            <w:shd w:val="clear" w:color="000000" w:fill="FFFFFF"/>
          </w:tcPr>
          <w:p w14:paraId="3CB02016" w14:textId="77777777" w:rsidR="00807F37" w:rsidRPr="009361EA" w:rsidRDefault="00807F37" w:rsidP="00B849AD">
            <w:pPr>
              <w:tabs>
                <w:tab w:val="left" w:pos="-437"/>
              </w:tabs>
              <w:suppressAutoHyphens/>
              <w:jc w:val="center"/>
              <w:rPr>
                <w:spacing w:val="-3"/>
                <w:lang w:val="en-US"/>
              </w:rPr>
            </w:pPr>
            <w:r w:rsidRPr="009361EA">
              <w:rPr>
                <w:spacing w:val="-3"/>
                <w:lang w:val="en-US"/>
              </w:rPr>
              <w:t>%</w:t>
            </w:r>
            <w:proofErr w:type="spellStart"/>
            <w:r w:rsidRPr="009361EA">
              <w:rPr>
                <w:spacing w:val="-3"/>
                <w:lang w:val="en-US"/>
              </w:rPr>
              <w:t>daf</w:t>
            </w:r>
            <w:proofErr w:type="spellEnd"/>
          </w:p>
        </w:tc>
        <w:tc>
          <w:tcPr>
            <w:tcW w:w="1134" w:type="dxa"/>
            <w:tcBorders>
              <w:top w:val="nil"/>
              <w:left w:val="nil"/>
              <w:bottom w:val="single" w:sz="4" w:space="0" w:color="auto"/>
              <w:right w:val="nil"/>
            </w:tcBorders>
            <w:shd w:val="clear" w:color="000000" w:fill="FFFFFF"/>
          </w:tcPr>
          <w:p w14:paraId="4BCBB7F8" w14:textId="77777777" w:rsidR="00807F37" w:rsidRPr="009361EA" w:rsidRDefault="00807F37" w:rsidP="00B849AD">
            <w:pPr>
              <w:tabs>
                <w:tab w:val="left" w:pos="-437"/>
              </w:tabs>
              <w:suppressAutoHyphens/>
              <w:jc w:val="center"/>
              <w:rPr>
                <w:spacing w:val="-3"/>
                <w:lang w:val="en-US"/>
              </w:rPr>
            </w:pPr>
            <w:r w:rsidRPr="009361EA">
              <w:rPr>
                <w:spacing w:val="-3"/>
                <w:lang w:val="en-US"/>
              </w:rPr>
              <w:t>43.10</w:t>
            </w:r>
          </w:p>
        </w:tc>
        <w:tc>
          <w:tcPr>
            <w:tcW w:w="1134" w:type="dxa"/>
            <w:tcBorders>
              <w:top w:val="nil"/>
              <w:left w:val="nil"/>
              <w:bottom w:val="single" w:sz="4" w:space="0" w:color="auto"/>
              <w:right w:val="nil"/>
            </w:tcBorders>
            <w:shd w:val="clear" w:color="000000" w:fill="FFFFFF"/>
          </w:tcPr>
          <w:p w14:paraId="615D85F9" w14:textId="77777777" w:rsidR="00807F37" w:rsidRPr="009361EA" w:rsidRDefault="00807F37" w:rsidP="00B849AD">
            <w:pPr>
              <w:tabs>
                <w:tab w:val="left" w:pos="-437"/>
              </w:tabs>
              <w:suppressAutoHyphens/>
              <w:jc w:val="center"/>
              <w:rPr>
                <w:spacing w:val="-3"/>
                <w:lang w:val="en-US"/>
              </w:rPr>
            </w:pPr>
            <w:r w:rsidRPr="009361EA">
              <w:rPr>
                <w:spacing w:val="-3"/>
                <w:lang w:val="en-US"/>
              </w:rPr>
              <w:t>41.40</w:t>
            </w:r>
          </w:p>
        </w:tc>
        <w:tc>
          <w:tcPr>
            <w:tcW w:w="1134" w:type="dxa"/>
            <w:tcBorders>
              <w:top w:val="nil"/>
              <w:left w:val="nil"/>
              <w:bottom w:val="single" w:sz="4" w:space="0" w:color="auto"/>
              <w:right w:val="nil"/>
            </w:tcBorders>
            <w:shd w:val="clear" w:color="000000" w:fill="FFFFFF"/>
          </w:tcPr>
          <w:p w14:paraId="5BE99C57" w14:textId="77777777" w:rsidR="00807F37" w:rsidRPr="009361EA" w:rsidRDefault="00807F37" w:rsidP="00B849AD">
            <w:pPr>
              <w:tabs>
                <w:tab w:val="left" w:pos="-437"/>
              </w:tabs>
              <w:suppressAutoHyphens/>
              <w:jc w:val="center"/>
              <w:rPr>
                <w:spacing w:val="-3"/>
                <w:lang w:val="en-US"/>
              </w:rPr>
            </w:pPr>
            <w:r w:rsidRPr="009361EA">
              <w:rPr>
                <w:spacing w:val="-3"/>
                <w:lang w:val="en-US"/>
              </w:rPr>
              <w:t>43.70</w:t>
            </w:r>
          </w:p>
        </w:tc>
        <w:tc>
          <w:tcPr>
            <w:tcW w:w="1134" w:type="dxa"/>
            <w:tcBorders>
              <w:top w:val="nil"/>
              <w:left w:val="nil"/>
              <w:bottom w:val="single" w:sz="4" w:space="0" w:color="auto"/>
              <w:right w:val="nil"/>
            </w:tcBorders>
            <w:shd w:val="clear" w:color="000000" w:fill="FFFFFF"/>
          </w:tcPr>
          <w:p w14:paraId="2C1F8B40" w14:textId="77777777" w:rsidR="00807F37" w:rsidRPr="009361EA" w:rsidRDefault="00807F37" w:rsidP="00B849AD">
            <w:pPr>
              <w:tabs>
                <w:tab w:val="left" w:pos="-437"/>
              </w:tabs>
              <w:suppressAutoHyphens/>
              <w:jc w:val="center"/>
              <w:rPr>
                <w:spacing w:val="-3"/>
                <w:lang w:val="en-US"/>
              </w:rPr>
            </w:pPr>
            <w:r w:rsidRPr="009361EA">
              <w:rPr>
                <w:spacing w:val="-3"/>
                <w:lang w:val="en-US"/>
              </w:rPr>
              <w:t>44.40</w:t>
            </w:r>
          </w:p>
        </w:tc>
        <w:tc>
          <w:tcPr>
            <w:tcW w:w="852" w:type="dxa"/>
            <w:tcBorders>
              <w:top w:val="nil"/>
              <w:left w:val="nil"/>
              <w:bottom w:val="single" w:sz="4" w:space="0" w:color="auto"/>
              <w:right w:val="nil"/>
            </w:tcBorders>
            <w:shd w:val="clear" w:color="000000" w:fill="FFFFFF"/>
          </w:tcPr>
          <w:p w14:paraId="512DE154" w14:textId="77777777" w:rsidR="00807F37" w:rsidRPr="009361EA" w:rsidRDefault="00807F37" w:rsidP="00B849AD">
            <w:pPr>
              <w:tabs>
                <w:tab w:val="left" w:pos="-437"/>
              </w:tabs>
              <w:suppressAutoHyphens/>
              <w:jc w:val="center"/>
              <w:rPr>
                <w:spacing w:val="-3"/>
                <w:lang w:val="en-US"/>
              </w:rPr>
            </w:pPr>
            <w:r w:rsidRPr="009361EA">
              <w:rPr>
                <w:spacing w:val="-3"/>
                <w:lang w:val="en-US"/>
              </w:rPr>
              <w:t>44.20</w:t>
            </w:r>
          </w:p>
        </w:tc>
        <w:tc>
          <w:tcPr>
            <w:tcW w:w="1134" w:type="dxa"/>
            <w:tcBorders>
              <w:top w:val="nil"/>
              <w:left w:val="nil"/>
              <w:bottom w:val="single" w:sz="4" w:space="0" w:color="auto"/>
              <w:right w:val="nil"/>
            </w:tcBorders>
            <w:shd w:val="clear" w:color="000000" w:fill="FFFFFF"/>
          </w:tcPr>
          <w:p w14:paraId="682A2D81" w14:textId="77777777" w:rsidR="00807F37" w:rsidRPr="009361EA" w:rsidRDefault="00807F37" w:rsidP="00B849AD">
            <w:pPr>
              <w:tabs>
                <w:tab w:val="left" w:pos="-437"/>
              </w:tabs>
              <w:suppressAutoHyphens/>
              <w:jc w:val="center"/>
              <w:rPr>
                <w:spacing w:val="-3"/>
                <w:lang w:val="en-US"/>
              </w:rPr>
            </w:pPr>
            <w:r w:rsidRPr="009361EA">
              <w:rPr>
                <w:spacing w:val="-3"/>
                <w:lang w:val="en-US"/>
              </w:rPr>
              <w:t>43.90</w:t>
            </w:r>
          </w:p>
        </w:tc>
        <w:tc>
          <w:tcPr>
            <w:tcW w:w="992" w:type="dxa"/>
            <w:tcBorders>
              <w:top w:val="nil"/>
              <w:left w:val="nil"/>
              <w:bottom w:val="single" w:sz="4" w:space="0" w:color="auto"/>
              <w:right w:val="nil"/>
            </w:tcBorders>
            <w:shd w:val="clear" w:color="000000" w:fill="FFFFFF"/>
          </w:tcPr>
          <w:p w14:paraId="35208D79" w14:textId="77777777" w:rsidR="00807F37" w:rsidRPr="009361EA" w:rsidRDefault="00807F37" w:rsidP="00B849AD">
            <w:pPr>
              <w:tabs>
                <w:tab w:val="left" w:pos="-437"/>
              </w:tabs>
              <w:suppressAutoHyphens/>
              <w:jc w:val="center"/>
              <w:rPr>
                <w:spacing w:val="-3"/>
                <w:lang w:val="en-US"/>
              </w:rPr>
            </w:pPr>
            <w:r w:rsidRPr="009361EA">
              <w:rPr>
                <w:spacing w:val="-3"/>
                <w:lang w:val="en-US"/>
              </w:rPr>
              <w:t>44.20</w:t>
            </w:r>
          </w:p>
        </w:tc>
      </w:tr>
      <w:tr w:rsidR="00807F37" w:rsidRPr="009361EA" w14:paraId="5BA1EEB8" w14:textId="77777777" w:rsidTr="00B849AD">
        <w:trPr>
          <w:jc w:val="center"/>
        </w:trPr>
        <w:tc>
          <w:tcPr>
            <w:tcW w:w="1559" w:type="dxa"/>
            <w:tcBorders>
              <w:top w:val="single" w:sz="4" w:space="0" w:color="auto"/>
              <w:left w:val="nil"/>
              <w:bottom w:val="single" w:sz="4" w:space="0" w:color="auto"/>
              <w:right w:val="nil"/>
            </w:tcBorders>
            <w:shd w:val="clear" w:color="000000" w:fill="FFFFFF"/>
          </w:tcPr>
          <w:p w14:paraId="7F08D6C8" w14:textId="77777777" w:rsidR="00807F37" w:rsidRPr="00FE0EEB" w:rsidRDefault="00807F37" w:rsidP="00B849AD">
            <w:pPr>
              <w:tabs>
                <w:tab w:val="left" w:pos="-437"/>
              </w:tabs>
              <w:suppressAutoHyphens/>
              <w:jc w:val="center"/>
              <w:rPr>
                <w:spacing w:val="-3"/>
                <w:sz w:val="22"/>
                <w:lang w:val="en-US"/>
              </w:rPr>
            </w:pPr>
            <w:r w:rsidRPr="00FE0EEB">
              <w:rPr>
                <w:spacing w:val="-3"/>
                <w:sz w:val="22"/>
                <w:lang w:val="en-US"/>
              </w:rPr>
              <w:t>HHV</w:t>
            </w:r>
          </w:p>
        </w:tc>
        <w:tc>
          <w:tcPr>
            <w:tcW w:w="850" w:type="dxa"/>
            <w:tcBorders>
              <w:top w:val="single" w:sz="4" w:space="0" w:color="auto"/>
              <w:left w:val="nil"/>
              <w:bottom w:val="single" w:sz="4" w:space="0" w:color="auto"/>
              <w:right w:val="nil"/>
            </w:tcBorders>
            <w:shd w:val="clear" w:color="000000" w:fill="FFFFFF"/>
          </w:tcPr>
          <w:p w14:paraId="1124A1BB" w14:textId="77777777" w:rsidR="00807F37" w:rsidRPr="009361EA" w:rsidRDefault="00807F37" w:rsidP="00B849AD">
            <w:pPr>
              <w:tabs>
                <w:tab w:val="left" w:pos="-437"/>
              </w:tabs>
              <w:suppressAutoHyphens/>
              <w:jc w:val="center"/>
              <w:rPr>
                <w:spacing w:val="-3"/>
                <w:lang w:val="en-US"/>
              </w:rPr>
            </w:pPr>
            <w:r w:rsidRPr="009361EA">
              <w:rPr>
                <w:spacing w:val="-3"/>
                <w:lang w:val="en-US"/>
              </w:rPr>
              <w:t>MJ/kg</w:t>
            </w:r>
          </w:p>
        </w:tc>
        <w:tc>
          <w:tcPr>
            <w:tcW w:w="1134" w:type="dxa"/>
            <w:tcBorders>
              <w:top w:val="single" w:sz="4" w:space="0" w:color="auto"/>
              <w:left w:val="nil"/>
              <w:bottom w:val="single" w:sz="4" w:space="0" w:color="auto"/>
              <w:right w:val="nil"/>
            </w:tcBorders>
            <w:shd w:val="clear" w:color="000000" w:fill="FFFFFF"/>
          </w:tcPr>
          <w:p w14:paraId="455D4C23" w14:textId="77777777" w:rsidR="00807F37" w:rsidRPr="009361EA" w:rsidRDefault="00807F37" w:rsidP="00B849AD">
            <w:pPr>
              <w:tabs>
                <w:tab w:val="left" w:pos="-437"/>
              </w:tabs>
              <w:suppressAutoHyphens/>
              <w:jc w:val="center"/>
              <w:rPr>
                <w:spacing w:val="-3"/>
                <w:lang w:val="en-US"/>
              </w:rPr>
            </w:pPr>
            <w:r w:rsidRPr="009361EA">
              <w:rPr>
                <w:spacing w:val="-3"/>
                <w:lang w:val="en-US"/>
              </w:rPr>
              <w:t>20</w:t>
            </w:r>
          </w:p>
        </w:tc>
        <w:tc>
          <w:tcPr>
            <w:tcW w:w="1134" w:type="dxa"/>
            <w:tcBorders>
              <w:top w:val="single" w:sz="4" w:space="0" w:color="auto"/>
              <w:left w:val="nil"/>
              <w:bottom w:val="single" w:sz="4" w:space="0" w:color="auto"/>
              <w:right w:val="nil"/>
            </w:tcBorders>
            <w:shd w:val="clear" w:color="000000" w:fill="FFFFFF"/>
          </w:tcPr>
          <w:p w14:paraId="273EC650" w14:textId="77777777" w:rsidR="00807F37" w:rsidRPr="009361EA" w:rsidRDefault="00807F37" w:rsidP="00B849AD">
            <w:pPr>
              <w:tabs>
                <w:tab w:val="left" w:pos="-437"/>
              </w:tabs>
              <w:suppressAutoHyphens/>
              <w:jc w:val="center"/>
              <w:rPr>
                <w:spacing w:val="-3"/>
                <w:lang w:val="en-US"/>
              </w:rPr>
            </w:pPr>
            <w:r w:rsidRPr="009361EA">
              <w:rPr>
                <w:spacing w:val="-3"/>
                <w:lang w:val="en-US"/>
              </w:rPr>
              <w:t>20.7</w:t>
            </w:r>
          </w:p>
        </w:tc>
        <w:tc>
          <w:tcPr>
            <w:tcW w:w="1134" w:type="dxa"/>
            <w:tcBorders>
              <w:top w:val="single" w:sz="4" w:space="0" w:color="auto"/>
              <w:left w:val="nil"/>
              <w:bottom w:val="single" w:sz="4" w:space="0" w:color="auto"/>
              <w:right w:val="nil"/>
            </w:tcBorders>
            <w:shd w:val="clear" w:color="000000" w:fill="FFFFFF"/>
          </w:tcPr>
          <w:p w14:paraId="2E4ABE9C" w14:textId="77777777" w:rsidR="00807F37" w:rsidRPr="009361EA" w:rsidRDefault="00807F37" w:rsidP="00B849AD">
            <w:pPr>
              <w:tabs>
                <w:tab w:val="left" w:pos="-437"/>
              </w:tabs>
              <w:suppressAutoHyphens/>
              <w:jc w:val="center"/>
              <w:rPr>
                <w:spacing w:val="-3"/>
                <w:lang w:val="en-US"/>
              </w:rPr>
            </w:pPr>
            <w:r w:rsidRPr="009361EA">
              <w:rPr>
                <w:spacing w:val="-3"/>
                <w:lang w:val="en-US"/>
              </w:rPr>
              <w:t>19</w:t>
            </w:r>
          </w:p>
        </w:tc>
        <w:tc>
          <w:tcPr>
            <w:tcW w:w="1134" w:type="dxa"/>
            <w:tcBorders>
              <w:top w:val="single" w:sz="4" w:space="0" w:color="auto"/>
              <w:left w:val="nil"/>
              <w:bottom w:val="single" w:sz="4" w:space="0" w:color="auto"/>
              <w:right w:val="nil"/>
            </w:tcBorders>
            <w:shd w:val="clear" w:color="000000" w:fill="FFFFFF"/>
          </w:tcPr>
          <w:p w14:paraId="047F2E75" w14:textId="77777777" w:rsidR="00807F37" w:rsidRPr="009361EA" w:rsidRDefault="00807F37" w:rsidP="00B849AD">
            <w:pPr>
              <w:tabs>
                <w:tab w:val="left" w:pos="-437"/>
              </w:tabs>
              <w:suppressAutoHyphens/>
              <w:jc w:val="center"/>
              <w:rPr>
                <w:spacing w:val="-3"/>
                <w:lang w:val="en-US"/>
              </w:rPr>
            </w:pPr>
            <w:r w:rsidRPr="009361EA">
              <w:rPr>
                <w:spacing w:val="-3"/>
                <w:lang w:val="en-US"/>
              </w:rPr>
              <w:t>18.8</w:t>
            </w:r>
          </w:p>
        </w:tc>
        <w:tc>
          <w:tcPr>
            <w:tcW w:w="852" w:type="dxa"/>
            <w:tcBorders>
              <w:top w:val="single" w:sz="4" w:space="0" w:color="auto"/>
              <w:left w:val="nil"/>
              <w:bottom w:val="single" w:sz="4" w:space="0" w:color="auto"/>
              <w:right w:val="nil"/>
            </w:tcBorders>
            <w:shd w:val="clear" w:color="000000" w:fill="FFFFFF"/>
          </w:tcPr>
          <w:p w14:paraId="1E25F26E" w14:textId="77777777" w:rsidR="00807F37" w:rsidRPr="009361EA" w:rsidRDefault="00807F37" w:rsidP="00B849AD">
            <w:pPr>
              <w:tabs>
                <w:tab w:val="left" w:pos="-437"/>
              </w:tabs>
              <w:suppressAutoHyphens/>
              <w:jc w:val="center"/>
              <w:rPr>
                <w:spacing w:val="-3"/>
                <w:lang w:val="en-US"/>
              </w:rPr>
            </w:pPr>
            <w:r w:rsidRPr="009361EA">
              <w:rPr>
                <w:spacing w:val="-3"/>
                <w:lang w:val="en-US"/>
              </w:rPr>
              <w:t>19.4</w:t>
            </w:r>
          </w:p>
        </w:tc>
        <w:tc>
          <w:tcPr>
            <w:tcW w:w="1134" w:type="dxa"/>
            <w:tcBorders>
              <w:top w:val="single" w:sz="4" w:space="0" w:color="auto"/>
              <w:left w:val="nil"/>
              <w:bottom w:val="single" w:sz="4" w:space="0" w:color="auto"/>
              <w:right w:val="nil"/>
            </w:tcBorders>
            <w:shd w:val="clear" w:color="000000" w:fill="FFFFFF"/>
          </w:tcPr>
          <w:p w14:paraId="30D23B15" w14:textId="77777777" w:rsidR="00807F37" w:rsidRPr="009361EA" w:rsidRDefault="00807F37" w:rsidP="00B849AD">
            <w:pPr>
              <w:tabs>
                <w:tab w:val="left" w:pos="-437"/>
              </w:tabs>
              <w:suppressAutoHyphens/>
              <w:jc w:val="center"/>
              <w:rPr>
                <w:spacing w:val="-3"/>
                <w:lang w:val="en-US"/>
              </w:rPr>
            </w:pPr>
            <w:r w:rsidRPr="009361EA">
              <w:rPr>
                <w:spacing w:val="-3"/>
                <w:lang w:val="en-US"/>
              </w:rPr>
              <w:t>19.3</w:t>
            </w:r>
          </w:p>
        </w:tc>
        <w:tc>
          <w:tcPr>
            <w:tcW w:w="992" w:type="dxa"/>
            <w:tcBorders>
              <w:top w:val="single" w:sz="4" w:space="0" w:color="auto"/>
              <w:left w:val="nil"/>
              <w:bottom w:val="single" w:sz="4" w:space="0" w:color="auto"/>
              <w:right w:val="nil"/>
            </w:tcBorders>
            <w:shd w:val="clear" w:color="000000" w:fill="FFFFFF"/>
          </w:tcPr>
          <w:p w14:paraId="0C31554C" w14:textId="77777777" w:rsidR="00807F37" w:rsidRPr="009361EA" w:rsidRDefault="00807F37" w:rsidP="00B849AD">
            <w:pPr>
              <w:tabs>
                <w:tab w:val="left" w:pos="-437"/>
              </w:tabs>
              <w:suppressAutoHyphens/>
              <w:jc w:val="center"/>
              <w:rPr>
                <w:spacing w:val="-3"/>
                <w:lang w:val="en-US"/>
              </w:rPr>
            </w:pPr>
            <w:r w:rsidRPr="009361EA">
              <w:rPr>
                <w:spacing w:val="-3"/>
                <w:lang w:val="en-US"/>
              </w:rPr>
              <w:t>19.2</w:t>
            </w:r>
          </w:p>
        </w:tc>
      </w:tr>
    </w:tbl>
    <w:p w14:paraId="6E4FE5D4" w14:textId="77777777" w:rsidR="00807F37" w:rsidRPr="00FE0EEB" w:rsidRDefault="00807F37" w:rsidP="00807F37">
      <w:pPr>
        <w:tabs>
          <w:tab w:val="left" w:pos="-437"/>
        </w:tabs>
        <w:suppressAutoHyphens/>
        <w:jc w:val="left"/>
        <w:rPr>
          <w:spacing w:val="-3"/>
          <w:sz w:val="20"/>
          <w:lang w:val="en-US"/>
        </w:rPr>
      </w:pPr>
      <w:r w:rsidRPr="00CD7158">
        <w:rPr>
          <w:b/>
          <w:bCs/>
          <w:i/>
          <w:iCs/>
          <w:spacing w:val="-3"/>
          <w:sz w:val="20"/>
          <w:szCs w:val="20"/>
          <w:vertAlign w:val="superscript"/>
          <w:lang w:val="en-US"/>
        </w:rPr>
        <w:t>1</w:t>
      </w:r>
      <w:r w:rsidRPr="00FE0EEB">
        <w:rPr>
          <w:spacing w:val="-3"/>
          <w:sz w:val="20"/>
          <w:lang w:val="en-US"/>
        </w:rPr>
        <w:t xml:space="preserve">daf = dry ash free </w:t>
      </w:r>
      <w:r>
        <w:rPr>
          <w:spacing w:val="-3"/>
          <w:sz w:val="20"/>
          <w:lang w:val="en-US"/>
        </w:rPr>
        <w:t>w</w:t>
      </w:r>
      <w:r w:rsidRPr="009361EA">
        <w:rPr>
          <w:spacing w:val="-3"/>
          <w:sz w:val="20"/>
          <w:lang w:val="en-US"/>
        </w:rPr>
        <w:t>eight</w:t>
      </w:r>
      <w:r>
        <w:rPr>
          <w:spacing w:val="-3"/>
          <w:sz w:val="20"/>
          <w:lang w:val="en-US"/>
        </w:rPr>
        <w:t xml:space="preserve">. </w:t>
      </w:r>
      <w:r w:rsidRPr="00CD7158">
        <w:rPr>
          <w:b/>
          <w:bCs/>
          <w:i/>
          <w:iCs/>
          <w:spacing w:val="-3"/>
          <w:sz w:val="20"/>
          <w:vertAlign w:val="superscript"/>
          <w:lang w:val="en-US"/>
        </w:rPr>
        <w:t>2</w:t>
      </w:r>
      <w:r w:rsidRPr="00FE0EEB">
        <w:rPr>
          <w:spacing w:val="-3"/>
          <w:sz w:val="20"/>
          <w:lang w:val="en-US"/>
        </w:rPr>
        <w:t>ww = wet weight</w:t>
      </w:r>
      <w:r>
        <w:rPr>
          <w:spacing w:val="-3"/>
          <w:sz w:val="20"/>
          <w:lang w:val="en-US"/>
        </w:rPr>
        <w:t xml:space="preserve">. </w:t>
      </w:r>
      <w:r w:rsidRPr="00CD7158">
        <w:rPr>
          <w:b/>
          <w:bCs/>
          <w:i/>
          <w:iCs/>
          <w:spacing w:val="-3"/>
          <w:sz w:val="20"/>
          <w:vertAlign w:val="superscript"/>
          <w:lang w:val="en-US"/>
        </w:rPr>
        <w:t>3</w:t>
      </w:r>
      <w:r w:rsidRPr="00FE0EEB">
        <w:rPr>
          <w:spacing w:val="-3"/>
          <w:sz w:val="20"/>
          <w:lang w:val="en-US"/>
        </w:rPr>
        <w:t xml:space="preserve">dw = </w:t>
      </w:r>
      <w:r>
        <w:rPr>
          <w:spacing w:val="-3"/>
          <w:sz w:val="20"/>
          <w:lang w:val="en-US"/>
        </w:rPr>
        <w:t>d</w:t>
      </w:r>
      <w:r w:rsidRPr="00FE0EEB">
        <w:rPr>
          <w:spacing w:val="-3"/>
          <w:sz w:val="20"/>
          <w:lang w:val="en-US"/>
        </w:rPr>
        <w:t xml:space="preserve">ry </w:t>
      </w:r>
      <w:r>
        <w:rPr>
          <w:spacing w:val="-3"/>
          <w:sz w:val="20"/>
          <w:lang w:val="en-US"/>
        </w:rPr>
        <w:t>w</w:t>
      </w:r>
      <w:r w:rsidRPr="00FE0EEB">
        <w:rPr>
          <w:spacing w:val="-3"/>
          <w:sz w:val="20"/>
          <w:lang w:val="en-US"/>
        </w:rPr>
        <w:t>eight</w:t>
      </w:r>
      <w:r>
        <w:rPr>
          <w:spacing w:val="-3"/>
          <w:sz w:val="20"/>
          <w:lang w:val="en-US"/>
        </w:rPr>
        <w:t>.</w:t>
      </w:r>
    </w:p>
    <w:p w14:paraId="0A30DFD1" w14:textId="77777777" w:rsidR="00807F37" w:rsidRDefault="00807F37" w:rsidP="00807F37">
      <w:pPr>
        <w:rPr>
          <w:lang w:val="en-US" w:eastAsia="ja-JP"/>
        </w:rPr>
      </w:pPr>
    </w:p>
    <w:p w14:paraId="4F15BE10" w14:textId="4CCB577F" w:rsidR="00807F37" w:rsidRDefault="00807F37" w:rsidP="006D27B6">
      <w:pPr>
        <w:pStyle w:val="reference"/>
        <w:numPr>
          <w:ilvl w:val="0"/>
          <w:numId w:val="0"/>
        </w:numPr>
        <w:ind w:left="284" w:hanging="284"/>
        <w:rPr>
          <w:lang w:val="en-US"/>
        </w:rPr>
      </w:pPr>
    </w:p>
    <w:p w14:paraId="2FE893FB" w14:textId="15ED2ABC" w:rsidR="003E1A97" w:rsidRDefault="003E1A97" w:rsidP="006D27B6">
      <w:pPr>
        <w:pStyle w:val="reference"/>
        <w:numPr>
          <w:ilvl w:val="0"/>
          <w:numId w:val="0"/>
        </w:numPr>
        <w:ind w:left="284" w:hanging="284"/>
        <w:rPr>
          <w:lang w:val="en-US"/>
        </w:rPr>
      </w:pPr>
    </w:p>
    <w:p w14:paraId="468D3328" w14:textId="00AB1D9C" w:rsidR="003E1A97" w:rsidRDefault="003E1A97" w:rsidP="006D27B6">
      <w:pPr>
        <w:pStyle w:val="reference"/>
        <w:numPr>
          <w:ilvl w:val="0"/>
          <w:numId w:val="0"/>
        </w:numPr>
        <w:ind w:left="284" w:hanging="284"/>
        <w:rPr>
          <w:lang w:val="en-US"/>
        </w:rPr>
      </w:pPr>
      <w:r w:rsidRPr="003E1A97">
        <w:rPr>
          <w:highlight w:val="cyan"/>
          <w:lang w:val="en-US"/>
        </w:rPr>
        <w:t>Which correlation for HHV and LHV?</w:t>
      </w:r>
    </w:p>
    <w:p w14:paraId="769A3B98" w14:textId="54DACD45" w:rsidR="003E1A97" w:rsidRDefault="003E1A97" w:rsidP="006D27B6">
      <w:pPr>
        <w:pStyle w:val="reference"/>
        <w:numPr>
          <w:ilvl w:val="0"/>
          <w:numId w:val="0"/>
        </w:numPr>
        <w:ind w:left="284" w:hanging="284"/>
        <w:rPr>
          <w:lang w:val="en-US"/>
        </w:rPr>
      </w:pPr>
    </w:p>
    <w:p w14:paraId="6901BFEF" w14:textId="71AFB451" w:rsidR="00CB72C9" w:rsidRDefault="00CB72C9" w:rsidP="006D27B6">
      <w:pPr>
        <w:pStyle w:val="reference"/>
        <w:numPr>
          <w:ilvl w:val="0"/>
          <w:numId w:val="0"/>
        </w:numPr>
        <w:ind w:left="284" w:hanging="284"/>
        <w:rPr>
          <w:lang w:val="en-US"/>
        </w:rPr>
      </w:pPr>
      <w:proofErr w:type="spellStart"/>
      <w:r w:rsidRPr="00CB72C9">
        <w:rPr>
          <w:highlight w:val="cyan"/>
          <w:lang w:val="en-US"/>
        </w:rPr>
        <w:t>Sumatorias</w:t>
      </w:r>
      <w:proofErr w:type="spellEnd"/>
      <w:r w:rsidRPr="00CB72C9">
        <w:rPr>
          <w:highlight w:val="cyan"/>
          <w:lang w:val="en-US"/>
        </w:rPr>
        <w:t xml:space="preserve"> = 100</w:t>
      </w:r>
      <w:r>
        <w:rPr>
          <w:highlight w:val="cyan"/>
          <w:lang w:val="en-US"/>
        </w:rPr>
        <w:t>%</w:t>
      </w:r>
    </w:p>
    <w:p w14:paraId="7388D7E2" w14:textId="77777777" w:rsidR="00CB72C9" w:rsidRDefault="00CB72C9" w:rsidP="006D27B6">
      <w:pPr>
        <w:pStyle w:val="reference"/>
        <w:numPr>
          <w:ilvl w:val="0"/>
          <w:numId w:val="0"/>
        </w:numPr>
        <w:ind w:left="284" w:hanging="284"/>
        <w:rPr>
          <w:lang w:val="en-US"/>
        </w:rPr>
      </w:pPr>
    </w:p>
    <w:p w14:paraId="2B40E127" w14:textId="730A656A" w:rsidR="0084096B" w:rsidRDefault="0084096B">
      <w:pPr>
        <w:autoSpaceDE/>
        <w:autoSpaceDN/>
        <w:jc w:val="left"/>
        <w:rPr>
          <w:spacing w:val="-3"/>
          <w:lang w:val="en-US"/>
        </w:rPr>
      </w:pPr>
      <w:r>
        <w:rPr>
          <w:lang w:val="en-US"/>
        </w:rPr>
        <w:br w:type="page"/>
      </w:r>
    </w:p>
    <w:p w14:paraId="6AE4AB35" w14:textId="61890C42" w:rsidR="00807F37" w:rsidRDefault="00807F37" w:rsidP="006D27B6">
      <w:pPr>
        <w:pStyle w:val="reference"/>
        <w:numPr>
          <w:ilvl w:val="0"/>
          <w:numId w:val="0"/>
        </w:numPr>
        <w:ind w:left="284" w:hanging="284"/>
        <w:rPr>
          <w:lang w:val="en-US"/>
        </w:rPr>
      </w:pPr>
    </w:p>
    <w:p w14:paraId="75DFDFFD" w14:textId="77777777" w:rsidR="0084096B" w:rsidRPr="009361EA" w:rsidRDefault="0084096B" w:rsidP="0084096B">
      <w:pPr>
        <w:tabs>
          <w:tab w:val="left" w:pos="-720"/>
        </w:tabs>
        <w:suppressAutoHyphens/>
        <w:rPr>
          <w:spacing w:val="-3"/>
          <w:lang w:val="en-US"/>
        </w:rPr>
      </w:pPr>
    </w:p>
    <w:p w14:paraId="28A0E4F2" w14:textId="77777777" w:rsidR="0084096B" w:rsidRPr="009361EA" w:rsidRDefault="0084096B" w:rsidP="0084096B">
      <w:pPr>
        <w:tabs>
          <w:tab w:val="left" w:pos="-437"/>
        </w:tabs>
        <w:suppressAutoHyphens/>
        <w:jc w:val="center"/>
        <w:rPr>
          <w:spacing w:val="-3"/>
          <w:lang w:val="en-US"/>
        </w:rPr>
      </w:pPr>
      <w:r w:rsidRPr="00CB72C9">
        <w:rPr>
          <w:spacing w:val="-3"/>
          <w:highlight w:val="cyan"/>
          <w:lang w:val="en-US"/>
        </w:rPr>
        <w:t>Table 2</w:t>
      </w:r>
      <w:r w:rsidRPr="009361EA">
        <w:rPr>
          <w:spacing w:val="-3"/>
          <w:lang w:val="en-US"/>
        </w:rPr>
        <w:t xml:space="preserve">. </w:t>
      </w:r>
      <w:r>
        <w:rPr>
          <w:spacing w:val="-3"/>
          <w:lang w:val="en-US"/>
        </w:rPr>
        <w:t>R</w:t>
      </w:r>
      <w:r w:rsidRPr="009361EA">
        <w:rPr>
          <w:spacing w:val="-3"/>
          <w:lang w:val="en-US"/>
        </w:rPr>
        <w:t xml:space="preserve">eactor conditions, yields, and heating values </w:t>
      </w:r>
      <w:r>
        <w:rPr>
          <w:spacing w:val="-3"/>
          <w:lang w:val="en-US"/>
        </w:rPr>
        <w:t xml:space="preserve">adopted in the </w:t>
      </w:r>
      <w:r w:rsidRPr="00A111E1">
        <w:rPr>
          <w:spacing w:val="-3"/>
          <w:lang w:val="en-US"/>
        </w:rPr>
        <w:t>H</w:t>
      </w:r>
      <w:r>
        <w:rPr>
          <w:spacing w:val="-3"/>
          <w:lang w:val="en-US"/>
        </w:rPr>
        <w:t>TL system</w:t>
      </w:r>
    </w:p>
    <w:p w14:paraId="3F7BF174" w14:textId="77777777" w:rsidR="0084096B" w:rsidRPr="009361EA" w:rsidRDefault="0084096B" w:rsidP="0084096B">
      <w:pPr>
        <w:tabs>
          <w:tab w:val="left" w:pos="-437"/>
        </w:tabs>
        <w:suppressAutoHyphens/>
        <w:jc w:val="center"/>
        <w:rPr>
          <w:spacing w:val="-3"/>
          <w:lang w:val="en-US"/>
        </w:rPr>
      </w:pPr>
    </w:p>
    <w:tbl>
      <w:tblPr>
        <w:tblW w:w="10241" w:type="dxa"/>
        <w:jc w:val="center"/>
        <w:tblLayout w:type="fixed"/>
        <w:tblCellMar>
          <w:left w:w="70" w:type="dxa"/>
          <w:right w:w="70" w:type="dxa"/>
        </w:tblCellMar>
        <w:tblLook w:val="04A0" w:firstRow="1" w:lastRow="0" w:firstColumn="1" w:lastColumn="0" w:noHBand="0" w:noVBand="1"/>
      </w:tblPr>
      <w:tblGrid>
        <w:gridCol w:w="1228"/>
        <w:gridCol w:w="1065"/>
        <w:gridCol w:w="654"/>
        <w:gridCol w:w="1200"/>
        <w:gridCol w:w="960"/>
        <w:gridCol w:w="700"/>
        <w:gridCol w:w="960"/>
        <w:gridCol w:w="960"/>
        <w:gridCol w:w="552"/>
        <w:gridCol w:w="654"/>
        <w:gridCol w:w="654"/>
        <w:gridCol w:w="654"/>
      </w:tblGrid>
      <w:tr w:rsidR="0084096B" w:rsidRPr="009361EA" w14:paraId="71C121EA" w14:textId="77777777" w:rsidTr="00B849AD">
        <w:trPr>
          <w:trHeight w:val="300"/>
          <w:jc w:val="center"/>
        </w:trPr>
        <w:tc>
          <w:tcPr>
            <w:tcW w:w="1228" w:type="dxa"/>
            <w:tcBorders>
              <w:top w:val="single" w:sz="4" w:space="0" w:color="auto"/>
              <w:left w:val="nil"/>
              <w:bottom w:val="single" w:sz="4" w:space="0" w:color="auto"/>
              <w:right w:val="nil"/>
            </w:tcBorders>
            <w:shd w:val="clear" w:color="auto" w:fill="auto"/>
            <w:noWrap/>
            <w:vAlign w:val="center"/>
          </w:tcPr>
          <w:p w14:paraId="10EACB4E" w14:textId="77777777" w:rsidR="0084096B" w:rsidRPr="00FA758C" w:rsidRDefault="0084096B" w:rsidP="00B849AD">
            <w:pPr>
              <w:autoSpaceDE/>
              <w:autoSpaceDN/>
              <w:jc w:val="left"/>
              <w:rPr>
                <w:b/>
                <w:sz w:val="20"/>
                <w:szCs w:val="22"/>
                <w:lang w:val="en-US"/>
              </w:rPr>
            </w:pPr>
            <w:r>
              <w:rPr>
                <w:b/>
                <w:sz w:val="20"/>
                <w:szCs w:val="22"/>
                <w:lang w:val="en-US"/>
              </w:rPr>
              <w:t>Raw material</w:t>
            </w:r>
          </w:p>
        </w:tc>
        <w:tc>
          <w:tcPr>
            <w:tcW w:w="1065" w:type="dxa"/>
            <w:tcBorders>
              <w:top w:val="single" w:sz="4" w:space="0" w:color="auto"/>
              <w:left w:val="nil"/>
              <w:bottom w:val="single" w:sz="4" w:space="0" w:color="auto"/>
              <w:right w:val="nil"/>
            </w:tcBorders>
            <w:shd w:val="clear" w:color="auto" w:fill="auto"/>
            <w:noWrap/>
            <w:vAlign w:val="center"/>
          </w:tcPr>
          <w:p w14:paraId="1A8632D9" w14:textId="77777777" w:rsidR="0084096B" w:rsidRPr="00FA758C" w:rsidRDefault="0084096B" w:rsidP="00B849AD">
            <w:pPr>
              <w:jc w:val="center"/>
              <w:rPr>
                <w:b/>
                <w:sz w:val="20"/>
                <w:szCs w:val="22"/>
                <w:lang w:val="en-US"/>
              </w:rPr>
            </w:pPr>
            <w:r w:rsidRPr="00FA758C">
              <w:rPr>
                <w:b/>
                <w:sz w:val="20"/>
                <w:szCs w:val="22"/>
                <w:lang w:val="en-US"/>
              </w:rPr>
              <w:t>Reactor inlet</w:t>
            </w:r>
          </w:p>
        </w:tc>
        <w:tc>
          <w:tcPr>
            <w:tcW w:w="3514" w:type="dxa"/>
            <w:gridSpan w:val="4"/>
            <w:tcBorders>
              <w:top w:val="single" w:sz="4" w:space="0" w:color="auto"/>
              <w:left w:val="nil"/>
              <w:bottom w:val="single" w:sz="4" w:space="0" w:color="auto"/>
              <w:right w:val="nil"/>
            </w:tcBorders>
            <w:shd w:val="clear" w:color="auto" w:fill="auto"/>
            <w:noWrap/>
            <w:vAlign w:val="center"/>
          </w:tcPr>
          <w:p w14:paraId="29597B8F" w14:textId="77777777" w:rsidR="0084096B" w:rsidRDefault="0084096B" w:rsidP="00B849AD">
            <w:pPr>
              <w:jc w:val="center"/>
              <w:rPr>
                <w:b/>
                <w:sz w:val="20"/>
                <w:szCs w:val="22"/>
                <w:lang w:val="en-US"/>
              </w:rPr>
            </w:pPr>
            <w:r w:rsidRPr="00FA758C">
              <w:rPr>
                <w:b/>
                <w:sz w:val="20"/>
                <w:szCs w:val="22"/>
                <w:lang w:val="en-US"/>
              </w:rPr>
              <w:t>Reactor</w:t>
            </w:r>
            <w:r>
              <w:rPr>
                <w:b/>
                <w:sz w:val="20"/>
                <w:szCs w:val="22"/>
                <w:lang w:val="en-US"/>
              </w:rPr>
              <w:t xml:space="preserve"> </w:t>
            </w:r>
          </w:p>
          <w:p w14:paraId="68E5F6C9" w14:textId="77777777" w:rsidR="0084096B" w:rsidRPr="00FA758C" w:rsidRDefault="0084096B" w:rsidP="00B849AD">
            <w:pPr>
              <w:jc w:val="center"/>
              <w:rPr>
                <w:b/>
                <w:sz w:val="20"/>
                <w:szCs w:val="22"/>
                <w:lang w:val="en-US"/>
              </w:rPr>
            </w:pPr>
            <w:r>
              <w:rPr>
                <w:b/>
                <w:sz w:val="20"/>
                <w:szCs w:val="22"/>
                <w:lang w:val="en-US"/>
              </w:rPr>
              <w:t>y</w:t>
            </w:r>
            <w:r w:rsidRPr="00FA758C">
              <w:rPr>
                <w:b/>
                <w:sz w:val="20"/>
                <w:szCs w:val="22"/>
                <w:lang w:val="en-US"/>
              </w:rPr>
              <w:t>ields</w:t>
            </w:r>
          </w:p>
        </w:tc>
        <w:tc>
          <w:tcPr>
            <w:tcW w:w="1920" w:type="dxa"/>
            <w:gridSpan w:val="2"/>
            <w:tcBorders>
              <w:top w:val="single" w:sz="4" w:space="0" w:color="auto"/>
              <w:left w:val="nil"/>
              <w:bottom w:val="single" w:sz="4" w:space="0" w:color="auto"/>
              <w:right w:val="nil"/>
            </w:tcBorders>
            <w:shd w:val="clear" w:color="auto" w:fill="auto"/>
            <w:noWrap/>
            <w:vAlign w:val="center"/>
          </w:tcPr>
          <w:p w14:paraId="5939750E" w14:textId="77777777" w:rsidR="0084096B" w:rsidRDefault="0084096B" w:rsidP="00B849AD">
            <w:pPr>
              <w:jc w:val="center"/>
              <w:rPr>
                <w:b/>
                <w:sz w:val="20"/>
                <w:szCs w:val="22"/>
                <w:lang w:val="en-US"/>
              </w:rPr>
            </w:pPr>
            <w:r w:rsidRPr="00FA758C">
              <w:rPr>
                <w:b/>
                <w:sz w:val="20"/>
                <w:szCs w:val="22"/>
                <w:lang w:val="en-US"/>
              </w:rPr>
              <w:t>Product</w:t>
            </w:r>
          </w:p>
          <w:p w14:paraId="0C4C737B" w14:textId="77777777" w:rsidR="0084096B" w:rsidRPr="00FA758C" w:rsidRDefault="0084096B" w:rsidP="00B849AD">
            <w:pPr>
              <w:jc w:val="center"/>
              <w:rPr>
                <w:b/>
                <w:sz w:val="20"/>
                <w:szCs w:val="22"/>
                <w:lang w:val="en-US"/>
              </w:rPr>
            </w:pPr>
            <w:r w:rsidRPr="00FA758C">
              <w:rPr>
                <w:b/>
                <w:sz w:val="20"/>
                <w:szCs w:val="22"/>
                <w:lang w:val="en-US"/>
              </w:rPr>
              <w:t>HHV</w:t>
            </w:r>
          </w:p>
        </w:tc>
        <w:tc>
          <w:tcPr>
            <w:tcW w:w="552" w:type="dxa"/>
            <w:tcBorders>
              <w:top w:val="single" w:sz="4" w:space="0" w:color="auto"/>
              <w:left w:val="nil"/>
              <w:bottom w:val="single" w:sz="4" w:space="0" w:color="auto"/>
              <w:right w:val="nil"/>
            </w:tcBorders>
            <w:vAlign w:val="center"/>
          </w:tcPr>
          <w:p w14:paraId="6BF6DD8B" w14:textId="77777777" w:rsidR="0084096B" w:rsidRPr="00FA758C" w:rsidRDefault="0084096B" w:rsidP="00B849AD">
            <w:pPr>
              <w:jc w:val="center"/>
              <w:rPr>
                <w:b/>
                <w:sz w:val="20"/>
                <w:szCs w:val="22"/>
                <w:lang w:val="en-US"/>
              </w:rPr>
            </w:pPr>
          </w:p>
        </w:tc>
        <w:tc>
          <w:tcPr>
            <w:tcW w:w="1308" w:type="dxa"/>
            <w:gridSpan w:val="2"/>
            <w:tcBorders>
              <w:top w:val="single" w:sz="4" w:space="0" w:color="auto"/>
              <w:left w:val="nil"/>
              <w:bottom w:val="single" w:sz="4" w:space="0" w:color="auto"/>
              <w:right w:val="nil"/>
            </w:tcBorders>
            <w:vAlign w:val="center"/>
          </w:tcPr>
          <w:p w14:paraId="789E0F9C" w14:textId="77777777" w:rsidR="0084096B" w:rsidRPr="00FA758C" w:rsidRDefault="0084096B" w:rsidP="00B849AD">
            <w:pPr>
              <w:jc w:val="center"/>
              <w:rPr>
                <w:b/>
                <w:sz w:val="20"/>
                <w:szCs w:val="22"/>
                <w:lang w:val="en-US"/>
              </w:rPr>
            </w:pPr>
            <w:proofErr w:type="spellStart"/>
            <w:r w:rsidRPr="00FA758C">
              <w:rPr>
                <w:b/>
                <w:sz w:val="20"/>
                <w:szCs w:val="22"/>
                <w:lang w:val="en-US"/>
              </w:rPr>
              <w:t>Recyclate</w:t>
            </w:r>
            <w:proofErr w:type="spellEnd"/>
            <w:r w:rsidRPr="00FA758C">
              <w:rPr>
                <w:b/>
                <w:sz w:val="20"/>
                <w:szCs w:val="22"/>
                <w:lang w:val="en-US"/>
              </w:rPr>
              <w:t xml:space="preserve"> conversion</w:t>
            </w:r>
          </w:p>
        </w:tc>
        <w:tc>
          <w:tcPr>
            <w:tcW w:w="654" w:type="dxa"/>
            <w:tcBorders>
              <w:top w:val="single" w:sz="4" w:space="0" w:color="auto"/>
              <w:left w:val="nil"/>
              <w:bottom w:val="single" w:sz="4" w:space="0" w:color="auto"/>
              <w:right w:val="nil"/>
            </w:tcBorders>
            <w:vAlign w:val="center"/>
          </w:tcPr>
          <w:p w14:paraId="62C9C616" w14:textId="77777777" w:rsidR="0084096B" w:rsidRPr="00FA758C" w:rsidRDefault="0084096B" w:rsidP="00B849AD">
            <w:pPr>
              <w:jc w:val="center"/>
              <w:rPr>
                <w:b/>
                <w:sz w:val="20"/>
                <w:szCs w:val="22"/>
                <w:lang w:val="en-US"/>
              </w:rPr>
            </w:pPr>
            <w:r w:rsidRPr="00FA758C">
              <w:rPr>
                <w:b/>
                <w:sz w:val="20"/>
                <w:szCs w:val="22"/>
                <w:lang w:val="en-US"/>
              </w:rPr>
              <w:t>Ref.</w:t>
            </w:r>
          </w:p>
        </w:tc>
      </w:tr>
      <w:tr w:rsidR="0084096B" w:rsidRPr="009361EA" w14:paraId="6BA337AE" w14:textId="77777777" w:rsidTr="00B849AD">
        <w:trPr>
          <w:trHeight w:val="300"/>
          <w:jc w:val="center"/>
        </w:trPr>
        <w:tc>
          <w:tcPr>
            <w:tcW w:w="1228" w:type="dxa"/>
            <w:tcBorders>
              <w:top w:val="single" w:sz="4" w:space="0" w:color="auto"/>
              <w:left w:val="nil"/>
              <w:bottom w:val="single" w:sz="4" w:space="0" w:color="auto"/>
              <w:right w:val="nil"/>
            </w:tcBorders>
            <w:shd w:val="clear" w:color="auto" w:fill="auto"/>
            <w:noWrap/>
            <w:vAlign w:val="center"/>
          </w:tcPr>
          <w:p w14:paraId="193F0BBD" w14:textId="77777777" w:rsidR="0084096B" w:rsidRPr="009361EA" w:rsidRDefault="0084096B" w:rsidP="00B849AD">
            <w:pPr>
              <w:autoSpaceDE/>
              <w:autoSpaceDN/>
              <w:jc w:val="left"/>
              <w:rPr>
                <w:sz w:val="20"/>
                <w:szCs w:val="22"/>
                <w:lang w:val="en-US"/>
              </w:rPr>
            </w:pPr>
          </w:p>
        </w:tc>
        <w:tc>
          <w:tcPr>
            <w:tcW w:w="1065" w:type="dxa"/>
            <w:tcBorders>
              <w:top w:val="single" w:sz="4" w:space="0" w:color="auto"/>
              <w:left w:val="nil"/>
              <w:bottom w:val="single" w:sz="4" w:space="0" w:color="auto"/>
              <w:right w:val="nil"/>
            </w:tcBorders>
            <w:shd w:val="clear" w:color="auto" w:fill="auto"/>
            <w:noWrap/>
            <w:vAlign w:val="center"/>
          </w:tcPr>
          <w:p w14:paraId="22B223B5" w14:textId="77777777" w:rsidR="0084096B" w:rsidRPr="009361EA" w:rsidRDefault="0084096B" w:rsidP="00B849AD">
            <w:pPr>
              <w:jc w:val="center"/>
              <w:rPr>
                <w:sz w:val="20"/>
                <w:szCs w:val="22"/>
                <w:lang w:val="en-US"/>
              </w:rPr>
            </w:pPr>
          </w:p>
        </w:tc>
        <w:tc>
          <w:tcPr>
            <w:tcW w:w="3514" w:type="dxa"/>
            <w:gridSpan w:val="4"/>
            <w:tcBorders>
              <w:top w:val="single" w:sz="4" w:space="0" w:color="auto"/>
              <w:left w:val="nil"/>
              <w:bottom w:val="single" w:sz="4" w:space="0" w:color="auto"/>
              <w:right w:val="nil"/>
            </w:tcBorders>
            <w:shd w:val="clear" w:color="auto" w:fill="auto"/>
            <w:noWrap/>
            <w:vAlign w:val="center"/>
          </w:tcPr>
          <w:p w14:paraId="2710ACA0" w14:textId="77777777" w:rsidR="0084096B" w:rsidRPr="009361EA" w:rsidRDefault="0084096B" w:rsidP="00B849AD">
            <w:pPr>
              <w:jc w:val="center"/>
              <w:rPr>
                <w:i/>
                <w:sz w:val="20"/>
                <w:szCs w:val="22"/>
                <w:lang w:val="en-US"/>
              </w:rPr>
            </w:pPr>
            <w:r w:rsidRPr="009361EA">
              <w:rPr>
                <w:i/>
                <w:sz w:val="20"/>
                <w:szCs w:val="22"/>
                <w:lang w:val="en-US"/>
              </w:rPr>
              <w:t>% of dry biomass</w:t>
            </w:r>
          </w:p>
        </w:tc>
        <w:tc>
          <w:tcPr>
            <w:tcW w:w="1920" w:type="dxa"/>
            <w:gridSpan w:val="2"/>
            <w:tcBorders>
              <w:top w:val="single" w:sz="4" w:space="0" w:color="auto"/>
              <w:left w:val="nil"/>
              <w:bottom w:val="single" w:sz="4" w:space="0" w:color="auto"/>
              <w:right w:val="nil"/>
            </w:tcBorders>
            <w:shd w:val="clear" w:color="auto" w:fill="auto"/>
            <w:noWrap/>
            <w:vAlign w:val="center"/>
          </w:tcPr>
          <w:p w14:paraId="45BB2FBF" w14:textId="77777777" w:rsidR="0084096B" w:rsidRPr="00FA758C" w:rsidRDefault="0084096B" w:rsidP="00B849AD">
            <w:pPr>
              <w:jc w:val="center"/>
              <w:rPr>
                <w:i/>
                <w:sz w:val="20"/>
                <w:szCs w:val="22"/>
                <w:lang w:val="en-US"/>
              </w:rPr>
            </w:pPr>
            <w:r w:rsidRPr="00FA758C">
              <w:rPr>
                <w:i/>
                <w:sz w:val="20"/>
                <w:szCs w:val="22"/>
                <w:lang w:val="en-US"/>
              </w:rPr>
              <w:t>(MJ/kg)</w:t>
            </w:r>
          </w:p>
        </w:tc>
        <w:tc>
          <w:tcPr>
            <w:tcW w:w="552" w:type="dxa"/>
            <w:tcBorders>
              <w:top w:val="single" w:sz="4" w:space="0" w:color="auto"/>
              <w:left w:val="nil"/>
              <w:bottom w:val="single" w:sz="4" w:space="0" w:color="auto"/>
              <w:right w:val="nil"/>
            </w:tcBorders>
            <w:vAlign w:val="center"/>
          </w:tcPr>
          <w:p w14:paraId="39238003" w14:textId="77777777" w:rsidR="0084096B" w:rsidRPr="009361EA" w:rsidRDefault="0084096B" w:rsidP="00B849AD">
            <w:pPr>
              <w:jc w:val="center"/>
              <w:rPr>
                <w:sz w:val="20"/>
                <w:szCs w:val="22"/>
                <w:lang w:val="en-US"/>
              </w:rPr>
            </w:pPr>
          </w:p>
        </w:tc>
        <w:tc>
          <w:tcPr>
            <w:tcW w:w="1308" w:type="dxa"/>
            <w:gridSpan w:val="2"/>
            <w:tcBorders>
              <w:top w:val="single" w:sz="4" w:space="0" w:color="auto"/>
              <w:left w:val="nil"/>
              <w:bottom w:val="single" w:sz="4" w:space="0" w:color="auto"/>
              <w:right w:val="nil"/>
            </w:tcBorders>
            <w:vAlign w:val="center"/>
          </w:tcPr>
          <w:p w14:paraId="21F2D3D3" w14:textId="77777777" w:rsidR="0084096B" w:rsidRPr="009361EA" w:rsidRDefault="0084096B" w:rsidP="00B849AD">
            <w:pPr>
              <w:jc w:val="center"/>
              <w:rPr>
                <w:i/>
                <w:sz w:val="20"/>
                <w:szCs w:val="22"/>
                <w:lang w:val="en-US"/>
              </w:rPr>
            </w:pPr>
            <w:r w:rsidRPr="009361EA">
              <w:rPr>
                <w:i/>
                <w:sz w:val="20"/>
                <w:szCs w:val="22"/>
                <w:lang w:val="en-US"/>
              </w:rPr>
              <w:t>% of recycled organics</w:t>
            </w:r>
          </w:p>
        </w:tc>
        <w:tc>
          <w:tcPr>
            <w:tcW w:w="654" w:type="dxa"/>
            <w:tcBorders>
              <w:top w:val="single" w:sz="4" w:space="0" w:color="auto"/>
              <w:left w:val="nil"/>
              <w:bottom w:val="single" w:sz="4" w:space="0" w:color="auto"/>
              <w:right w:val="nil"/>
            </w:tcBorders>
          </w:tcPr>
          <w:p w14:paraId="7BB50C3B" w14:textId="77777777" w:rsidR="0084096B" w:rsidRPr="009361EA" w:rsidRDefault="0084096B" w:rsidP="00B849AD">
            <w:pPr>
              <w:jc w:val="center"/>
              <w:rPr>
                <w:sz w:val="20"/>
                <w:szCs w:val="22"/>
                <w:lang w:val="en-US"/>
              </w:rPr>
            </w:pPr>
          </w:p>
        </w:tc>
      </w:tr>
      <w:tr w:rsidR="0084096B" w:rsidRPr="009361EA" w14:paraId="3A70C810" w14:textId="77777777" w:rsidTr="00B849AD">
        <w:trPr>
          <w:trHeight w:val="300"/>
          <w:jc w:val="center"/>
        </w:trPr>
        <w:tc>
          <w:tcPr>
            <w:tcW w:w="1228" w:type="dxa"/>
            <w:tcBorders>
              <w:top w:val="single" w:sz="4" w:space="0" w:color="auto"/>
              <w:left w:val="nil"/>
              <w:bottom w:val="single" w:sz="4" w:space="0" w:color="auto"/>
              <w:right w:val="nil"/>
            </w:tcBorders>
            <w:shd w:val="clear" w:color="auto" w:fill="auto"/>
            <w:noWrap/>
            <w:vAlign w:val="center"/>
          </w:tcPr>
          <w:p w14:paraId="6F9BFEFA" w14:textId="77777777" w:rsidR="0084096B" w:rsidRPr="009361EA" w:rsidRDefault="0084096B" w:rsidP="00B849AD">
            <w:pPr>
              <w:autoSpaceDE/>
              <w:autoSpaceDN/>
              <w:jc w:val="left"/>
              <w:rPr>
                <w:sz w:val="20"/>
                <w:szCs w:val="22"/>
                <w:lang w:val="en-US"/>
              </w:rPr>
            </w:pPr>
          </w:p>
        </w:tc>
        <w:tc>
          <w:tcPr>
            <w:tcW w:w="1065" w:type="dxa"/>
            <w:tcBorders>
              <w:top w:val="single" w:sz="4" w:space="0" w:color="auto"/>
              <w:left w:val="nil"/>
              <w:bottom w:val="single" w:sz="4" w:space="0" w:color="auto"/>
              <w:right w:val="nil"/>
            </w:tcBorders>
            <w:shd w:val="clear" w:color="auto" w:fill="auto"/>
            <w:noWrap/>
            <w:vAlign w:val="center"/>
          </w:tcPr>
          <w:p w14:paraId="4E91A4E5" w14:textId="77777777" w:rsidR="0084096B" w:rsidRPr="009361EA" w:rsidRDefault="0084096B" w:rsidP="00B849AD">
            <w:pPr>
              <w:jc w:val="center"/>
              <w:rPr>
                <w:sz w:val="20"/>
                <w:szCs w:val="22"/>
                <w:lang w:val="en-US"/>
              </w:rPr>
            </w:pPr>
            <w:r w:rsidRPr="00CB72C9">
              <w:rPr>
                <w:sz w:val="20"/>
                <w:szCs w:val="22"/>
                <w:highlight w:val="cyan"/>
                <w:lang w:val="en-US"/>
              </w:rPr>
              <w:t>H</w:t>
            </w:r>
            <w:r w:rsidRPr="00CB72C9">
              <w:rPr>
                <w:sz w:val="20"/>
                <w:szCs w:val="22"/>
                <w:highlight w:val="cyan"/>
                <w:vertAlign w:val="subscript"/>
                <w:lang w:val="en-US"/>
              </w:rPr>
              <w:t>2</w:t>
            </w:r>
            <w:r w:rsidRPr="00CB72C9">
              <w:rPr>
                <w:sz w:val="20"/>
                <w:szCs w:val="22"/>
                <w:highlight w:val="cyan"/>
                <w:lang w:val="en-US"/>
              </w:rPr>
              <w:t>O-feed ratio</w:t>
            </w:r>
          </w:p>
        </w:tc>
        <w:tc>
          <w:tcPr>
            <w:tcW w:w="654" w:type="dxa"/>
            <w:tcBorders>
              <w:top w:val="single" w:sz="4" w:space="0" w:color="auto"/>
              <w:left w:val="nil"/>
              <w:bottom w:val="single" w:sz="4" w:space="0" w:color="auto"/>
              <w:right w:val="nil"/>
            </w:tcBorders>
            <w:shd w:val="clear" w:color="auto" w:fill="auto"/>
            <w:noWrap/>
            <w:vAlign w:val="center"/>
          </w:tcPr>
          <w:p w14:paraId="446FCA92" w14:textId="77777777" w:rsidR="0084096B" w:rsidRPr="009361EA" w:rsidRDefault="0084096B" w:rsidP="00B849AD">
            <w:pPr>
              <w:jc w:val="center"/>
              <w:rPr>
                <w:sz w:val="20"/>
                <w:szCs w:val="22"/>
                <w:lang w:val="en-US"/>
              </w:rPr>
            </w:pPr>
            <w:r w:rsidRPr="009361EA">
              <w:rPr>
                <w:sz w:val="20"/>
                <w:szCs w:val="22"/>
                <w:lang w:val="en-US"/>
              </w:rPr>
              <w:t>Oil</w:t>
            </w:r>
          </w:p>
        </w:tc>
        <w:tc>
          <w:tcPr>
            <w:tcW w:w="1200" w:type="dxa"/>
            <w:tcBorders>
              <w:top w:val="single" w:sz="4" w:space="0" w:color="auto"/>
              <w:left w:val="nil"/>
              <w:bottom w:val="single" w:sz="4" w:space="0" w:color="auto"/>
              <w:right w:val="nil"/>
            </w:tcBorders>
            <w:shd w:val="clear" w:color="auto" w:fill="auto"/>
            <w:noWrap/>
            <w:vAlign w:val="center"/>
          </w:tcPr>
          <w:p w14:paraId="0FBB13AA" w14:textId="77777777" w:rsidR="0084096B" w:rsidRPr="009361EA" w:rsidRDefault="0084096B" w:rsidP="00B849AD">
            <w:pPr>
              <w:jc w:val="center"/>
              <w:rPr>
                <w:sz w:val="20"/>
                <w:szCs w:val="22"/>
                <w:lang w:val="en-US"/>
              </w:rPr>
            </w:pPr>
            <w:r w:rsidRPr="009361EA">
              <w:rPr>
                <w:sz w:val="20"/>
                <w:szCs w:val="22"/>
                <w:lang w:val="en-US"/>
              </w:rPr>
              <w:t>Aqueous</w:t>
            </w:r>
          </w:p>
        </w:tc>
        <w:tc>
          <w:tcPr>
            <w:tcW w:w="960" w:type="dxa"/>
            <w:tcBorders>
              <w:top w:val="single" w:sz="4" w:space="0" w:color="auto"/>
              <w:left w:val="nil"/>
              <w:bottom w:val="single" w:sz="4" w:space="0" w:color="auto"/>
              <w:right w:val="nil"/>
            </w:tcBorders>
            <w:shd w:val="clear" w:color="auto" w:fill="auto"/>
            <w:noWrap/>
            <w:vAlign w:val="center"/>
          </w:tcPr>
          <w:p w14:paraId="16EE2552" w14:textId="77777777" w:rsidR="0084096B" w:rsidRPr="009361EA" w:rsidRDefault="0084096B" w:rsidP="00B849AD">
            <w:pPr>
              <w:jc w:val="center"/>
              <w:rPr>
                <w:sz w:val="20"/>
                <w:szCs w:val="22"/>
                <w:lang w:val="en-US"/>
              </w:rPr>
            </w:pPr>
            <w:r w:rsidRPr="009361EA">
              <w:rPr>
                <w:sz w:val="20"/>
                <w:szCs w:val="22"/>
                <w:lang w:val="en-US"/>
              </w:rPr>
              <w:t>Char</w:t>
            </w:r>
          </w:p>
        </w:tc>
        <w:tc>
          <w:tcPr>
            <w:tcW w:w="700" w:type="dxa"/>
            <w:tcBorders>
              <w:top w:val="single" w:sz="4" w:space="0" w:color="auto"/>
              <w:left w:val="nil"/>
              <w:bottom w:val="single" w:sz="4" w:space="0" w:color="auto"/>
              <w:right w:val="nil"/>
            </w:tcBorders>
            <w:shd w:val="clear" w:color="auto" w:fill="auto"/>
            <w:noWrap/>
            <w:vAlign w:val="center"/>
          </w:tcPr>
          <w:p w14:paraId="491A75FB" w14:textId="77777777" w:rsidR="0084096B" w:rsidRPr="009361EA" w:rsidRDefault="0084096B" w:rsidP="00B849AD">
            <w:pPr>
              <w:jc w:val="center"/>
              <w:rPr>
                <w:sz w:val="20"/>
                <w:szCs w:val="22"/>
                <w:lang w:val="en-US"/>
              </w:rPr>
            </w:pPr>
            <w:r w:rsidRPr="009361EA">
              <w:rPr>
                <w:sz w:val="20"/>
                <w:szCs w:val="22"/>
                <w:lang w:val="en-US"/>
              </w:rPr>
              <w:t>Gas</w:t>
            </w:r>
          </w:p>
        </w:tc>
        <w:tc>
          <w:tcPr>
            <w:tcW w:w="960" w:type="dxa"/>
            <w:tcBorders>
              <w:top w:val="single" w:sz="4" w:space="0" w:color="auto"/>
              <w:left w:val="nil"/>
              <w:bottom w:val="single" w:sz="4" w:space="0" w:color="auto"/>
              <w:right w:val="nil"/>
            </w:tcBorders>
            <w:shd w:val="clear" w:color="auto" w:fill="auto"/>
            <w:noWrap/>
            <w:vAlign w:val="center"/>
          </w:tcPr>
          <w:p w14:paraId="172D0B0F" w14:textId="77777777" w:rsidR="0084096B" w:rsidRPr="009361EA" w:rsidRDefault="0084096B" w:rsidP="00B849AD">
            <w:pPr>
              <w:jc w:val="center"/>
              <w:rPr>
                <w:sz w:val="20"/>
                <w:szCs w:val="22"/>
                <w:lang w:val="en-US"/>
              </w:rPr>
            </w:pPr>
            <w:r w:rsidRPr="009361EA">
              <w:rPr>
                <w:sz w:val="20"/>
                <w:szCs w:val="22"/>
                <w:lang w:val="en-US"/>
              </w:rPr>
              <w:t>Oil</w:t>
            </w:r>
          </w:p>
        </w:tc>
        <w:tc>
          <w:tcPr>
            <w:tcW w:w="960" w:type="dxa"/>
            <w:tcBorders>
              <w:top w:val="single" w:sz="4" w:space="0" w:color="auto"/>
              <w:left w:val="nil"/>
              <w:bottom w:val="single" w:sz="4" w:space="0" w:color="auto"/>
              <w:right w:val="nil"/>
            </w:tcBorders>
            <w:shd w:val="clear" w:color="auto" w:fill="auto"/>
            <w:noWrap/>
            <w:vAlign w:val="center"/>
          </w:tcPr>
          <w:p w14:paraId="360DEF01" w14:textId="77777777" w:rsidR="0084096B" w:rsidRPr="009361EA" w:rsidRDefault="0084096B" w:rsidP="00B849AD">
            <w:pPr>
              <w:jc w:val="center"/>
              <w:rPr>
                <w:sz w:val="20"/>
                <w:szCs w:val="22"/>
                <w:lang w:val="en-US"/>
              </w:rPr>
            </w:pPr>
            <w:r w:rsidRPr="009361EA">
              <w:rPr>
                <w:sz w:val="20"/>
                <w:szCs w:val="22"/>
                <w:lang w:val="en-US"/>
              </w:rPr>
              <w:t>Char</w:t>
            </w:r>
          </w:p>
        </w:tc>
        <w:tc>
          <w:tcPr>
            <w:tcW w:w="552" w:type="dxa"/>
            <w:tcBorders>
              <w:top w:val="single" w:sz="4" w:space="0" w:color="auto"/>
              <w:left w:val="nil"/>
              <w:bottom w:val="single" w:sz="4" w:space="0" w:color="auto"/>
              <w:right w:val="nil"/>
            </w:tcBorders>
            <w:vAlign w:val="center"/>
          </w:tcPr>
          <w:p w14:paraId="4F96C7D0" w14:textId="77777777" w:rsidR="0084096B" w:rsidRPr="009361EA" w:rsidRDefault="0084096B" w:rsidP="00B849AD">
            <w:pPr>
              <w:jc w:val="center"/>
              <w:rPr>
                <w:sz w:val="20"/>
                <w:szCs w:val="22"/>
                <w:lang w:val="en-US"/>
              </w:rPr>
            </w:pPr>
            <w:r w:rsidRPr="009361EA">
              <w:rPr>
                <w:sz w:val="20"/>
                <w:szCs w:val="22"/>
                <w:lang w:val="en-US"/>
              </w:rPr>
              <w:t>Gas</w:t>
            </w:r>
          </w:p>
        </w:tc>
        <w:tc>
          <w:tcPr>
            <w:tcW w:w="654" w:type="dxa"/>
            <w:tcBorders>
              <w:top w:val="single" w:sz="4" w:space="0" w:color="auto"/>
              <w:left w:val="nil"/>
              <w:bottom w:val="single" w:sz="4" w:space="0" w:color="auto"/>
              <w:right w:val="nil"/>
            </w:tcBorders>
            <w:vAlign w:val="center"/>
          </w:tcPr>
          <w:p w14:paraId="667C5738" w14:textId="77777777" w:rsidR="0084096B" w:rsidRPr="009361EA" w:rsidRDefault="0084096B" w:rsidP="00B849AD">
            <w:pPr>
              <w:jc w:val="center"/>
              <w:rPr>
                <w:sz w:val="20"/>
                <w:szCs w:val="22"/>
                <w:lang w:val="en-US"/>
              </w:rPr>
            </w:pPr>
            <w:r w:rsidRPr="009361EA">
              <w:rPr>
                <w:sz w:val="20"/>
                <w:szCs w:val="22"/>
                <w:lang w:val="en-US"/>
              </w:rPr>
              <w:t>Oil</w:t>
            </w:r>
          </w:p>
        </w:tc>
        <w:tc>
          <w:tcPr>
            <w:tcW w:w="654" w:type="dxa"/>
            <w:tcBorders>
              <w:top w:val="single" w:sz="4" w:space="0" w:color="auto"/>
              <w:left w:val="nil"/>
              <w:bottom w:val="single" w:sz="4" w:space="0" w:color="auto"/>
              <w:right w:val="nil"/>
            </w:tcBorders>
            <w:vAlign w:val="center"/>
          </w:tcPr>
          <w:p w14:paraId="4B2AE552" w14:textId="77777777" w:rsidR="0084096B" w:rsidRPr="009361EA" w:rsidRDefault="0084096B" w:rsidP="00B849AD">
            <w:pPr>
              <w:jc w:val="center"/>
              <w:rPr>
                <w:sz w:val="20"/>
                <w:szCs w:val="22"/>
                <w:lang w:val="en-US"/>
              </w:rPr>
            </w:pPr>
            <w:r w:rsidRPr="009361EA">
              <w:rPr>
                <w:sz w:val="20"/>
                <w:szCs w:val="22"/>
                <w:lang w:val="en-US"/>
              </w:rPr>
              <w:t>Char</w:t>
            </w:r>
          </w:p>
        </w:tc>
        <w:tc>
          <w:tcPr>
            <w:tcW w:w="654" w:type="dxa"/>
            <w:tcBorders>
              <w:top w:val="single" w:sz="4" w:space="0" w:color="auto"/>
              <w:left w:val="nil"/>
              <w:bottom w:val="single" w:sz="4" w:space="0" w:color="auto"/>
              <w:right w:val="nil"/>
            </w:tcBorders>
          </w:tcPr>
          <w:p w14:paraId="47AC5CCC" w14:textId="77777777" w:rsidR="0084096B" w:rsidRPr="009361EA" w:rsidRDefault="0084096B" w:rsidP="00B849AD">
            <w:pPr>
              <w:jc w:val="center"/>
              <w:rPr>
                <w:sz w:val="20"/>
                <w:szCs w:val="22"/>
                <w:lang w:val="en-US"/>
              </w:rPr>
            </w:pPr>
          </w:p>
        </w:tc>
      </w:tr>
      <w:tr w:rsidR="0084096B" w:rsidRPr="009361EA" w14:paraId="1F3D2AB2" w14:textId="77777777" w:rsidTr="00B849AD">
        <w:trPr>
          <w:trHeight w:val="300"/>
          <w:jc w:val="center"/>
        </w:trPr>
        <w:tc>
          <w:tcPr>
            <w:tcW w:w="1228" w:type="dxa"/>
            <w:tcBorders>
              <w:top w:val="single" w:sz="4" w:space="0" w:color="auto"/>
              <w:left w:val="nil"/>
              <w:bottom w:val="nil"/>
              <w:right w:val="nil"/>
            </w:tcBorders>
            <w:shd w:val="clear" w:color="auto" w:fill="auto"/>
            <w:noWrap/>
            <w:vAlign w:val="center"/>
            <w:hideMark/>
          </w:tcPr>
          <w:p w14:paraId="13B7F25F" w14:textId="77777777" w:rsidR="0084096B" w:rsidRPr="009361EA" w:rsidRDefault="0084096B" w:rsidP="00B849AD">
            <w:pPr>
              <w:autoSpaceDE/>
              <w:autoSpaceDN/>
              <w:jc w:val="left"/>
              <w:rPr>
                <w:sz w:val="22"/>
                <w:szCs w:val="22"/>
                <w:lang w:val="en-US" w:eastAsia="pt-BR"/>
              </w:rPr>
            </w:pPr>
            <w:r w:rsidRPr="009361EA">
              <w:rPr>
                <w:sz w:val="22"/>
                <w:szCs w:val="22"/>
                <w:lang w:val="en-US"/>
              </w:rPr>
              <w:t>Eucalyptus</w:t>
            </w:r>
          </w:p>
        </w:tc>
        <w:tc>
          <w:tcPr>
            <w:tcW w:w="1065" w:type="dxa"/>
            <w:tcBorders>
              <w:top w:val="single" w:sz="4" w:space="0" w:color="auto"/>
              <w:left w:val="nil"/>
              <w:bottom w:val="nil"/>
              <w:right w:val="nil"/>
            </w:tcBorders>
            <w:shd w:val="clear" w:color="auto" w:fill="auto"/>
            <w:noWrap/>
            <w:vAlign w:val="center"/>
          </w:tcPr>
          <w:p w14:paraId="12D9D0D9" w14:textId="77777777" w:rsidR="0084096B" w:rsidRPr="009361EA" w:rsidRDefault="0084096B" w:rsidP="00B849AD">
            <w:pPr>
              <w:autoSpaceDE/>
              <w:autoSpaceDN/>
              <w:jc w:val="center"/>
              <w:rPr>
                <w:sz w:val="22"/>
                <w:szCs w:val="22"/>
                <w:lang w:val="en-US" w:eastAsia="pt-BR"/>
              </w:rPr>
            </w:pPr>
            <w:r w:rsidRPr="009361EA">
              <w:rPr>
                <w:sz w:val="22"/>
                <w:szCs w:val="22"/>
                <w:lang w:val="en-US"/>
              </w:rPr>
              <w:t>(6:1)</w:t>
            </w:r>
          </w:p>
        </w:tc>
        <w:tc>
          <w:tcPr>
            <w:tcW w:w="654" w:type="dxa"/>
            <w:tcBorders>
              <w:top w:val="single" w:sz="4" w:space="0" w:color="auto"/>
              <w:left w:val="nil"/>
              <w:bottom w:val="nil"/>
              <w:right w:val="nil"/>
            </w:tcBorders>
            <w:shd w:val="clear" w:color="auto" w:fill="auto"/>
            <w:noWrap/>
            <w:vAlign w:val="center"/>
          </w:tcPr>
          <w:p w14:paraId="492DE05C" w14:textId="77777777" w:rsidR="0084096B" w:rsidRPr="009361EA" w:rsidRDefault="0084096B" w:rsidP="00B849AD">
            <w:pPr>
              <w:jc w:val="center"/>
              <w:rPr>
                <w:sz w:val="22"/>
                <w:szCs w:val="22"/>
                <w:lang w:val="en-US"/>
              </w:rPr>
            </w:pPr>
            <w:r w:rsidRPr="009361EA">
              <w:rPr>
                <w:sz w:val="22"/>
                <w:szCs w:val="22"/>
                <w:lang w:val="en-US"/>
              </w:rPr>
              <w:t>23%</w:t>
            </w:r>
          </w:p>
        </w:tc>
        <w:tc>
          <w:tcPr>
            <w:tcW w:w="1200" w:type="dxa"/>
            <w:tcBorders>
              <w:top w:val="single" w:sz="4" w:space="0" w:color="auto"/>
              <w:left w:val="nil"/>
              <w:bottom w:val="nil"/>
              <w:right w:val="nil"/>
            </w:tcBorders>
            <w:shd w:val="clear" w:color="auto" w:fill="auto"/>
            <w:noWrap/>
            <w:vAlign w:val="center"/>
          </w:tcPr>
          <w:p w14:paraId="000506DD" w14:textId="77777777" w:rsidR="0084096B" w:rsidRPr="009361EA" w:rsidRDefault="0084096B" w:rsidP="00B849AD">
            <w:pPr>
              <w:jc w:val="center"/>
              <w:rPr>
                <w:sz w:val="22"/>
                <w:szCs w:val="22"/>
                <w:lang w:val="en-US"/>
              </w:rPr>
            </w:pPr>
            <w:r w:rsidRPr="009361EA">
              <w:rPr>
                <w:sz w:val="22"/>
                <w:szCs w:val="22"/>
                <w:lang w:val="en-US"/>
              </w:rPr>
              <w:t>16%</w:t>
            </w:r>
          </w:p>
        </w:tc>
        <w:tc>
          <w:tcPr>
            <w:tcW w:w="960" w:type="dxa"/>
            <w:tcBorders>
              <w:top w:val="single" w:sz="4" w:space="0" w:color="auto"/>
              <w:left w:val="nil"/>
              <w:bottom w:val="nil"/>
              <w:right w:val="nil"/>
            </w:tcBorders>
            <w:shd w:val="clear" w:color="auto" w:fill="auto"/>
            <w:noWrap/>
            <w:vAlign w:val="center"/>
          </w:tcPr>
          <w:p w14:paraId="5BE4ECCD" w14:textId="77777777" w:rsidR="0084096B" w:rsidRPr="009361EA" w:rsidRDefault="0084096B" w:rsidP="00B849AD">
            <w:pPr>
              <w:jc w:val="center"/>
              <w:rPr>
                <w:sz w:val="22"/>
                <w:szCs w:val="22"/>
                <w:lang w:val="en-US"/>
              </w:rPr>
            </w:pPr>
            <w:r w:rsidRPr="009361EA">
              <w:rPr>
                <w:sz w:val="22"/>
                <w:szCs w:val="22"/>
                <w:lang w:val="en-US"/>
              </w:rPr>
              <w:t>27%</w:t>
            </w:r>
          </w:p>
        </w:tc>
        <w:tc>
          <w:tcPr>
            <w:tcW w:w="700" w:type="dxa"/>
            <w:tcBorders>
              <w:top w:val="single" w:sz="4" w:space="0" w:color="auto"/>
              <w:left w:val="nil"/>
              <w:bottom w:val="nil"/>
              <w:right w:val="nil"/>
            </w:tcBorders>
            <w:shd w:val="clear" w:color="auto" w:fill="auto"/>
            <w:noWrap/>
            <w:vAlign w:val="center"/>
          </w:tcPr>
          <w:p w14:paraId="785D6E3B" w14:textId="77777777" w:rsidR="0084096B" w:rsidRPr="009361EA" w:rsidRDefault="0084096B" w:rsidP="00B849AD">
            <w:pPr>
              <w:jc w:val="center"/>
              <w:rPr>
                <w:sz w:val="22"/>
                <w:szCs w:val="22"/>
                <w:lang w:val="en-US"/>
              </w:rPr>
            </w:pPr>
            <w:r w:rsidRPr="009361EA">
              <w:rPr>
                <w:sz w:val="22"/>
                <w:szCs w:val="22"/>
                <w:lang w:val="en-US"/>
              </w:rPr>
              <w:t>19%</w:t>
            </w:r>
          </w:p>
        </w:tc>
        <w:tc>
          <w:tcPr>
            <w:tcW w:w="960" w:type="dxa"/>
            <w:tcBorders>
              <w:top w:val="single" w:sz="4" w:space="0" w:color="auto"/>
              <w:left w:val="nil"/>
              <w:bottom w:val="nil"/>
              <w:right w:val="nil"/>
            </w:tcBorders>
            <w:shd w:val="clear" w:color="auto" w:fill="auto"/>
            <w:noWrap/>
            <w:vAlign w:val="center"/>
          </w:tcPr>
          <w:p w14:paraId="335ABB81" w14:textId="77777777" w:rsidR="0084096B" w:rsidRPr="009361EA" w:rsidRDefault="0084096B" w:rsidP="00B849AD">
            <w:pPr>
              <w:jc w:val="center"/>
              <w:rPr>
                <w:sz w:val="22"/>
                <w:szCs w:val="22"/>
                <w:lang w:val="en-US"/>
              </w:rPr>
            </w:pPr>
            <w:r w:rsidRPr="009361EA">
              <w:rPr>
                <w:sz w:val="22"/>
                <w:szCs w:val="22"/>
                <w:lang w:val="en-US"/>
              </w:rPr>
              <w:t>27</w:t>
            </w:r>
          </w:p>
        </w:tc>
        <w:tc>
          <w:tcPr>
            <w:tcW w:w="960" w:type="dxa"/>
            <w:tcBorders>
              <w:top w:val="single" w:sz="4" w:space="0" w:color="auto"/>
              <w:left w:val="nil"/>
              <w:bottom w:val="nil"/>
              <w:right w:val="nil"/>
            </w:tcBorders>
            <w:shd w:val="clear" w:color="auto" w:fill="auto"/>
            <w:noWrap/>
            <w:vAlign w:val="center"/>
          </w:tcPr>
          <w:p w14:paraId="3AD81742" w14:textId="77777777" w:rsidR="0084096B" w:rsidRPr="009361EA" w:rsidRDefault="0084096B" w:rsidP="00B849AD">
            <w:pPr>
              <w:jc w:val="center"/>
              <w:rPr>
                <w:sz w:val="22"/>
                <w:szCs w:val="22"/>
                <w:lang w:val="en-US"/>
              </w:rPr>
            </w:pPr>
            <w:r w:rsidRPr="009361EA">
              <w:rPr>
                <w:sz w:val="22"/>
                <w:szCs w:val="22"/>
                <w:lang w:val="en-US"/>
              </w:rPr>
              <w:t>26</w:t>
            </w:r>
          </w:p>
        </w:tc>
        <w:tc>
          <w:tcPr>
            <w:tcW w:w="552" w:type="dxa"/>
            <w:tcBorders>
              <w:top w:val="single" w:sz="4" w:space="0" w:color="auto"/>
              <w:left w:val="nil"/>
              <w:bottom w:val="nil"/>
              <w:right w:val="nil"/>
            </w:tcBorders>
            <w:shd w:val="clear" w:color="auto" w:fill="auto"/>
            <w:vAlign w:val="center"/>
          </w:tcPr>
          <w:p w14:paraId="0F011F30" w14:textId="77777777" w:rsidR="0084096B" w:rsidRPr="009361EA" w:rsidRDefault="0084096B" w:rsidP="00B849AD">
            <w:pPr>
              <w:jc w:val="center"/>
              <w:rPr>
                <w:sz w:val="22"/>
                <w:szCs w:val="22"/>
                <w:lang w:val="en-US"/>
              </w:rPr>
            </w:pPr>
            <w:r w:rsidRPr="009361EA">
              <w:rPr>
                <w:sz w:val="22"/>
                <w:szCs w:val="22"/>
                <w:lang w:val="en-US"/>
              </w:rPr>
              <w:t>4</w:t>
            </w:r>
          </w:p>
        </w:tc>
        <w:tc>
          <w:tcPr>
            <w:tcW w:w="654" w:type="dxa"/>
            <w:tcBorders>
              <w:top w:val="single" w:sz="4" w:space="0" w:color="auto"/>
              <w:left w:val="nil"/>
              <w:bottom w:val="nil"/>
              <w:right w:val="nil"/>
            </w:tcBorders>
            <w:shd w:val="clear" w:color="auto" w:fill="auto"/>
            <w:vAlign w:val="center"/>
          </w:tcPr>
          <w:p w14:paraId="3916309B" w14:textId="77777777" w:rsidR="0084096B" w:rsidRPr="009361EA" w:rsidRDefault="0084096B" w:rsidP="00B849AD">
            <w:pPr>
              <w:jc w:val="center"/>
              <w:rPr>
                <w:sz w:val="22"/>
                <w:szCs w:val="22"/>
                <w:lang w:val="en-US"/>
              </w:rPr>
            </w:pPr>
            <w:r w:rsidRPr="009361EA">
              <w:rPr>
                <w:sz w:val="22"/>
                <w:szCs w:val="22"/>
                <w:lang w:val="en-US"/>
              </w:rPr>
              <w:t>5%</w:t>
            </w:r>
          </w:p>
        </w:tc>
        <w:tc>
          <w:tcPr>
            <w:tcW w:w="654" w:type="dxa"/>
            <w:tcBorders>
              <w:top w:val="single" w:sz="4" w:space="0" w:color="auto"/>
              <w:left w:val="nil"/>
              <w:bottom w:val="nil"/>
              <w:right w:val="nil"/>
            </w:tcBorders>
            <w:shd w:val="clear" w:color="auto" w:fill="auto"/>
            <w:vAlign w:val="center"/>
          </w:tcPr>
          <w:p w14:paraId="23537EAE" w14:textId="77777777" w:rsidR="0084096B" w:rsidRPr="009361EA" w:rsidRDefault="0084096B" w:rsidP="00B849AD">
            <w:pPr>
              <w:jc w:val="center"/>
              <w:rPr>
                <w:sz w:val="22"/>
                <w:szCs w:val="22"/>
                <w:lang w:val="en-US"/>
              </w:rPr>
            </w:pPr>
            <w:r w:rsidRPr="009361EA">
              <w:rPr>
                <w:sz w:val="22"/>
                <w:szCs w:val="22"/>
                <w:lang w:val="en-US"/>
              </w:rPr>
              <w:t>15%</w:t>
            </w:r>
          </w:p>
        </w:tc>
        <w:tc>
          <w:tcPr>
            <w:tcW w:w="654" w:type="dxa"/>
            <w:tcBorders>
              <w:top w:val="single" w:sz="4" w:space="0" w:color="auto"/>
              <w:left w:val="nil"/>
              <w:bottom w:val="nil"/>
              <w:right w:val="nil"/>
            </w:tcBorders>
          </w:tcPr>
          <w:p w14:paraId="552FA0EB"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Mgll1VrO","properties":{"formattedCitation":"[23]","plainCitation":"[23]","noteIndex":0},"citationItems":[{"id":882,"uris":["http://zotero.org/users/5217225/items/SM66UL8H"],"uri":["http://zotero.org/users/5217225/items/SM66UL8H"],"itemData":{"id":882,"type":"article-journal","abstract":"The effects of two kinds of wastewater (black liquor and paper regeneration wastewater) from paper industry as solvent on the hydrothermal liquefaction of plantation biomass were discussed in this study. For the solvent of eucalyptus, black liquor was not suitable because the oil yield was very low and the yield of water-soluble constituent was very high. There was little difference in the product yields between the liquefaction of eucalyptus with the paper regeneration wastewater (pH 9.5) and that with NaOH aqueous solution (pH 9.5). In comparison with the liquefaction with water, the decrease of residue yield and the increase of oil yield were observed on the liquefaction with the wastewater. During the liquefaction with water, it was anticipated that dehydration and polymerization between carboxylic and phenolic hydroxyl groups in the molecules of the eucalyptus occurred. On the other hand, carboxylic acid formed during the liquefaction of eucalyptus was considered to be neutralized with Na+ in NaOH aqueous solution or cations in the wastewater because the formation of carboxylate was observed in the water-soluble constituents derived from these liquefactions. Therefore, the residue yield decreased owing to the inhibition of the condensation reaction. Accordingly, possibility for the reduction of the amount of greenhouse gas (CO2) and paper regeneration wastewater, and the production of oil from eucalyptus was clarified on the liquefaction of plantation biomass (eucalyptus) with paper regeneration wastewater.","container-title":"Journal of Materials Science","DOI":"10.1007/s10853-007-2106-8","ISSN":"1573-4803","issue":"7","journalAbbreviation":"J Mater Sci","language":"en","page":"2476-2486","source":"Springer Link","title":"Hydrothermal liquefaction of plantation biomass with two kinds of wastewater from paper industry","volume":"43","author":[{"family":"Sugano","given":"Motoyuki"},{"family":"Takagi","given":"Hirokazu"},{"family":"Hirano","given":"Katsumi"},{"family":"Mashimo","given":"Kiyoshi"}],"issued":{"date-parts":[["2008",4,1]]}}}],"schema":"https://github.com/citation-style-language/schema/raw/master/csl-citation.json"} </w:instrText>
            </w:r>
            <w:r w:rsidRPr="009361EA">
              <w:rPr>
                <w:sz w:val="22"/>
                <w:szCs w:val="22"/>
                <w:lang w:val="en-US"/>
              </w:rPr>
              <w:fldChar w:fldCharType="separate"/>
            </w:r>
            <w:r w:rsidRPr="00DE1CA2">
              <w:rPr>
                <w:sz w:val="22"/>
              </w:rPr>
              <w:t>[23]</w:t>
            </w:r>
            <w:r w:rsidRPr="009361EA">
              <w:rPr>
                <w:sz w:val="22"/>
                <w:szCs w:val="22"/>
                <w:lang w:val="en-US"/>
              </w:rPr>
              <w:fldChar w:fldCharType="end"/>
            </w:r>
          </w:p>
        </w:tc>
      </w:tr>
      <w:tr w:rsidR="0084096B" w:rsidRPr="009361EA" w14:paraId="43A18798"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089BA18B" w14:textId="77777777" w:rsidR="0084096B" w:rsidRPr="009361EA" w:rsidRDefault="0084096B" w:rsidP="00B849AD">
            <w:pPr>
              <w:autoSpaceDE/>
              <w:autoSpaceDN/>
              <w:jc w:val="left"/>
              <w:rPr>
                <w:sz w:val="22"/>
                <w:szCs w:val="22"/>
                <w:lang w:val="en-US" w:eastAsia="pt-BR"/>
              </w:rPr>
            </w:pPr>
            <w:r w:rsidRPr="009361EA">
              <w:rPr>
                <w:sz w:val="22"/>
                <w:szCs w:val="22"/>
                <w:lang w:val="en-US"/>
              </w:rPr>
              <w:t>Pine</w:t>
            </w:r>
          </w:p>
        </w:tc>
        <w:tc>
          <w:tcPr>
            <w:tcW w:w="1065" w:type="dxa"/>
            <w:tcBorders>
              <w:top w:val="nil"/>
              <w:left w:val="nil"/>
              <w:bottom w:val="nil"/>
              <w:right w:val="nil"/>
            </w:tcBorders>
            <w:shd w:val="clear" w:color="auto" w:fill="auto"/>
            <w:noWrap/>
            <w:vAlign w:val="center"/>
          </w:tcPr>
          <w:p w14:paraId="559111C9" w14:textId="77777777" w:rsidR="0084096B" w:rsidRPr="009361EA" w:rsidRDefault="0084096B" w:rsidP="00B849AD">
            <w:pPr>
              <w:jc w:val="center"/>
              <w:rPr>
                <w:sz w:val="22"/>
                <w:szCs w:val="22"/>
                <w:lang w:val="en-US"/>
              </w:rPr>
            </w:pPr>
            <w:r w:rsidRPr="009361EA">
              <w:rPr>
                <w:sz w:val="22"/>
                <w:szCs w:val="22"/>
                <w:lang w:val="en-US"/>
              </w:rPr>
              <w:t>(6:1)</w:t>
            </w:r>
          </w:p>
        </w:tc>
        <w:tc>
          <w:tcPr>
            <w:tcW w:w="654" w:type="dxa"/>
            <w:tcBorders>
              <w:top w:val="nil"/>
              <w:left w:val="nil"/>
              <w:bottom w:val="nil"/>
              <w:right w:val="nil"/>
            </w:tcBorders>
            <w:shd w:val="clear" w:color="auto" w:fill="auto"/>
            <w:noWrap/>
            <w:vAlign w:val="center"/>
          </w:tcPr>
          <w:p w14:paraId="39642004" w14:textId="77777777" w:rsidR="0084096B" w:rsidRPr="009361EA" w:rsidRDefault="0084096B" w:rsidP="00B849AD">
            <w:pPr>
              <w:jc w:val="center"/>
              <w:rPr>
                <w:sz w:val="22"/>
                <w:szCs w:val="22"/>
                <w:lang w:val="en-US"/>
              </w:rPr>
            </w:pPr>
            <w:r w:rsidRPr="009361EA">
              <w:rPr>
                <w:sz w:val="22"/>
                <w:szCs w:val="22"/>
                <w:lang w:val="en-US"/>
              </w:rPr>
              <w:t>35%</w:t>
            </w:r>
          </w:p>
        </w:tc>
        <w:tc>
          <w:tcPr>
            <w:tcW w:w="1200" w:type="dxa"/>
            <w:tcBorders>
              <w:top w:val="nil"/>
              <w:left w:val="nil"/>
              <w:bottom w:val="nil"/>
              <w:right w:val="nil"/>
            </w:tcBorders>
            <w:shd w:val="clear" w:color="auto" w:fill="auto"/>
            <w:noWrap/>
            <w:vAlign w:val="center"/>
          </w:tcPr>
          <w:p w14:paraId="512D04AE" w14:textId="77777777" w:rsidR="0084096B" w:rsidRPr="009361EA" w:rsidRDefault="0084096B" w:rsidP="00B849AD">
            <w:pPr>
              <w:jc w:val="center"/>
              <w:rPr>
                <w:sz w:val="22"/>
                <w:szCs w:val="22"/>
                <w:lang w:val="en-US"/>
              </w:rPr>
            </w:pPr>
            <w:r w:rsidRPr="009361EA">
              <w:rPr>
                <w:sz w:val="22"/>
                <w:szCs w:val="22"/>
                <w:lang w:val="en-US"/>
              </w:rPr>
              <w:t>35%</w:t>
            </w:r>
          </w:p>
        </w:tc>
        <w:tc>
          <w:tcPr>
            <w:tcW w:w="960" w:type="dxa"/>
            <w:tcBorders>
              <w:top w:val="nil"/>
              <w:left w:val="nil"/>
              <w:bottom w:val="nil"/>
              <w:right w:val="nil"/>
            </w:tcBorders>
            <w:shd w:val="clear" w:color="auto" w:fill="auto"/>
            <w:noWrap/>
            <w:vAlign w:val="center"/>
          </w:tcPr>
          <w:p w14:paraId="47196F23" w14:textId="77777777" w:rsidR="0084096B" w:rsidRPr="009361EA" w:rsidRDefault="0084096B" w:rsidP="00B849AD">
            <w:pPr>
              <w:jc w:val="center"/>
              <w:rPr>
                <w:sz w:val="22"/>
                <w:szCs w:val="22"/>
                <w:lang w:val="en-US"/>
              </w:rPr>
            </w:pPr>
            <w:r w:rsidRPr="009361EA">
              <w:rPr>
                <w:sz w:val="22"/>
                <w:szCs w:val="22"/>
                <w:lang w:val="en-US"/>
              </w:rPr>
              <w:t>6%</w:t>
            </w:r>
          </w:p>
        </w:tc>
        <w:tc>
          <w:tcPr>
            <w:tcW w:w="700" w:type="dxa"/>
            <w:tcBorders>
              <w:top w:val="nil"/>
              <w:left w:val="nil"/>
              <w:bottom w:val="nil"/>
              <w:right w:val="nil"/>
            </w:tcBorders>
            <w:shd w:val="clear" w:color="auto" w:fill="auto"/>
            <w:noWrap/>
            <w:vAlign w:val="center"/>
          </w:tcPr>
          <w:p w14:paraId="35C96915" w14:textId="77777777" w:rsidR="0084096B" w:rsidRPr="009361EA" w:rsidRDefault="0084096B" w:rsidP="00B849AD">
            <w:pPr>
              <w:jc w:val="center"/>
              <w:rPr>
                <w:sz w:val="22"/>
                <w:szCs w:val="22"/>
                <w:lang w:val="en-US"/>
              </w:rPr>
            </w:pPr>
            <w:r w:rsidRPr="009361EA">
              <w:rPr>
                <w:sz w:val="22"/>
                <w:szCs w:val="22"/>
                <w:lang w:val="en-US"/>
              </w:rPr>
              <w:t>18%</w:t>
            </w:r>
          </w:p>
        </w:tc>
        <w:tc>
          <w:tcPr>
            <w:tcW w:w="960" w:type="dxa"/>
            <w:tcBorders>
              <w:top w:val="nil"/>
              <w:left w:val="nil"/>
              <w:bottom w:val="nil"/>
              <w:right w:val="nil"/>
            </w:tcBorders>
            <w:shd w:val="clear" w:color="auto" w:fill="auto"/>
            <w:noWrap/>
            <w:vAlign w:val="center"/>
          </w:tcPr>
          <w:p w14:paraId="0AD11C87" w14:textId="77777777" w:rsidR="0084096B" w:rsidRPr="009361EA" w:rsidRDefault="0084096B" w:rsidP="00B849AD">
            <w:pPr>
              <w:jc w:val="center"/>
              <w:rPr>
                <w:sz w:val="22"/>
                <w:szCs w:val="22"/>
                <w:lang w:val="en-US"/>
              </w:rPr>
            </w:pPr>
            <w:r w:rsidRPr="009361EA">
              <w:rPr>
                <w:sz w:val="22"/>
                <w:szCs w:val="22"/>
                <w:lang w:val="en-US"/>
              </w:rPr>
              <w:t>25</w:t>
            </w:r>
          </w:p>
        </w:tc>
        <w:tc>
          <w:tcPr>
            <w:tcW w:w="960" w:type="dxa"/>
            <w:tcBorders>
              <w:top w:val="nil"/>
              <w:left w:val="nil"/>
              <w:bottom w:val="nil"/>
              <w:right w:val="nil"/>
            </w:tcBorders>
            <w:shd w:val="clear" w:color="auto" w:fill="auto"/>
            <w:noWrap/>
            <w:vAlign w:val="center"/>
          </w:tcPr>
          <w:p w14:paraId="13402EFA" w14:textId="77777777" w:rsidR="0084096B" w:rsidRPr="009361EA" w:rsidRDefault="0084096B" w:rsidP="00B849AD">
            <w:pPr>
              <w:jc w:val="center"/>
              <w:rPr>
                <w:sz w:val="22"/>
                <w:szCs w:val="22"/>
                <w:lang w:val="en-US"/>
              </w:rPr>
            </w:pPr>
            <w:r w:rsidRPr="009361EA">
              <w:rPr>
                <w:sz w:val="22"/>
                <w:szCs w:val="22"/>
                <w:lang w:val="en-US"/>
              </w:rPr>
              <w:t>29</w:t>
            </w:r>
          </w:p>
        </w:tc>
        <w:tc>
          <w:tcPr>
            <w:tcW w:w="552" w:type="dxa"/>
            <w:tcBorders>
              <w:top w:val="nil"/>
              <w:left w:val="nil"/>
              <w:bottom w:val="nil"/>
              <w:right w:val="nil"/>
            </w:tcBorders>
            <w:shd w:val="clear" w:color="auto" w:fill="auto"/>
            <w:vAlign w:val="center"/>
          </w:tcPr>
          <w:p w14:paraId="2056EEAF" w14:textId="77777777" w:rsidR="0084096B" w:rsidRPr="009361EA" w:rsidRDefault="0084096B" w:rsidP="00B849AD">
            <w:pPr>
              <w:jc w:val="center"/>
              <w:rPr>
                <w:sz w:val="22"/>
                <w:szCs w:val="22"/>
                <w:lang w:val="en-US"/>
              </w:rPr>
            </w:pPr>
            <w:r w:rsidRPr="009361EA">
              <w:rPr>
                <w:sz w:val="22"/>
                <w:szCs w:val="22"/>
                <w:lang w:val="en-US"/>
              </w:rPr>
              <w:t>4</w:t>
            </w:r>
          </w:p>
        </w:tc>
        <w:tc>
          <w:tcPr>
            <w:tcW w:w="654" w:type="dxa"/>
            <w:tcBorders>
              <w:top w:val="nil"/>
              <w:left w:val="nil"/>
              <w:bottom w:val="nil"/>
              <w:right w:val="nil"/>
            </w:tcBorders>
            <w:shd w:val="clear" w:color="auto" w:fill="auto"/>
            <w:vAlign w:val="center"/>
          </w:tcPr>
          <w:p w14:paraId="420F7C73" w14:textId="77777777" w:rsidR="0084096B" w:rsidRPr="009361EA" w:rsidRDefault="0084096B" w:rsidP="00B849AD">
            <w:pPr>
              <w:jc w:val="center"/>
              <w:rPr>
                <w:sz w:val="22"/>
                <w:szCs w:val="22"/>
                <w:lang w:val="en-US"/>
              </w:rPr>
            </w:pPr>
            <w:r w:rsidRPr="009361EA">
              <w:rPr>
                <w:sz w:val="22"/>
                <w:szCs w:val="22"/>
                <w:lang w:val="en-US"/>
              </w:rPr>
              <w:t>8%</w:t>
            </w:r>
          </w:p>
        </w:tc>
        <w:tc>
          <w:tcPr>
            <w:tcW w:w="654" w:type="dxa"/>
            <w:tcBorders>
              <w:top w:val="nil"/>
              <w:left w:val="nil"/>
              <w:bottom w:val="nil"/>
              <w:right w:val="nil"/>
            </w:tcBorders>
            <w:shd w:val="clear" w:color="auto" w:fill="auto"/>
            <w:vAlign w:val="center"/>
          </w:tcPr>
          <w:p w14:paraId="67262F8D" w14:textId="77777777" w:rsidR="0084096B" w:rsidRPr="009361EA" w:rsidRDefault="0084096B" w:rsidP="00B849AD">
            <w:pPr>
              <w:jc w:val="center"/>
              <w:rPr>
                <w:sz w:val="22"/>
                <w:szCs w:val="22"/>
                <w:lang w:val="en-US"/>
              </w:rPr>
            </w:pPr>
            <w:r w:rsidRPr="009361EA">
              <w:rPr>
                <w:sz w:val="22"/>
                <w:szCs w:val="22"/>
                <w:lang w:val="en-US"/>
              </w:rPr>
              <w:t>23%</w:t>
            </w:r>
          </w:p>
        </w:tc>
        <w:tc>
          <w:tcPr>
            <w:tcW w:w="654" w:type="dxa"/>
            <w:tcBorders>
              <w:top w:val="nil"/>
              <w:left w:val="nil"/>
              <w:bottom w:val="nil"/>
              <w:right w:val="nil"/>
            </w:tcBorders>
          </w:tcPr>
          <w:p w14:paraId="3EFB2404"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69ZZSEYi","properties":{"formattedCitation":"[24]","plainCitation":"[24]","noteIndex":0},"citationItems":[{"id":883,"uris":["http://zotero.org/users/5217225/items/VAAT6VRZ"],"uri":["http://zotero.org/users/5217225/items/VAAT6VRZ"],"itemData":{"id":883,"type":"report","abstract":"The U.S. Department of Energy's Office of Scientific and Technical Information","language":"English","note":"DOI: 10.2172/1227072","number":"PNNL-23591","publisher":"Pacific Northwest National Lab. (PNNL), Richland, WA (United States)","source":"www.osti.gov","title":"Low-Severity Hydroprocessing to Stabilize Bio-oil: TechnoEconomic Assessment","title-short":"Low-Severity Hydroprocessing to Stabilize Bio-oil","URL":"https://www.osti.gov/biblio/1227072-low-severity-hydroprocessing-stabilize-bio-oil-technoeconomic-assessment","author":[{"family":"Tews","given":"Iva J."},{"family":"Elliott","given":"Douglas C."}],"accessed":{"date-parts":[["2020",4,15]]},"issued":{"date-parts":[["2014",8,31]]}}}],"schema":"https://github.com/citation-style-language/schema/raw/master/csl-citation.json"} </w:instrText>
            </w:r>
            <w:r w:rsidRPr="009361EA">
              <w:rPr>
                <w:sz w:val="22"/>
                <w:szCs w:val="22"/>
                <w:lang w:val="en-US"/>
              </w:rPr>
              <w:fldChar w:fldCharType="separate"/>
            </w:r>
            <w:r w:rsidRPr="00DE1CA2">
              <w:rPr>
                <w:sz w:val="22"/>
              </w:rPr>
              <w:t>[24]</w:t>
            </w:r>
            <w:r w:rsidRPr="009361EA">
              <w:rPr>
                <w:sz w:val="22"/>
                <w:szCs w:val="22"/>
                <w:lang w:val="en-US"/>
              </w:rPr>
              <w:fldChar w:fldCharType="end"/>
            </w:r>
          </w:p>
        </w:tc>
      </w:tr>
      <w:tr w:rsidR="0084096B" w:rsidRPr="009361EA" w14:paraId="44BEC624"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26DB9967" w14:textId="77777777" w:rsidR="0084096B" w:rsidRPr="009361EA" w:rsidRDefault="0084096B" w:rsidP="00B849AD">
            <w:pPr>
              <w:autoSpaceDE/>
              <w:autoSpaceDN/>
              <w:jc w:val="left"/>
              <w:rPr>
                <w:sz w:val="22"/>
                <w:szCs w:val="22"/>
                <w:lang w:val="en-US" w:eastAsia="pt-BR"/>
              </w:rPr>
            </w:pPr>
            <w:r w:rsidRPr="009361EA">
              <w:rPr>
                <w:sz w:val="22"/>
                <w:szCs w:val="22"/>
                <w:lang w:val="en-US"/>
              </w:rPr>
              <w:t>Corn</w:t>
            </w:r>
          </w:p>
        </w:tc>
        <w:tc>
          <w:tcPr>
            <w:tcW w:w="1065" w:type="dxa"/>
            <w:tcBorders>
              <w:top w:val="nil"/>
              <w:left w:val="nil"/>
              <w:bottom w:val="nil"/>
              <w:right w:val="nil"/>
            </w:tcBorders>
            <w:shd w:val="clear" w:color="auto" w:fill="auto"/>
            <w:noWrap/>
            <w:vAlign w:val="center"/>
          </w:tcPr>
          <w:p w14:paraId="5198CD53" w14:textId="77777777" w:rsidR="0084096B" w:rsidRPr="009361EA" w:rsidRDefault="0084096B" w:rsidP="00B849AD">
            <w:pPr>
              <w:jc w:val="center"/>
              <w:rPr>
                <w:sz w:val="22"/>
                <w:szCs w:val="22"/>
                <w:lang w:val="en-US"/>
              </w:rPr>
            </w:pPr>
            <w:r w:rsidRPr="009361EA">
              <w:rPr>
                <w:sz w:val="22"/>
                <w:szCs w:val="22"/>
                <w:lang w:val="en-US"/>
              </w:rPr>
              <w:t>(8:1)</w:t>
            </w:r>
          </w:p>
        </w:tc>
        <w:tc>
          <w:tcPr>
            <w:tcW w:w="654" w:type="dxa"/>
            <w:tcBorders>
              <w:top w:val="nil"/>
              <w:left w:val="nil"/>
              <w:bottom w:val="nil"/>
              <w:right w:val="nil"/>
            </w:tcBorders>
            <w:shd w:val="clear" w:color="auto" w:fill="auto"/>
            <w:noWrap/>
            <w:vAlign w:val="center"/>
          </w:tcPr>
          <w:p w14:paraId="6E09B8E0" w14:textId="77777777" w:rsidR="0084096B" w:rsidRPr="009361EA" w:rsidRDefault="0084096B" w:rsidP="00B849AD">
            <w:pPr>
              <w:jc w:val="center"/>
              <w:rPr>
                <w:sz w:val="22"/>
                <w:szCs w:val="22"/>
                <w:lang w:val="en-US"/>
              </w:rPr>
            </w:pPr>
            <w:r w:rsidRPr="009361EA">
              <w:rPr>
                <w:sz w:val="22"/>
                <w:szCs w:val="22"/>
                <w:lang w:val="en-US"/>
              </w:rPr>
              <w:t>23%</w:t>
            </w:r>
          </w:p>
        </w:tc>
        <w:tc>
          <w:tcPr>
            <w:tcW w:w="1200" w:type="dxa"/>
            <w:tcBorders>
              <w:top w:val="nil"/>
              <w:left w:val="nil"/>
              <w:bottom w:val="nil"/>
              <w:right w:val="nil"/>
            </w:tcBorders>
            <w:shd w:val="clear" w:color="auto" w:fill="auto"/>
            <w:noWrap/>
            <w:vAlign w:val="center"/>
          </w:tcPr>
          <w:p w14:paraId="06064D68" w14:textId="77777777" w:rsidR="0084096B" w:rsidRPr="009361EA" w:rsidRDefault="0084096B" w:rsidP="00B849AD">
            <w:pPr>
              <w:jc w:val="center"/>
              <w:rPr>
                <w:sz w:val="22"/>
                <w:szCs w:val="22"/>
                <w:lang w:val="en-US"/>
              </w:rPr>
            </w:pPr>
            <w:r w:rsidRPr="009361EA">
              <w:rPr>
                <w:sz w:val="22"/>
                <w:szCs w:val="22"/>
                <w:lang w:val="en-US"/>
              </w:rPr>
              <w:t>38%</w:t>
            </w:r>
          </w:p>
        </w:tc>
        <w:tc>
          <w:tcPr>
            <w:tcW w:w="960" w:type="dxa"/>
            <w:tcBorders>
              <w:top w:val="nil"/>
              <w:left w:val="nil"/>
              <w:bottom w:val="nil"/>
              <w:right w:val="nil"/>
            </w:tcBorders>
            <w:shd w:val="clear" w:color="auto" w:fill="auto"/>
            <w:noWrap/>
            <w:vAlign w:val="center"/>
          </w:tcPr>
          <w:p w14:paraId="3AD45524" w14:textId="77777777" w:rsidR="0084096B" w:rsidRPr="009361EA" w:rsidRDefault="0084096B" w:rsidP="00B849AD">
            <w:pPr>
              <w:jc w:val="center"/>
              <w:rPr>
                <w:sz w:val="22"/>
                <w:szCs w:val="22"/>
                <w:lang w:val="en-US"/>
              </w:rPr>
            </w:pPr>
            <w:r w:rsidRPr="009361EA">
              <w:rPr>
                <w:sz w:val="22"/>
                <w:szCs w:val="22"/>
                <w:lang w:val="en-US"/>
              </w:rPr>
              <w:t>9%</w:t>
            </w:r>
          </w:p>
        </w:tc>
        <w:tc>
          <w:tcPr>
            <w:tcW w:w="700" w:type="dxa"/>
            <w:tcBorders>
              <w:top w:val="nil"/>
              <w:left w:val="nil"/>
              <w:bottom w:val="nil"/>
              <w:right w:val="nil"/>
            </w:tcBorders>
            <w:shd w:val="clear" w:color="auto" w:fill="auto"/>
            <w:noWrap/>
            <w:vAlign w:val="center"/>
          </w:tcPr>
          <w:p w14:paraId="7ED30F0E" w14:textId="77777777" w:rsidR="0084096B" w:rsidRPr="009361EA" w:rsidRDefault="0084096B" w:rsidP="00B849AD">
            <w:pPr>
              <w:jc w:val="center"/>
              <w:rPr>
                <w:sz w:val="22"/>
                <w:szCs w:val="22"/>
                <w:lang w:val="en-US"/>
              </w:rPr>
            </w:pPr>
            <w:r w:rsidRPr="009361EA">
              <w:rPr>
                <w:sz w:val="22"/>
                <w:szCs w:val="22"/>
                <w:lang w:val="en-US"/>
              </w:rPr>
              <w:t>14%</w:t>
            </w:r>
          </w:p>
        </w:tc>
        <w:tc>
          <w:tcPr>
            <w:tcW w:w="960" w:type="dxa"/>
            <w:tcBorders>
              <w:top w:val="nil"/>
              <w:left w:val="nil"/>
              <w:bottom w:val="nil"/>
              <w:right w:val="nil"/>
            </w:tcBorders>
            <w:shd w:val="clear" w:color="auto" w:fill="auto"/>
            <w:noWrap/>
            <w:vAlign w:val="center"/>
          </w:tcPr>
          <w:p w14:paraId="01F58925" w14:textId="77777777" w:rsidR="0084096B" w:rsidRPr="009361EA" w:rsidRDefault="0084096B" w:rsidP="00B849AD">
            <w:pPr>
              <w:jc w:val="center"/>
              <w:rPr>
                <w:sz w:val="22"/>
                <w:szCs w:val="22"/>
                <w:lang w:val="en-US"/>
              </w:rPr>
            </w:pPr>
            <w:r w:rsidRPr="009361EA">
              <w:rPr>
                <w:sz w:val="22"/>
                <w:szCs w:val="22"/>
                <w:lang w:val="en-US"/>
              </w:rPr>
              <w:t>30</w:t>
            </w:r>
          </w:p>
        </w:tc>
        <w:tc>
          <w:tcPr>
            <w:tcW w:w="960" w:type="dxa"/>
            <w:tcBorders>
              <w:top w:val="nil"/>
              <w:left w:val="nil"/>
              <w:bottom w:val="nil"/>
              <w:right w:val="nil"/>
            </w:tcBorders>
            <w:shd w:val="clear" w:color="auto" w:fill="auto"/>
            <w:noWrap/>
            <w:vAlign w:val="center"/>
          </w:tcPr>
          <w:p w14:paraId="439B0A10" w14:textId="77777777" w:rsidR="0084096B" w:rsidRPr="009361EA" w:rsidRDefault="0084096B" w:rsidP="00B849AD">
            <w:pPr>
              <w:jc w:val="center"/>
              <w:rPr>
                <w:sz w:val="22"/>
                <w:szCs w:val="22"/>
                <w:lang w:val="en-US"/>
              </w:rPr>
            </w:pPr>
            <w:r w:rsidRPr="009361EA">
              <w:rPr>
                <w:sz w:val="22"/>
                <w:szCs w:val="22"/>
                <w:lang w:val="en-US"/>
              </w:rPr>
              <w:t>26</w:t>
            </w:r>
          </w:p>
        </w:tc>
        <w:tc>
          <w:tcPr>
            <w:tcW w:w="552" w:type="dxa"/>
            <w:tcBorders>
              <w:top w:val="nil"/>
              <w:left w:val="nil"/>
              <w:bottom w:val="nil"/>
              <w:right w:val="nil"/>
            </w:tcBorders>
            <w:shd w:val="clear" w:color="auto" w:fill="auto"/>
            <w:vAlign w:val="center"/>
          </w:tcPr>
          <w:p w14:paraId="2DDDD571" w14:textId="77777777" w:rsidR="0084096B" w:rsidRPr="009361EA" w:rsidRDefault="0084096B" w:rsidP="00B849AD">
            <w:pPr>
              <w:jc w:val="center"/>
              <w:rPr>
                <w:sz w:val="22"/>
                <w:szCs w:val="22"/>
                <w:lang w:val="en-US"/>
              </w:rPr>
            </w:pPr>
            <w:r w:rsidRPr="009361EA">
              <w:rPr>
                <w:sz w:val="22"/>
                <w:szCs w:val="22"/>
                <w:lang w:val="en-US"/>
              </w:rPr>
              <w:t>2</w:t>
            </w:r>
          </w:p>
        </w:tc>
        <w:tc>
          <w:tcPr>
            <w:tcW w:w="654" w:type="dxa"/>
            <w:tcBorders>
              <w:top w:val="nil"/>
              <w:left w:val="nil"/>
              <w:bottom w:val="nil"/>
              <w:right w:val="nil"/>
            </w:tcBorders>
            <w:shd w:val="clear" w:color="auto" w:fill="auto"/>
            <w:vAlign w:val="center"/>
          </w:tcPr>
          <w:p w14:paraId="3252216D" w14:textId="77777777" w:rsidR="0084096B" w:rsidRPr="009361EA" w:rsidRDefault="0084096B" w:rsidP="00B849AD">
            <w:pPr>
              <w:jc w:val="center"/>
              <w:rPr>
                <w:sz w:val="22"/>
                <w:szCs w:val="22"/>
                <w:lang w:val="en-US"/>
              </w:rPr>
            </w:pPr>
            <w:r w:rsidRPr="009361EA">
              <w:rPr>
                <w:sz w:val="22"/>
                <w:szCs w:val="22"/>
                <w:lang w:val="en-US"/>
              </w:rPr>
              <w:t>5%</w:t>
            </w:r>
          </w:p>
        </w:tc>
        <w:tc>
          <w:tcPr>
            <w:tcW w:w="654" w:type="dxa"/>
            <w:tcBorders>
              <w:top w:val="nil"/>
              <w:left w:val="nil"/>
              <w:bottom w:val="nil"/>
              <w:right w:val="nil"/>
            </w:tcBorders>
            <w:shd w:val="clear" w:color="auto" w:fill="auto"/>
            <w:vAlign w:val="center"/>
          </w:tcPr>
          <w:p w14:paraId="13D9101E" w14:textId="77777777" w:rsidR="0084096B" w:rsidRPr="009361EA" w:rsidRDefault="0084096B" w:rsidP="00B849AD">
            <w:pPr>
              <w:jc w:val="center"/>
              <w:rPr>
                <w:sz w:val="22"/>
                <w:szCs w:val="22"/>
                <w:lang w:val="en-US"/>
              </w:rPr>
            </w:pPr>
            <w:r w:rsidRPr="009361EA">
              <w:rPr>
                <w:sz w:val="22"/>
                <w:szCs w:val="22"/>
                <w:lang w:val="en-US"/>
              </w:rPr>
              <w:t>15%</w:t>
            </w:r>
          </w:p>
        </w:tc>
        <w:tc>
          <w:tcPr>
            <w:tcW w:w="654" w:type="dxa"/>
            <w:tcBorders>
              <w:top w:val="nil"/>
              <w:left w:val="nil"/>
              <w:bottom w:val="nil"/>
              <w:right w:val="nil"/>
            </w:tcBorders>
          </w:tcPr>
          <w:p w14:paraId="094C0740"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s0bApBtK","properties":{"formattedCitation":"[25]","plainCitation":"[25]","noteIndex":0},"citationItems":[{"id":885,"uris":["http://zotero.org/users/5217225/items/VFUXVE7N"],"uri":["http://zotero.org/users/5217225/items/VFUXVE7N"],"itemData":{"id":885,"type":"article-journal","abstract":"In this study the aqueous phases resulting from the hydrothermal liquefaction (HTL) of biomass and the hydrotreatment (HT) of fast pyrolysis bio-oils were analyzed via TC, COD, GC-MS, GC-FID, HPLC, and ICP-OES to determine the organic and inorganic species present and the quantitative amounts of each. This work is necessary to address a significant knowledge gap in the literature related to the aqueous phases from thermochemical processes. Results showed that water from the hydrotreatment of eight different bio-oils contained less than 1 wt% total carbon, in many cases less than 0.2%. Negligible organic carbon was observed. HTL samples contained between 1 and 2 wt% carbon. Due to the large volume of water added to the HTL feedstock and the dilute samples generated, this accounts for 34–45% of the total carbon sent to the reactor. The majority of this carbon was present as acids, with glycolic acid and acetic acid having the highest concentrations. Alcohols, specifically methanol and ethanol, were also present. Numerous ketones were observed, consisting of mainly acetone and cyclopenta-ones. The amount of the total carbon identified and quantified in the HTL samples ranged from 64 to 82%. Inorganic species present in the HT samples were sodium, silicon, and sulfur. The highest levels of sulfur were observed in the grasses and agricultural residue (corn stover). The HTL samples exhibited much higher inorganic content, with very high levels of sodium and potassium. Alkali and alkali earth metals, as well as sulfur, were also present at levels high enough to raise concerns for the use of catalysts in downstream upgrading or reforming processes.","container-title":"Biomass and Bioenergy","DOI":"10.1016/j.biombioe.2015.01.011","ISSN":"0961-9534","journalAbbreviation":"Biomass and Bioenergy","language":"en","page":"162-171","source":"ScienceDirect","title":"Characterization of the aqueous fractions from hydrotreatment and hydrothermal liquefaction of lignocellulosic feedstocks","volume":"74","author":[{"family":"Panisko","given":"Ellen"},{"family":"Wietsma","given":"Thomas"},{"family":"Lemmon","given":"Teresa"},{"family":"Albrecht","given":"Karl"},{"family":"Howe","given":"Daniel"}],"issued":{"date-parts":[["2015",3,1]]}}}],"schema":"https://github.com/citation-style-language/schema/raw/master/csl-citation.json"} </w:instrText>
            </w:r>
            <w:r w:rsidRPr="009361EA">
              <w:rPr>
                <w:sz w:val="22"/>
                <w:szCs w:val="22"/>
                <w:lang w:val="en-US"/>
              </w:rPr>
              <w:fldChar w:fldCharType="separate"/>
            </w:r>
            <w:r w:rsidRPr="00DE1CA2">
              <w:rPr>
                <w:sz w:val="22"/>
              </w:rPr>
              <w:t>[25]</w:t>
            </w:r>
            <w:r w:rsidRPr="009361EA">
              <w:rPr>
                <w:sz w:val="22"/>
                <w:szCs w:val="22"/>
                <w:lang w:val="en-US"/>
              </w:rPr>
              <w:fldChar w:fldCharType="end"/>
            </w:r>
          </w:p>
        </w:tc>
      </w:tr>
      <w:tr w:rsidR="0084096B" w:rsidRPr="009361EA" w14:paraId="4ED4CEEB"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65C42D24" w14:textId="77777777" w:rsidR="0084096B" w:rsidRPr="009361EA" w:rsidRDefault="0084096B" w:rsidP="00B849AD">
            <w:pPr>
              <w:autoSpaceDE/>
              <w:autoSpaceDN/>
              <w:jc w:val="left"/>
              <w:rPr>
                <w:sz w:val="22"/>
                <w:szCs w:val="22"/>
                <w:lang w:val="en-US" w:eastAsia="pt-BR"/>
              </w:rPr>
            </w:pPr>
            <w:r w:rsidRPr="009361EA">
              <w:rPr>
                <w:sz w:val="22"/>
                <w:szCs w:val="22"/>
                <w:lang w:val="en-US"/>
              </w:rPr>
              <w:t>Rice</w:t>
            </w:r>
          </w:p>
        </w:tc>
        <w:tc>
          <w:tcPr>
            <w:tcW w:w="1065" w:type="dxa"/>
            <w:tcBorders>
              <w:top w:val="nil"/>
              <w:left w:val="nil"/>
              <w:bottom w:val="nil"/>
              <w:right w:val="nil"/>
            </w:tcBorders>
            <w:shd w:val="clear" w:color="auto" w:fill="auto"/>
            <w:noWrap/>
            <w:vAlign w:val="center"/>
          </w:tcPr>
          <w:p w14:paraId="3204A4A8" w14:textId="77777777" w:rsidR="0084096B" w:rsidRPr="009361EA" w:rsidRDefault="0084096B" w:rsidP="00B849AD">
            <w:pPr>
              <w:jc w:val="center"/>
              <w:rPr>
                <w:sz w:val="22"/>
                <w:szCs w:val="22"/>
                <w:lang w:val="en-US"/>
              </w:rPr>
            </w:pPr>
            <w:r w:rsidRPr="009361EA">
              <w:rPr>
                <w:sz w:val="22"/>
                <w:szCs w:val="22"/>
                <w:lang w:val="en-US"/>
              </w:rPr>
              <w:t>(6:1)</w:t>
            </w:r>
          </w:p>
        </w:tc>
        <w:tc>
          <w:tcPr>
            <w:tcW w:w="654" w:type="dxa"/>
            <w:tcBorders>
              <w:top w:val="nil"/>
              <w:left w:val="nil"/>
              <w:bottom w:val="nil"/>
              <w:right w:val="nil"/>
            </w:tcBorders>
            <w:shd w:val="clear" w:color="auto" w:fill="auto"/>
            <w:noWrap/>
            <w:vAlign w:val="center"/>
          </w:tcPr>
          <w:p w14:paraId="772D8E0E" w14:textId="77777777" w:rsidR="0084096B" w:rsidRPr="009361EA" w:rsidRDefault="0084096B" w:rsidP="00B849AD">
            <w:pPr>
              <w:jc w:val="center"/>
              <w:rPr>
                <w:sz w:val="22"/>
                <w:szCs w:val="22"/>
                <w:lang w:val="en-US"/>
              </w:rPr>
            </w:pPr>
            <w:r w:rsidRPr="009361EA">
              <w:rPr>
                <w:sz w:val="22"/>
                <w:szCs w:val="22"/>
                <w:lang w:val="en-US"/>
              </w:rPr>
              <w:t>24%</w:t>
            </w:r>
          </w:p>
        </w:tc>
        <w:tc>
          <w:tcPr>
            <w:tcW w:w="1200" w:type="dxa"/>
            <w:tcBorders>
              <w:top w:val="nil"/>
              <w:left w:val="nil"/>
              <w:bottom w:val="nil"/>
              <w:right w:val="nil"/>
            </w:tcBorders>
            <w:shd w:val="clear" w:color="auto" w:fill="auto"/>
            <w:noWrap/>
            <w:vAlign w:val="center"/>
          </w:tcPr>
          <w:p w14:paraId="29AFA4CD" w14:textId="77777777" w:rsidR="0084096B" w:rsidRPr="009361EA" w:rsidRDefault="0084096B" w:rsidP="00B849AD">
            <w:pPr>
              <w:jc w:val="center"/>
              <w:rPr>
                <w:sz w:val="22"/>
                <w:szCs w:val="22"/>
                <w:lang w:val="en-US"/>
              </w:rPr>
            </w:pPr>
            <w:r w:rsidRPr="009361EA">
              <w:rPr>
                <w:sz w:val="22"/>
                <w:szCs w:val="22"/>
                <w:lang w:val="en-US"/>
              </w:rPr>
              <w:t>11%</w:t>
            </w:r>
          </w:p>
        </w:tc>
        <w:tc>
          <w:tcPr>
            <w:tcW w:w="960" w:type="dxa"/>
            <w:tcBorders>
              <w:top w:val="nil"/>
              <w:left w:val="nil"/>
              <w:bottom w:val="nil"/>
              <w:right w:val="nil"/>
            </w:tcBorders>
            <w:shd w:val="clear" w:color="auto" w:fill="auto"/>
            <w:noWrap/>
            <w:vAlign w:val="center"/>
          </w:tcPr>
          <w:p w14:paraId="52520DBC" w14:textId="77777777" w:rsidR="0084096B" w:rsidRPr="009361EA" w:rsidRDefault="0084096B" w:rsidP="00B849AD">
            <w:pPr>
              <w:jc w:val="center"/>
              <w:rPr>
                <w:sz w:val="22"/>
                <w:szCs w:val="22"/>
                <w:lang w:val="en-US"/>
              </w:rPr>
            </w:pPr>
            <w:r w:rsidRPr="009361EA">
              <w:rPr>
                <w:sz w:val="22"/>
                <w:szCs w:val="22"/>
                <w:lang w:val="en-US"/>
              </w:rPr>
              <w:t>31%</w:t>
            </w:r>
          </w:p>
        </w:tc>
        <w:tc>
          <w:tcPr>
            <w:tcW w:w="700" w:type="dxa"/>
            <w:tcBorders>
              <w:top w:val="nil"/>
              <w:left w:val="nil"/>
              <w:bottom w:val="nil"/>
              <w:right w:val="nil"/>
            </w:tcBorders>
            <w:shd w:val="clear" w:color="auto" w:fill="auto"/>
            <w:noWrap/>
            <w:vAlign w:val="center"/>
          </w:tcPr>
          <w:p w14:paraId="30E5C728" w14:textId="77777777" w:rsidR="0084096B" w:rsidRPr="009361EA" w:rsidRDefault="0084096B" w:rsidP="00B849AD">
            <w:pPr>
              <w:jc w:val="center"/>
              <w:rPr>
                <w:sz w:val="22"/>
                <w:szCs w:val="22"/>
                <w:lang w:val="en-US"/>
              </w:rPr>
            </w:pPr>
            <w:r w:rsidRPr="009361EA">
              <w:rPr>
                <w:sz w:val="22"/>
                <w:szCs w:val="22"/>
                <w:lang w:val="en-US"/>
              </w:rPr>
              <w:t>20%</w:t>
            </w:r>
          </w:p>
        </w:tc>
        <w:tc>
          <w:tcPr>
            <w:tcW w:w="960" w:type="dxa"/>
            <w:tcBorders>
              <w:top w:val="nil"/>
              <w:left w:val="nil"/>
              <w:bottom w:val="nil"/>
              <w:right w:val="nil"/>
            </w:tcBorders>
            <w:shd w:val="clear" w:color="auto" w:fill="auto"/>
            <w:noWrap/>
            <w:vAlign w:val="center"/>
          </w:tcPr>
          <w:p w14:paraId="7A16058C" w14:textId="77777777" w:rsidR="0084096B" w:rsidRPr="009361EA" w:rsidRDefault="0084096B" w:rsidP="00B849AD">
            <w:pPr>
              <w:jc w:val="center"/>
              <w:rPr>
                <w:sz w:val="22"/>
                <w:szCs w:val="22"/>
                <w:lang w:val="en-US"/>
              </w:rPr>
            </w:pPr>
            <w:r w:rsidRPr="009361EA">
              <w:rPr>
                <w:sz w:val="22"/>
                <w:szCs w:val="22"/>
                <w:lang w:val="en-US"/>
              </w:rPr>
              <w:t>26</w:t>
            </w:r>
          </w:p>
        </w:tc>
        <w:tc>
          <w:tcPr>
            <w:tcW w:w="960" w:type="dxa"/>
            <w:tcBorders>
              <w:top w:val="nil"/>
              <w:left w:val="nil"/>
              <w:bottom w:val="nil"/>
              <w:right w:val="nil"/>
            </w:tcBorders>
            <w:shd w:val="clear" w:color="auto" w:fill="auto"/>
            <w:noWrap/>
            <w:vAlign w:val="center"/>
          </w:tcPr>
          <w:p w14:paraId="39DFB8A8" w14:textId="77777777" w:rsidR="0084096B" w:rsidRPr="009361EA" w:rsidRDefault="0084096B" w:rsidP="00B849AD">
            <w:pPr>
              <w:jc w:val="center"/>
              <w:rPr>
                <w:sz w:val="22"/>
                <w:szCs w:val="22"/>
                <w:lang w:val="en-US"/>
              </w:rPr>
            </w:pPr>
            <w:r w:rsidRPr="009361EA">
              <w:rPr>
                <w:sz w:val="22"/>
                <w:szCs w:val="22"/>
                <w:lang w:val="en-US"/>
              </w:rPr>
              <w:t>18</w:t>
            </w:r>
          </w:p>
        </w:tc>
        <w:tc>
          <w:tcPr>
            <w:tcW w:w="552" w:type="dxa"/>
            <w:tcBorders>
              <w:top w:val="nil"/>
              <w:left w:val="nil"/>
              <w:bottom w:val="nil"/>
              <w:right w:val="nil"/>
            </w:tcBorders>
            <w:shd w:val="clear" w:color="auto" w:fill="auto"/>
            <w:vAlign w:val="center"/>
          </w:tcPr>
          <w:p w14:paraId="56BBD4FB" w14:textId="77777777" w:rsidR="0084096B" w:rsidRPr="009361EA" w:rsidRDefault="0084096B" w:rsidP="00B849AD">
            <w:pPr>
              <w:jc w:val="center"/>
              <w:rPr>
                <w:sz w:val="22"/>
                <w:szCs w:val="22"/>
                <w:lang w:val="en-US"/>
              </w:rPr>
            </w:pPr>
            <w:r w:rsidRPr="009361EA">
              <w:rPr>
                <w:sz w:val="22"/>
                <w:szCs w:val="22"/>
                <w:lang w:val="en-US"/>
              </w:rPr>
              <w:t>4</w:t>
            </w:r>
          </w:p>
        </w:tc>
        <w:tc>
          <w:tcPr>
            <w:tcW w:w="654" w:type="dxa"/>
            <w:tcBorders>
              <w:top w:val="nil"/>
              <w:left w:val="nil"/>
              <w:bottom w:val="nil"/>
              <w:right w:val="nil"/>
            </w:tcBorders>
            <w:shd w:val="clear" w:color="auto" w:fill="auto"/>
            <w:vAlign w:val="center"/>
          </w:tcPr>
          <w:p w14:paraId="7EE673C0" w14:textId="77777777" w:rsidR="0084096B" w:rsidRPr="009361EA" w:rsidRDefault="0084096B" w:rsidP="00B849AD">
            <w:pPr>
              <w:jc w:val="center"/>
              <w:rPr>
                <w:sz w:val="22"/>
                <w:szCs w:val="22"/>
                <w:lang w:val="en-US"/>
              </w:rPr>
            </w:pPr>
            <w:r w:rsidRPr="009361EA">
              <w:rPr>
                <w:sz w:val="22"/>
                <w:szCs w:val="22"/>
                <w:lang w:val="en-US"/>
              </w:rPr>
              <w:t>5%</w:t>
            </w:r>
          </w:p>
        </w:tc>
        <w:tc>
          <w:tcPr>
            <w:tcW w:w="654" w:type="dxa"/>
            <w:tcBorders>
              <w:top w:val="nil"/>
              <w:left w:val="nil"/>
              <w:bottom w:val="nil"/>
              <w:right w:val="nil"/>
            </w:tcBorders>
            <w:shd w:val="clear" w:color="auto" w:fill="auto"/>
            <w:vAlign w:val="center"/>
          </w:tcPr>
          <w:p w14:paraId="69F39365" w14:textId="77777777" w:rsidR="0084096B" w:rsidRPr="009361EA" w:rsidRDefault="0084096B" w:rsidP="00B849AD">
            <w:pPr>
              <w:jc w:val="center"/>
              <w:rPr>
                <w:sz w:val="22"/>
                <w:szCs w:val="22"/>
                <w:lang w:val="en-US"/>
              </w:rPr>
            </w:pPr>
            <w:r w:rsidRPr="009361EA">
              <w:rPr>
                <w:sz w:val="22"/>
                <w:szCs w:val="22"/>
                <w:lang w:val="en-US"/>
              </w:rPr>
              <w:t>16%</w:t>
            </w:r>
          </w:p>
        </w:tc>
        <w:tc>
          <w:tcPr>
            <w:tcW w:w="654" w:type="dxa"/>
            <w:tcBorders>
              <w:top w:val="nil"/>
              <w:left w:val="nil"/>
              <w:bottom w:val="nil"/>
              <w:right w:val="nil"/>
            </w:tcBorders>
          </w:tcPr>
          <w:p w14:paraId="406A7344"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6fcchOl1","properties":{"formattedCitation":"[26]","plainCitation":"[26]","noteIndex":0},"citationItems":[{"id":887,"uris":["http://zotero.org/users/5217225/items/7V2EL4DK"],"uri":["http://zotero.org/users/5217225/items/7V2EL4DK"],"itemData":{"id":887,"type":"thesis","event-place":"Delft, the Netherlands","genre":"PDEng Thesis","publisher":"Delft University of Technology","publisher-place":"Delft, the Netherlands","title":"Techno-Economic and Environmental Analysis of Oil Crop and Forestry Residues Based Integrated Biorefineries in Brazil","author":[{"family":"Silva","given":"C.","non-dropping-particle":"da"}],"issued":{"date-parts":[["2016"]]}}}],"schema":"https://github.com/citation-style-language/schema/raw/master/csl-citation.json"} </w:instrText>
            </w:r>
            <w:r w:rsidRPr="009361EA">
              <w:rPr>
                <w:sz w:val="22"/>
                <w:szCs w:val="22"/>
                <w:lang w:val="en-US"/>
              </w:rPr>
              <w:fldChar w:fldCharType="separate"/>
            </w:r>
            <w:r w:rsidRPr="00DE1CA2">
              <w:rPr>
                <w:sz w:val="22"/>
              </w:rPr>
              <w:t>[26]</w:t>
            </w:r>
            <w:r w:rsidRPr="009361EA">
              <w:rPr>
                <w:sz w:val="22"/>
                <w:szCs w:val="22"/>
                <w:lang w:val="en-US"/>
              </w:rPr>
              <w:fldChar w:fldCharType="end"/>
            </w:r>
          </w:p>
        </w:tc>
      </w:tr>
      <w:tr w:rsidR="0084096B" w:rsidRPr="009361EA" w14:paraId="57F36494"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5512F7B2" w14:textId="77777777" w:rsidR="0084096B" w:rsidRPr="009361EA" w:rsidRDefault="0084096B" w:rsidP="00B849AD">
            <w:pPr>
              <w:autoSpaceDE/>
              <w:autoSpaceDN/>
              <w:jc w:val="left"/>
              <w:rPr>
                <w:sz w:val="22"/>
                <w:szCs w:val="22"/>
                <w:lang w:val="en-US" w:eastAsia="pt-BR"/>
              </w:rPr>
            </w:pPr>
            <w:r w:rsidRPr="009361EA">
              <w:rPr>
                <w:sz w:val="22"/>
                <w:szCs w:val="22"/>
                <w:lang w:val="en-US"/>
              </w:rPr>
              <w:t>Wheat</w:t>
            </w:r>
          </w:p>
        </w:tc>
        <w:tc>
          <w:tcPr>
            <w:tcW w:w="1065" w:type="dxa"/>
            <w:tcBorders>
              <w:top w:val="nil"/>
              <w:left w:val="nil"/>
              <w:bottom w:val="nil"/>
              <w:right w:val="nil"/>
            </w:tcBorders>
            <w:shd w:val="clear" w:color="auto" w:fill="auto"/>
            <w:noWrap/>
            <w:vAlign w:val="center"/>
          </w:tcPr>
          <w:p w14:paraId="53B537D6" w14:textId="77777777" w:rsidR="0084096B" w:rsidRPr="009361EA" w:rsidRDefault="0084096B" w:rsidP="00B849AD">
            <w:pPr>
              <w:jc w:val="center"/>
              <w:rPr>
                <w:sz w:val="22"/>
                <w:szCs w:val="22"/>
                <w:lang w:val="en-US"/>
              </w:rPr>
            </w:pPr>
            <w:r w:rsidRPr="009361EA">
              <w:rPr>
                <w:sz w:val="22"/>
                <w:szCs w:val="22"/>
                <w:lang w:val="en-US"/>
              </w:rPr>
              <w:t>(6:1)</w:t>
            </w:r>
          </w:p>
        </w:tc>
        <w:tc>
          <w:tcPr>
            <w:tcW w:w="654" w:type="dxa"/>
            <w:tcBorders>
              <w:top w:val="nil"/>
              <w:left w:val="nil"/>
              <w:bottom w:val="nil"/>
              <w:right w:val="nil"/>
            </w:tcBorders>
            <w:shd w:val="clear" w:color="auto" w:fill="auto"/>
            <w:noWrap/>
            <w:vAlign w:val="center"/>
          </w:tcPr>
          <w:p w14:paraId="6A2BF437" w14:textId="77777777" w:rsidR="0084096B" w:rsidRPr="009361EA" w:rsidRDefault="0084096B" w:rsidP="00B849AD">
            <w:pPr>
              <w:jc w:val="center"/>
              <w:rPr>
                <w:sz w:val="22"/>
                <w:szCs w:val="22"/>
                <w:lang w:val="en-US"/>
              </w:rPr>
            </w:pPr>
            <w:r w:rsidRPr="009361EA">
              <w:rPr>
                <w:sz w:val="22"/>
                <w:szCs w:val="22"/>
                <w:lang w:val="en-US"/>
              </w:rPr>
              <w:t>29%</w:t>
            </w:r>
          </w:p>
        </w:tc>
        <w:tc>
          <w:tcPr>
            <w:tcW w:w="1200" w:type="dxa"/>
            <w:tcBorders>
              <w:top w:val="nil"/>
              <w:left w:val="nil"/>
              <w:bottom w:val="nil"/>
              <w:right w:val="nil"/>
            </w:tcBorders>
            <w:shd w:val="clear" w:color="auto" w:fill="auto"/>
            <w:noWrap/>
            <w:vAlign w:val="center"/>
          </w:tcPr>
          <w:p w14:paraId="3344DC44" w14:textId="77777777" w:rsidR="0084096B" w:rsidRPr="009361EA" w:rsidRDefault="0084096B" w:rsidP="00B849AD">
            <w:pPr>
              <w:jc w:val="center"/>
              <w:rPr>
                <w:sz w:val="22"/>
                <w:szCs w:val="22"/>
                <w:lang w:val="en-US"/>
              </w:rPr>
            </w:pPr>
            <w:r w:rsidRPr="009361EA">
              <w:rPr>
                <w:sz w:val="22"/>
                <w:szCs w:val="22"/>
                <w:lang w:val="en-US"/>
              </w:rPr>
              <w:t>34%</w:t>
            </w:r>
          </w:p>
        </w:tc>
        <w:tc>
          <w:tcPr>
            <w:tcW w:w="960" w:type="dxa"/>
            <w:tcBorders>
              <w:top w:val="nil"/>
              <w:left w:val="nil"/>
              <w:bottom w:val="nil"/>
              <w:right w:val="nil"/>
            </w:tcBorders>
            <w:shd w:val="clear" w:color="auto" w:fill="auto"/>
            <w:noWrap/>
            <w:vAlign w:val="center"/>
          </w:tcPr>
          <w:p w14:paraId="73C2E0F6" w14:textId="77777777" w:rsidR="0084096B" w:rsidRPr="009361EA" w:rsidRDefault="0084096B" w:rsidP="00B849AD">
            <w:pPr>
              <w:jc w:val="center"/>
              <w:rPr>
                <w:sz w:val="22"/>
                <w:szCs w:val="22"/>
                <w:lang w:val="en-US"/>
              </w:rPr>
            </w:pPr>
            <w:r w:rsidRPr="009361EA">
              <w:rPr>
                <w:sz w:val="22"/>
                <w:szCs w:val="22"/>
                <w:lang w:val="en-US"/>
              </w:rPr>
              <w:t>24%</w:t>
            </w:r>
          </w:p>
        </w:tc>
        <w:tc>
          <w:tcPr>
            <w:tcW w:w="700" w:type="dxa"/>
            <w:tcBorders>
              <w:top w:val="nil"/>
              <w:left w:val="nil"/>
              <w:bottom w:val="nil"/>
              <w:right w:val="nil"/>
            </w:tcBorders>
            <w:shd w:val="clear" w:color="auto" w:fill="auto"/>
            <w:noWrap/>
            <w:vAlign w:val="center"/>
          </w:tcPr>
          <w:p w14:paraId="163D296B" w14:textId="77777777" w:rsidR="0084096B" w:rsidRPr="009361EA" w:rsidRDefault="0084096B" w:rsidP="00B849AD">
            <w:pPr>
              <w:jc w:val="center"/>
              <w:rPr>
                <w:sz w:val="22"/>
                <w:szCs w:val="22"/>
                <w:lang w:val="en-US"/>
              </w:rPr>
            </w:pPr>
            <w:r w:rsidRPr="009361EA">
              <w:rPr>
                <w:sz w:val="22"/>
                <w:szCs w:val="22"/>
                <w:lang w:val="en-US"/>
              </w:rPr>
              <w:t>5%</w:t>
            </w:r>
          </w:p>
        </w:tc>
        <w:tc>
          <w:tcPr>
            <w:tcW w:w="960" w:type="dxa"/>
            <w:tcBorders>
              <w:top w:val="nil"/>
              <w:left w:val="nil"/>
              <w:bottom w:val="nil"/>
              <w:right w:val="nil"/>
            </w:tcBorders>
            <w:shd w:val="clear" w:color="auto" w:fill="auto"/>
            <w:noWrap/>
            <w:vAlign w:val="center"/>
          </w:tcPr>
          <w:p w14:paraId="436A9EA6" w14:textId="77777777" w:rsidR="0084096B" w:rsidRPr="009361EA" w:rsidRDefault="0084096B" w:rsidP="00B849AD">
            <w:pPr>
              <w:jc w:val="center"/>
              <w:rPr>
                <w:sz w:val="22"/>
                <w:szCs w:val="22"/>
                <w:lang w:val="en-US"/>
              </w:rPr>
            </w:pPr>
            <w:r w:rsidRPr="009361EA">
              <w:rPr>
                <w:sz w:val="22"/>
                <w:szCs w:val="22"/>
                <w:lang w:val="en-US"/>
              </w:rPr>
              <w:t>27</w:t>
            </w:r>
          </w:p>
        </w:tc>
        <w:tc>
          <w:tcPr>
            <w:tcW w:w="960" w:type="dxa"/>
            <w:tcBorders>
              <w:top w:val="nil"/>
              <w:left w:val="nil"/>
              <w:bottom w:val="nil"/>
              <w:right w:val="nil"/>
            </w:tcBorders>
            <w:shd w:val="clear" w:color="auto" w:fill="auto"/>
            <w:noWrap/>
            <w:vAlign w:val="center"/>
          </w:tcPr>
          <w:p w14:paraId="6C5529A8" w14:textId="77777777" w:rsidR="0084096B" w:rsidRPr="009361EA" w:rsidRDefault="0084096B" w:rsidP="00B849AD">
            <w:pPr>
              <w:jc w:val="center"/>
              <w:rPr>
                <w:sz w:val="22"/>
                <w:szCs w:val="22"/>
                <w:lang w:val="en-US"/>
              </w:rPr>
            </w:pPr>
            <w:r w:rsidRPr="009361EA">
              <w:rPr>
                <w:sz w:val="22"/>
                <w:szCs w:val="22"/>
                <w:lang w:val="en-US"/>
              </w:rPr>
              <w:t>26</w:t>
            </w:r>
          </w:p>
        </w:tc>
        <w:tc>
          <w:tcPr>
            <w:tcW w:w="552" w:type="dxa"/>
            <w:tcBorders>
              <w:top w:val="nil"/>
              <w:left w:val="nil"/>
              <w:bottom w:val="nil"/>
              <w:right w:val="nil"/>
            </w:tcBorders>
            <w:shd w:val="clear" w:color="auto" w:fill="auto"/>
            <w:vAlign w:val="center"/>
          </w:tcPr>
          <w:p w14:paraId="1A2C0CB1" w14:textId="77777777" w:rsidR="0084096B" w:rsidRPr="009361EA" w:rsidRDefault="0084096B" w:rsidP="00B849AD">
            <w:pPr>
              <w:jc w:val="center"/>
              <w:rPr>
                <w:sz w:val="22"/>
                <w:szCs w:val="22"/>
                <w:lang w:val="en-US"/>
              </w:rPr>
            </w:pPr>
            <w:r w:rsidRPr="009361EA">
              <w:rPr>
                <w:sz w:val="22"/>
                <w:szCs w:val="22"/>
                <w:lang w:val="en-US"/>
              </w:rPr>
              <w:t>4</w:t>
            </w:r>
          </w:p>
        </w:tc>
        <w:tc>
          <w:tcPr>
            <w:tcW w:w="654" w:type="dxa"/>
            <w:tcBorders>
              <w:top w:val="nil"/>
              <w:left w:val="nil"/>
              <w:bottom w:val="nil"/>
              <w:right w:val="nil"/>
            </w:tcBorders>
            <w:shd w:val="clear" w:color="auto" w:fill="auto"/>
            <w:vAlign w:val="center"/>
          </w:tcPr>
          <w:p w14:paraId="26EFA31E" w14:textId="77777777" w:rsidR="0084096B" w:rsidRPr="009361EA" w:rsidRDefault="0084096B" w:rsidP="00B849AD">
            <w:pPr>
              <w:jc w:val="center"/>
              <w:rPr>
                <w:sz w:val="22"/>
                <w:szCs w:val="22"/>
                <w:lang w:val="en-US"/>
              </w:rPr>
            </w:pPr>
            <w:r w:rsidRPr="009361EA">
              <w:rPr>
                <w:sz w:val="22"/>
                <w:szCs w:val="22"/>
                <w:lang w:val="en-US"/>
              </w:rPr>
              <w:t>7%</w:t>
            </w:r>
          </w:p>
        </w:tc>
        <w:tc>
          <w:tcPr>
            <w:tcW w:w="654" w:type="dxa"/>
            <w:tcBorders>
              <w:top w:val="nil"/>
              <w:left w:val="nil"/>
              <w:bottom w:val="nil"/>
              <w:right w:val="nil"/>
            </w:tcBorders>
            <w:shd w:val="clear" w:color="auto" w:fill="auto"/>
            <w:vAlign w:val="center"/>
          </w:tcPr>
          <w:p w14:paraId="52516DF2" w14:textId="77777777" w:rsidR="0084096B" w:rsidRPr="009361EA" w:rsidRDefault="0084096B" w:rsidP="00B849AD">
            <w:pPr>
              <w:jc w:val="center"/>
              <w:rPr>
                <w:sz w:val="22"/>
                <w:szCs w:val="22"/>
                <w:lang w:val="en-US"/>
              </w:rPr>
            </w:pPr>
            <w:r w:rsidRPr="009361EA">
              <w:rPr>
                <w:sz w:val="22"/>
                <w:szCs w:val="22"/>
                <w:lang w:val="en-US"/>
              </w:rPr>
              <w:t>19%</w:t>
            </w:r>
          </w:p>
        </w:tc>
        <w:tc>
          <w:tcPr>
            <w:tcW w:w="654" w:type="dxa"/>
            <w:tcBorders>
              <w:top w:val="nil"/>
              <w:left w:val="nil"/>
              <w:bottom w:val="nil"/>
              <w:right w:val="nil"/>
            </w:tcBorders>
          </w:tcPr>
          <w:p w14:paraId="18F3B1A9"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g63jdeg7","properties":{"formattedCitation":"[27]","plainCitation":"[27]","noteIndex":0},"citationItems":[{"id":888,"uris":["http://zotero.org/users/5217225/items/VGBRM5LS"],"uri":["http://zotero.org/users/5217225/items/VGBRM5LS"],"itemData":{"id":888,"type":"article-journal","abstract":"Biomass is a promising feedstock for the production of valuable oxygenated hydrocarbons due to presence of wide range of functionalities. Hydrothermal liquefaction is an attractive approach for the conversion of lignocellulosic biomass as it does not…","container-title":"springerprofessional.de","language":"English","source":"www.springerprofessional.de","title":"Hydrothermal liquefaction of agricultural and forest biomass residue: comparative study","title-short":"Hydrothermal liquefaction of agricultural and forest biomass residue","URL":"https://www.springerprofessional.de/hydrothermal-liquefaction-of-agricultural-and-forest-biomass-res/5335084","author":[{"family":"Singh et al.","given":""}],"accessed":{"date-parts":[["2020",4,15]]},"issued":{"date-parts":[["2015"]]}}}],"schema":"https://github.com/citation-style-language/schema/raw/master/csl-citation.json"} </w:instrText>
            </w:r>
            <w:r w:rsidRPr="009361EA">
              <w:rPr>
                <w:sz w:val="22"/>
                <w:szCs w:val="22"/>
                <w:lang w:val="en-US"/>
              </w:rPr>
              <w:fldChar w:fldCharType="separate"/>
            </w:r>
            <w:r w:rsidRPr="00DE1CA2">
              <w:rPr>
                <w:sz w:val="22"/>
              </w:rPr>
              <w:t>[27]</w:t>
            </w:r>
            <w:r w:rsidRPr="009361EA">
              <w:rPr>
                <w:sz w:val="22"/>
                <w:szCs w:val="22"/>
                <w:lang w:val="en-US"/>
              </w:rPr>
              <w:fldChar w:fldCharType="end"/>
            </w:r>
          </w:p>
        </w:tc>
      </w:tr>
      <w:tr w:rsidR="0084096B" w:rsidRPr="009361EA" w14:paraId="5392B562" w14:textId="77777777" w:rsidTr="00B849AD">
        <w:trPr>
          <w:trHeight w:val="300"/>
          <w:jc w:val="center"/>
        </w:trPr>
        <w:tc>
          <w:tcPr>
            <w:tcW w:w="1228" w:type="dxa"/>
            <w:tcBorders>
              <w:top w:val="nil"/>
              <w:left w:val="nil"/>
              <w:right w:val="nil"/>
            </w:tcBorders>
            <w:shd w:val="clear" w:color="auto" w:fill="auto"/>
            <w:noWrap/>
            <w:vAlign w:val="center"/>
          </w:tcPr>
          <w:p w14:paraId="2F6666D8" w14:textId="77777777" w:rsidR="0084096B" w:rsidRPr="009361EA" w:rsidRDefault="0084096B" w:rsidP="00B849AD">
            <w:pPr>
              <w:autoSpaceDE/>
              <w:autoSpaceDN/>
              <w:jc w:val="left"/>
              <w:rPr>
                <w:sz w:val="22"/>
                <w:szCs w:val="22"/>
                <w:lang w:val="en-US" w:eastAsia="pt-BR"/>
              </w:rPr>
            </w:pPr>
            <w:r w:rsidRPr="009361EA">
              <w:rPr>
                <w:sz w:val="22"/>
                <w:szCs w:val="22"/>
                <w:lang w:val="en-US"/>
              </w:rPr>
              <w:t>Sugarcane</w:t>
            </w:r>
          </w:p>
        </w:tc>
        <w:tc>
          <w:tcPr>
            <w:tcW w:w="1065" w:type="dxa"/>
            <w:tcBorders>
              <w:top w:val="nil"/>
              <w:left w:val="nil"/>
              <w:bottom w:val="nil"/>
              <w:right w:val="nil"/>
            </w:tcBorders>
            <w:shd w:val="clear" w:color="auto" w:fill="auto"/>
            <w:noWrap/>
            <w:vAlign w:val="center"/>
          </w:tcPr>
          <w:p w14:paraId="06844796" w14:textId="77777777" w:rsidR="0084096B" w:rsidRPr="009361EA" w:rsidRDefault="0084096B" w:rsidP="00B849AD">
            <w:pPr>
              <w:jc w:val="center"/>
              <w:rPr>
                <w:sz w:val="22"/>
                <w:szCs w:val="22"/>
                <w:lang w:val="en-US"/>
              </w:rPr>
            </w:pPr>
            <w:r w:rsidRPr="009361EA">
              <w:rPr>
                <w:sz w:val="22"/>
                <w:szCs w:val="22"/>
                <w:lang w:val="en-US"/>
              </w:rPr>
              <w:t>(6:1)</w:t>
            </w:r>
          </w:p>
        </w:tc>
        <w:tc>
          <w:tcPr>
            <w:tcW w:w="654" w:type="dxa"/>
            <w:tcBorders>
              <w:top w:val="nil"/>
              <w:left w:val="nil"/>
              <w:bottom w:val="nil"/>
              <w:right w:val="nil"/>
            </w:tcBorders>
            <w:shd w:val="clear" w:color="auto" w:fill="auto"/>
            <w:noWrap/>
            <w:vAlign w:val="center"/>
          </w:tcPr>
          <w:p w14:paraId="1BBAF42D" w14:textId="77777777" w:rsidR="0084096B" w:rsidRPr="009361EA" w:rsidRDefault="0084096B" w:rsidP="00B849AD">
            <w:pPr>
              <w:jc w:val="center"/>
              <w:rPr>
                <w:sz w:val="22"/>
                <w:szCs w:val="22"/>
                <w:lang w:val="en-US"/>
              </w:rPr>
            </w:pPr>
            <w:r w:rsidRPr="009361EA">
              <w:rPr>
                <w:sz w:val="22"/>
                <w:szCs w:val="22"/>
                <w:lang w:val="en-US"/>
              </w:rPr>
              <w:t>25%</w:t>
            </w:r>
          </w:p>
        </w:tc>
        <w:tc>
          <w:tcPr>
            <w:tcW w:w="1200" w:type="dxa"/>
            <w:tcBorders>
              <w:top w:val="nil"/>
              <w:left w:val="nil"/>
              <w:bottom w:val="nil"/>
              <w:right w:val="nil"/>
            </w:tcBorders>
            <w:shd w:val="clear" w:color="auto" w:fill="auto"/>
            <w:noWrap/>
            <w:vAlign w:val="center"/>
          </w:tcPr>
          <w:p w14:paraId="6E361C0A" w14:textId="77777777" w:rsidR="0084096B" w:rsidRPr="009361EA" w:rsidRDefault="0084096B" w:rsidP="00B849AD">
            <w:pPr>
              <w:jc w:val="center"/>
              <w:rPr>
                <w:sz w:val="22"/>
                <w:szCs w:val="22"/>
                <w:lang w:val="en-US"/>
              </w:rPr>
            </w:pPr>
            <w:r w:rsidRPr="009361EA">
              <w:rPr>
                <w:sz w:val="22"/>
                <w:szCs w:val="22"/>
                <w:lang w:val="en-US"/>
              </w:rPr>
              <w:t>39%</w:t>
            </w:r>
          </w:p>
        </w:tc>
        <w:tc>
          <w:tcPr>
            <w:tcW w:w="960" w:type="dxa"/>
            <w:tcBorders>
              <w:top w:val="nil"/>
              <w:left w:val="nil"/>
              <w:bottom w:val="nil"/>
              <w:right w:val="nil"/>
            </w:tcBorders>
            <w:shd w:val="clear" w:color="auto" w:fill="auto"/>
            <w:noWrap/>
            <w:vAlign w:val="center"/>
          </w:tcPr>
          <w:p w14:paraId="2CDEA697" w14:textId="77777777" w:rsidR="0084096B" w:rsidRPr="009361EA" w:rsidRDefault="0084096B" w:rsidP="00B849AD">
            <w:pPr>
              <w:jc w:val="center"/>
              <w:rPr>
                <w:sz w:val="22"/>
                <w:szCs w:val="22"/>
                <w:lang w:val="en-US"/>
              </w:rPr>
            </w:pPr>
            <w:r w:rsidRPr="009361EA">
              <w:rPr>
                <w:sz w:val="22"/>
                <w:szCs w:val="22"/>
                <w:lang w:val="en-US"/>
              </w:rPr>
              <w:t>22%</w:t>
            </w:r>
          </w:p>
        </w:tc>
        <w:tc>
          <w:tcPr>
            <w:tcW w:w="700" w:type="dxa"/>
            <w:tcBorders>
              <w:top w:val="nil"/>
              <w:left w:val="nil"/>
              <w:bottom w:val="nil"/>
              <w:right w:val="nil"/>
            </w:tcBorders>
            <w:shd w:val="clear" w:color="auto" w:fill="auto"/>
            <w:noWrap/>
            <w:vAlign w:val="center"/>
          </w:tcPr>
          <w:p w14:paraId="74A9CB8A" w14:textId="77777777" w:rsidR="0084096B" w:rsidRPr="009361EA" w:rsidRDefault="0084096B" w:rsidP="00B849AD">
            <w:pPr>
              <w:jc w:val="center"/>
              <w:rPr>
                <w:sz w:val="22"/>
                <w:szCs w:val="22"/>
                <w:lang w:val="en-US"/>
              </w:rPr>
            </w:pPr>
            <w:r w:rsidRPr="009361EA">
              <w:rPr>
                <w:sz w:val="22"/>
                <w:szCs w:val="22"/>
                <w:lang w:val="en-US"/>
              </w:rPr>
              <w:t>4%</w:t>
            </w:r>
          </w:p>
        </w:tc>
        <w:tc>
          <w:tcPr>
            <w:tcW w:w="960" w:type="dxa"/>
            <w:tcBorders>
              <w:top w:val="nil"/>
              <w:left w:val="nil"/>
              <w:bottom w:val="nil"/>
              <w:right w:val="nil"/>
            </w:tcBorders>
            <w:shd w:val="clear" w:color="auto" w:fill="auto"/>
            <w:noWrap/>
            <w:vAlign w:val="center"/>
          </w:tcPr>
          <w:p w14:paraId="30F2616C" w14:textId="77777777" w:rsidR="0084096B" w:rsidRPr="009361EA" w:rsidRDefault="0084096B" w:rsidP="00B849AD">
            <w:pPr>
              <w:jc w:val="center"/>
              <w:rPr>
                <w:sz w:val="22"/>
                <w:szCs w:val="22"/>
                <w:lang w:val="en-US"/>
              </w:rPr>
            </w:pPr>
            <w:r w:rsidRPr="009361EA">
              <w:rPr>
                <w:sz w:val="22"/>
                <w:szCs w:val="22"/>
                <w:lang w:val="en-US"/>
              </w:rPr>
              <w:t>25</w:t>
            </w:r>
          </w:p>
        </w:tc>
        <w:tc>
          <w:tcPr>
            <w:tcW w:w="960" w:type="dxa"/>
            <w:tcBorders>
              <w:top w:val="nil"/>
              <w:left w:val="nil"/>
              <w:bottom w:val="nil"/>
              <w:right w:val="nil"/>
            </w:tcBorders>
            <w:shd w:val="clear" w:color="auto" w:fill="auto"/>
            <w:noWrap/>
            <w:vAlign w:val="center"/>
          </w:tcPr>
          <w:p w14:paraId="5D90427A" w14:textId="77777777" w:rsidR="0084096B" w:rsidRPr="009361EA" w:rsidRDefault="0084096B" w:rsidP="00B849AD">
            <w:pPr>
              <w:jc w:val="center"/>
              <w:rPr>
                <w:sz w:val="22"/>
                <w:szCs w:val="22"/>
                <w:lang w:val="en-US"/>
              </w:rPr>
            </w:pPr>
            <w:r w:rsidRPr="009361EA">
              <w:rPr>
                <w:sz w:val="22"/>
                <w:szCs w:val="22"/>
                <w:lang w:val="en-US"/>
              </w:rPr>
              <w:t>24</w:t>
            </w:r>
          </w:p>
        </w:tc>
        <w:tc>
          <w:tcPr>
            <w:tcW w:w="552" w:type="dxa"/>
            <w:tcBorders>
              <w:top w:val="nil"/>
              <w:left w:val="nil"/>
              <w:bottom w:val="nil"/>
              <w:right w:val="nil"/>
            </w:tcBorders>
            <w:shd w:val="clear" w:color="auto" w:fill="auto"/>
            <w:vAlign w:val="center"/>
          </w:tcPr>
          <w:p w14:paraId="02531EC9" w14:textId="77777777" w:rsidR="0084096B" w:rsidRPr="009361EA" w:rsidRDefault="0084096B" w:rsidP="00B849AD">
            <w:pPr>
              <w:jc w:val="center"/>
              <w:rPr>
                <w:sz w:val="22"/>
                <w:szCs w:val="22"/>
                <w:lang w:val="en-US"/>
              </w:rPr>
            </w:pPr>
            <w:r w:rsidRPr="009361EA">
              <w:rPr>
                <w:sz w:val="22"/>
                <w:szCs w:val="22"/>
                <w:lang w:val="en-US"/>
              </w:rPr>
              <w:t>4</w:t>
            </w:r>
          </w:p>
        </w:tc>
        <w:tc>
          <w:tcPr>
            <w:tcW w:w="654" w:type="dxa"/>
            <w:tcBorders>
              <w:top w:val="nil"/>
              <w:left w:val="nil"/>
              <w:bottom w:val="nil"/>
              <w:right w:val="nil"/>
            </w:tcBorders>
            <w:shd w:val="clear" w:color="auto" w:fill="auto"/>
            <w:vAlign w:val="center"/>
          </w:tcPr>
          <w:p w14:paraId="49D0BE0A" w14:textId="77777777" w:rsidR="0084096B" w:rsidRPr="009361EA" w:rsidRDefault="0084096B" w:rsidP="00B849AD">
            <w:pPr>
              <w:jc w:val="center"/>
              <w:rPr>
                <w:sz w:val="22"/>
                <w:szCs w:val="22"/>
                <w:lang w:val="en-US"/>
              </w:rPr>
            </w:pPr>
            <w:r w:rsidRPr="009361EA">
              <w:rPr>
                <w:sz w:val="22"/>
                <w:szCs w:val="22"/>
                <w:lang w:val="en-US"/>
              </w:rPr>
              <w:t>6%</w:t>
            </w:r>
          </w:p>
        </w:tc>
        <w:tc>
          <w:tcPr>
            <w:tcW w:w="654" w:type="dxa"/>
            <w:tcBorders>
              <w:top w:val="nil"/>
              <w:left w:val="nil"/>
              <w:bottom w:val="nil"/>
              <w:right w:val="nil"/>
            </w:tcBorders>
            <w:shd w:val="clear" w:color="auto" w:fill="auto"/>
            <w:vAlign w:val="center"/>
          </w:tcPr>
          <w:p w14:paraId="6817683D" w14:textId="77777777" w:rsidR="0084096B" w:rsidRPr="009361EA" w:rsidRDefault="0084096B" w:rsidP="00B849AD">
            <w:pPr>
              <w:jc w:val="center"/>
              <w:rPr>
                <w:sz w:val="22"/>
                <w:szCs w:val="22"/>
                <w:lang w:val="en-US"/>
              </w:rPr>
            </w:pPr>
            <w:r w:rsidRPr="009361EA">
              <w:rPr>
                <w:sz w:val="22"/>
                <w:szCs w:val="22"/>
                <w:lang w:val="en-US"/>
              </w:rPr>
              <w:t>16%</w:t>
            </w:r>
          </w:p>
        </w:tc>
        <w:tc>
          <w:tcPr>
            <w:tcW w:w="654" w:type="dxa"/>
            <w:tcBorders>
              <w:top w:val="nil"/>
              <w:left w:val="nil"/>
              <w:bottom w:val="nil"/>
              <w:right w:val="nil"/>
            </w:tcBorders>
          </w:tcPr>
          <w:p w14:paraId="6506DE80"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jm160EDd","properties":{"formattedCitation":"[27]","plainCitation":"[27]","noteIndex":0},"citationItems":[{"id":888,"uris":["http://zotero.org/users/5217225/items/VGBRM5LS"],"uri":["http://zotero.org/users/5217225/items/VGBRM5LS"],"itemData":{"id":888,"type":"article-journal","abstract":"Biomass is a promising feedstock for the production of valuable oxygenated hydrocarbons due to presence of wide range of functionalities. Hydrothermal liquefaction is an attractive approach for the conversion of lignocellulosic biomass as it does not…","container-title":"springerprofessional.de","language":"English","source":"www.springerprofessional.de","title":"Hydrothermal liquefaction of agricultural and forest biomass residue: comparative study","title-short":"Hydrothermal liquefaction of agricultural and forest biomass residue","URL":"https://www.springerprofessional.de/hydrothermal-liquefaction-of-agricultural-and-forest-biomass-res/5335084","author":[{"family":"Singh et al.","given":""}],"accessed":{"date-parts":[["2020",4,15]]},"issued":{"date-parts":[["2015"]]}}}],"schema":"https://github.com/citation-style-language/schema/raw/master/csl-citation.json"} </w:instrText>
            </w:r>
            <w:r w:rsidRPr="009361EA">
              <w:rPr>
                <w:sz w:val="22"/>
                <w:szCs w:val="22"/>
                <w:lang w:val="en-US"/>
              </w:rPr>
              <w:fldChar w:fldCharType="separate"/>
            </w:r>
            <w:r w:rsidRPr="00DE1CA2">
              <w:rPr>
                <w:sz w:val="22"/>
              </w:rPr>
              <w:t>[27]</w:t>
            </w:r>
            <w:r w:rsidRPr="009361EA">
              <w:rPr>
                <w:sz w:val="22"/>
                <w:szCs w:val="22"/>
                <w:lang w:val="en-US"/>
              </w:rPr>
              <w:fldChar w:fldCharType="end"/>
            </w:r>
          </w:p>
        </w:tc>
      </w:tr>
      <w:tr w:rsidR="0084096B" w:rsidRPr="009361EA" w14:paraId="7A57FCCE" w14:textId="77777777" w:rsidTr="00B849AD">
        <w:trPr>
          <w:trHeight w:val="300"/>
          <w:jc w:val="center"/>
        </w:trPr>
        <w:tc>
          <w:tcPr>
            <w:tcW w:w="1228" w:type="dxa"/>
            <w:tcBorders>
              <w:top w:val="nil"/>
              <w:left w:val="nil"/>
              <w:bottom w:val="single" w:sz="4" w:space="0" w:color="auto"/>
              <w:right w:val="nil"/>
            </w:tcBorders>
            <w:shd w:val="clear" w:color="auto" w:fill="auto"/>
            <w:noWrap/>
            <w:vAlign w:val="center"/>
            <w:hideMark/>
          </w:tcPr>
          <w:p w14:paraId="3E45451F" w14:textId="77777777" w:rsidR="0084096B" w:rsidRPr="009361EA" w:rsidRDefault="0084096B" w:rsidP="00B849AD">
            <w:pPr>
              <w:autoSpaceDE/>
              <w:autoSpaceDN/>
              <w:jc w:val="left"/>
              <w:rPr>
                <w:sz w:val="22"/>
                <w:szCs w:val="22"/>
                <w:lang w:val="en-US" w:eastAsia="pt-BR"/>
              </w:rPr>
            </w:pPr>
            <w:r w:rsidRPr="009361EA">
              <w:rPr>
                <w:sz w:val="22"/>
                <w:szCs w:val="22"/>
                <w:lang w:val="en-US"/>
              </w:rPr>
              <w:t>Sorghum</w:t>
            </w:r>
          </w:p>
        </w:tc>
        <w:tc>
          <w:tcPr>
            <w:tcW w:w="1065" w:type="dxa"/>
            <w:tcBorders>
              <w:top w:val="nil"/>
              <w:left w:val="nil"/>
              <w:bottom w:val="single" w:sz="4" w:space="0" w:color="auto"/>
              <w:right w:val="nil"/>
            </w:tcBorders>
            <w:shd w:val="clear" w:color="auto" w:fill="auto"/>
            <w:noWrap/>
            <w:vAlign w:val="center"/>
          </w:tcPr>
          <w:p w14:paraId="02798BE9" w14:textId="77777777" w:rsidR="0084096B" w:rsidRPr="009361EA" w:rsidRDefault="0084096B" w:rsidP="00B849AD">
            <w:pPr>
              <w:jc w:val="center"/>
              <w:rPr>
                <w:sz w:val="22"/>
                <w:szCs w:val="22"/>
                <w:lang w:val="en-US"/>
              </w:rPr>
            </w:pPr>
            <w:r w:rsidRPr="009361EA">
              <w:rPr>
                <w:sz w:val="22"/>
                <w:szCs w:val="22"/>
                <w:lang w:val="en-US"/>
              </w:rPr>
              <w:t>(5:1)</w:t>
            </w:r>
          </w:p>
        </w:tc>
        <w:tc>
          <w:tcPr>
            <w:tcW w:w="654" w:type="dxa"/>
            <w:tcBorders>
              <w:top w:val="nil"/>
              <w:left w:val="nil"/>
              <w:bottom w:val="single" w:sz="4" w:space="0" w:color="auto"/>
              <w:right w:val="nil"/>
            </w:tcBorders>
            <w:shd w:val="clear" w:color="auto" w:fill="auto"/>
            <w:noWrap/>
            <w:vAlign w:val="center"/>
          </w:tcPr>
          <w:p w14:paraId="0BF90E5D" w14:textId="77777777" w:rsidR="0084096B" w:rsidRPr="009361EA" w:rsidRDefault="0084096B" w:rsidP="00B849AD">
            <w:pPr>
              <w:jc w:val="center"/>
              <w:rPr>
                <w:sz w:val="22"/>
                <w:szCs w:val="22"/>
                <w:lang w:val="en-US"/>
              </w:rPr>
            </w:pPr>
            <w:r w:rsidRPr="009361EA">
              <w:rPr>
                <w:sz w:val="22"/>
                <w:szCs w:val="22"/>
                <w:lang w:val="en-US"/>
              </w:rPr>
              <w:t>42%</w:t>
            </w:r>
          </w:p>
        </w:tc>
        <w:tc>
          <w:tcPr>
            <w:tcW w:w="1200" w:type="dxa"/>
            <w:tcBorders>
              <w:top w:val="nil"/>
              <w:left w:val="nil"/>
              <w:bottom w:val="single" w:sz="4" w:space="0" w:color="auto"/>
              <w:right w:val="nil"/>
            </w:tcBorders>
            <w:shd w:val="clear" w:color="auto" w:fill="auto"/>
            <w:noWrap/>
            <w:vAlign w:val="center"/>
          </w:tcPr>
          <w:p w14:paraId="6CA8B969" w14:textId="77777777" w:rsidR="0084096B" w:rsidRPr="009361EA" w:rsidRDefault="0084096B" w:rsidP="00B849AD">
            <w:pPr>
              <w:jc w:val="center"/>
              <w:rPr>
                <w:sz w:val="22"/>
                <w:szCs w:val="22"/>
                <w:lang w:val="en-US"/>
              </w:rPr>
            </w:pPr>
            <w:r w:rsidRPr="009361EA">
              <w:rPr>
                <w:sz w:val="22"/>
                <w:szCs w:val="22"/>
                <w:lang w:val="en-US"/>
              </w:rPr>
              <w:t>19%</w:t>
            </w:r>
          </w:p>
        </w:tc>
        <w:tc>
          <w:tcPr>
            <w:tcW w:w="960" w:type="dxa"/>
            <w:tcBorders>
              <w:top w:val="nil"/>
              <w:left w:val="nil"/>
              <w:bottom w:val="single" w:sz="4" w:space="0" w:color="auto"/>
              <w:right w:val="nil"/>
            </w:tcBorders>
            <w:shd w:val="clear" w:color="auto" w:fill="auto"/>
            <w:noWrap/>
            <w:vAlign w:val="center"/>
          </w:tcPr>
          <w:p w14:paraId="1FDDE7C0" w14:textId="77777777" w:rsidR="0084096B" w:rsidRPr="009361EA" w:rsidRDefault="0084096B" w:rsidP="00B849AD">
            <w:pPr>
              <w:jc w:val="center"/>
              <w:rPr>
                <w:sz w:val="22"/>
                <w:szCs w:val="22"/>
                <w:lang w:val="en-US"/>
              </w:rPr>
            </w:pPr>
            <w:r w:rsidRPr="009361EA">
              <w:rPr>
                <w:sz w:val="22"/>
                <w:szCs w:val="22"/>
                <w:lang w:val="en-US"/>
              </w:rPr>
              <w:t>23%</w:t>
            </w:r>
          </w:p>
        </w:tc>
        <w:tc>
          <w:tcPr>
            <w:tcW w:w="700" w:type="dxa"/>
            <w:tcBorders>
              <w:top w:val="nil"/>
              <w:left w:val="nil"/>
              <w:bottom w:val="single" w:sz="4" w:space="0" w:color="auto"/>
              <w:right w:val="nil"/>
            </w:tcBorders>
            <w:shd w:val="clear" w:color="auto" w:fill="auto"/>
            <w:noWrap/>
            <w:vAlign w:val="center"/>
          </w:tcPr>
          <w:p w14:paraId="1F10699F" w14:textId="77777777" w:rsidR="0084096B" w:rsidRPr="009361EA" w:rsidRDefault="0084096B" w:rsidP="00B849AD">
            <w:pPr>
              <w:jc w:val="center"/>
              <w:rPr>
                <w:sz w:val="22"/>
                <w:szCs w:val="22"/>
                <w:lang w:val="en-US"/>
              </w:rPr>
            </w:pPr>
            <w:r w:rsidRPr="009361EA">
              <w:rPr>
                <w:sz w:val="22"/>
                <w:szCs w:val="22"/>
                <w:lang w:val="en-US"/>
              </w:rPr>
              <w:t>17%</w:t>
            </w:r>
          </w:p>
        </w:tc>
        <w:tc>
          <w:tcPr>
            <w:tcW w:w="960" w:type="dxa"/>
            <w:tcBorders>
              <w:top w:val="nil"/>
              <w:left w:val="nil"/>
              <w:bottom w:val="single" w:sz="4" w:space="0" w:color="auto"/>
              <w:right w:val="nil"/>
            </w:tcBorders>
            <w:shd w:val="clear" w:color="auto" w:fill="auto"/>
            <w:noWrap/>
            <w:vAlign w:val="center"/>
          </w:tcPr>
          <w:p w14:paraId="53B0CD6E" w14:textId="77777777" w:rsidR="0084096B" w:rsidRPr="009361EA" w:rsidRDefault="0084096B" w:rsidP="00B849AD">
            <w:pPr>
              <w:jc w:val="center"/>
              <w:rPr>
                <w:sz w:val="22"/>
                <w:szCs w:val="22"/>
                <w:lang w:val="en-US"/>
              </w:rPr>
            </w:pPr>
            <w:r w:rsidRPr="009361EA">
              <w:rPr>
                <w:sz w:val="22"/>
                <w:szCs w:val="22"/>
                <w:lang w:val="en-US"/>
              </w:rPr>
              <w:t>30</w:t>
            </w:r>
          </w:p>
        </w:tc>
        <w:tc>
          <w:tcPr>
            <w:tcW w:w="960" w:type="dxa"/>
            <w:tcBorders>
              <w:top w:val="nil"/>
              <w:left w:val="nil"/>
              <w:bottom w:val="single" w:sz="4" w:space="0" w:color="auto"/>
              <w:right w:val="nil"/>
            </w:tcBorders>
            <w:shd w:val="clear" w:color="auto" w:fill="auto"/>
            <w:noWrap/>
            <w:vAlign w:val="center"/>
          </w:tcPr>
          <w:p w14:paraId="40C5D88A" w14:textId="77777777" w:rsidR="0084096B" w:rsidRPr="009361EA" w:rsidRDefault="0084096B" w:rsidP="00B849AD">
            <w:pPr>
              <w:jc w:val="center"/>
              <w:rPr>
                <w:sz w:val="22"/>
                <w:szCs w:val="22"/>
                <w:lang w:val="en-US"/>
              </w:rPr>
            </w:pPr>
            <w:r w:rsidRPr="009361EA">
              <w:rPr>
                <w:sz w:val="22"/>
                <w:szCs w:val="22"/>
                <w:lang w:val="en-US"/>
              </w:rPr>
              <w:t>30</w:t>
            </w:r>
          </w:p>
        </w:tc>
        <w:tc>
          <w:tcPr>
            <w:tcW w:w="552" w:type="dxa"/>
            <w:tcBorders>
              <w:top w:val="nil"/>
              <w:left w:val="nil"/>
              <w:bottom w:val="single" w:sz="4" w:space="0" w:color="auto"/>
              <w:right w:val="nil"/>
            </w:tcBorders>
            <w:shd w:val="clear" w:color="auto" w:fill="auto"/>
            <w:vAlign w:val="center"/>
          </w:tcPr>
          <w:p w14:paraId="01110F56" w14:textId="77777777" w:rsidR="0084096B" w:rsidRPr="009361EA" w:rsidRDefault="0084096B" w:rsidP="00B849AD">
            <w:pPr>
              <w:jc w:val="center"/>
              <w:rPr>
                <w:sz w:val="22"/>
                <w:szCs w:val="22"/>
                <w:lang w:val="en-US"/>
              </w:rPr>
            </w:pPr>
            <w:r w:rsidRPr="009361EA">
              <w:rPr>
                <w:sz w:val="22"/>
                <w:szCs w:val="22"/>
                <w:lang w:val="en-US"/>
              </w:rPr>
              <w:t>4</w:t>
            </w:r>
          </w:p>
        </w:tc>
        <w:tc>
          <w:tcPr>
            <w:tcW w:w="654" w:type="dxa"/>
            <w:tcBorders>
              <w:top w:val="nil"/>
              <w:left w:val="nil"/>
              <w:bottom w:val="single" w:sz="4" w:space="0" w:color="auto"/>
              <w:right w:val="nil"/>
            </w:tcBorders>
            <w:shd w:val="clear" w:color="auto" w:fill="auto"/>
            <w:vAlign w:val="center"/>
          </w:tcPr>
          <w:p w14:paraId="06860A9F" w14:textId="77777777" w:rsidR="0084096B" w:rsidRPr="009361EA" w:rsidRDefault="0084096B" w:rsidP="00B849AD">
            <w:pPr>
              <w:jc w:val="center"/>
              <w:rPr>
                <w:sz w:val="22"/>
                <w:szCs w:val="22"/>
                <w:lang w:val="en-US"/>
              </w:rPr>
            </w:pPr>
            <w:r w:rsidRPr="009361EA">
              <w:rPr>
                <w:sz w:val="22"/>
                <w:szCs w:val="22"/>
                <w:lang w:val="en-US"/>
              </w:rPr>
              <w:t>10%</w:t>
            </w:r>
          </w:p>
        </w:tc>
        <w:tc>
          <w:tcPr>
            <w:tcW w:w="654" w:type="dxa"/>
            <w:tcBorders>
              <w:top w:val="nil"/>
              <w:left w:val="nil"/>
              <w:bottom w:val="single" w:sz="4" w:space="0" w:color="auto"/>
              <w:right w:val="nil"/>
            </w:tcBorders>
            <w:shd w:val="clear" w:color="auto" w:fill="auto"/>
            <w:vAlign w:val="center"/>
          </w:tcPr>
          <w:p w14:paraId="5F5227F7" w14:textId="77777777" w:rsidR="0084096B" w:rsidRPr="009361EA" w:rsidRDefault="0084096B" w:rsidP="00B849AD">
            <w:pPr>
              <w:jc w:val="center"/>
              <w:rPr>
                <w:sz w:val="22"/>
                <w:szCs w:val="22"/>
                <w:lang w:val="en-US"/>
              </w:rPr>
            </w:pPr>
            <w:r w:rsidRPr="009361EA">
              <w:rPr>
                <w:sz w:val="22"/>
                <w:szCs w:val="22"/>
                <w:lang w:val="en-US"/>
              </w:rPr>
              <w:t>28%</w:t>
            </w:r>
          </w:p>
        </w:tc>
        <w:tc>
          <w:tcPr>
            <w:tcW w:w="654" w:type="dxa"/>
            <w:tcBorders>
              <w:top w:val="nil"/>
              <w:left w:val="nil"/>
              <w:bottom w:val="single" w:sz="4" w:space="0" w:color="auto"/>
              <w:right w:val="nil"/>
            </w:tcBorders>
          </w:tcPr>
          <w:p w14:paraId="6DD40886"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4ZmryVGr","properties":{"formattedCitation":"[28]","plainCitation":"[28]","noteIndex":0},"citationItems":[{"id":890,"uris":["http://zotero.org/users/5217225/items/MID8WF9S"],"uri":["http://zotero.org/users/5217225/items/MID8WF9S"],"itemData":{"id":890,"type":"article-journal","abstract":"For the purpose of producing biocrude from pretreated and washed sweet sorghum bagasse, hydrothermal liquefaction (HTL) was conducted with six different catalysts at two temperatures. The six catalysts were: K2CO3, KOH, formic acid, Ni/SiAl, Ni2P and zeolite. The two temperatures were 300 and 350°C. Based on two selection criteria, high yield of biocrude and low yield of biochar, K2CO3, KOH, and Ni/SiAl were identified as the best catalysts which led to biocrude yields of 61.8%, 42.3% and 45.0% at 300°C, respectively. As the best catalyst, K2CO3 led to biocrude samples with higher heating values (HHVs) of 33.1MJ/kg. This biocrude had high carbon content and low contents of nitrogen and sulfur based on elemental analysis. However, the relatively high content of oxygen around 15% requires the biocrudes to be upgraded before refinery ready. Key compounds identified in these biocrudes will assist future effort in upgrading. Overall, this study proved that the pretreated bagasse is a suitable feedstock for HTL for generating biocrude. Through a simple dilute acid pretreatment step and HTL of the resulting solid, every component of sorghum bagasse can be used for producing biofuels.","container-title":"Fuel","DOI":"10.1016/j.fuel.2016.10.039","ISSN":"0016-2361","journalAbbreviation":"Fuel","language":"en","page":"112-120","source":"ScienceDirect","title":"Biocrude from pretreated sorghum bagasse through catalytic hydrothermal liquefaction","volume":"188","author":[{"family":"Bi","given":"Zheting"},{"family":"Zhang","given":"Ji"},{"family":"Peterson","given":"Emily"},{"family":"Zhu","given":"Zeying"},{"family":"Xia","given":"Chunjie"},{"family":"Liang","given":"Yanna"},{"family":"Wiltowski","given":"Tomasz"}],"issued":{"date-parts":[["2017",1,15]]}}}],"schema":"https://github.com/citation-style-language/schema/raw/master/csl-citation.json"} </w:instrText>
            </w:r>
            <w:r w:rsidRPr="009361EA">
              <w:rPr>
                <w:sz w:val="22"/>
                <w:szCs w:val="22"/>
                <w:lang w:val="en-US"/>
              </w:rPr>
              <w:fldChar w:fldCharType="separate"/>
            </w:r>
            <w:r w:rsidRPr="00DE1CA2">
              <w:rPr>
                <w:sz w:val="22"/>
              </w:rPr>
              <w:t>[28]</w:t>
            </w:r>
            <w:r w:rsidRPr="009361EA">
              <w:rPr>
                <w:sz w:val="22"/>
                <w:szCs w:val="22"/>
                <w:lang w:val="en-US"/>
              </w:rPr>
              <w:fldChar w:fldCharType="end"/>
            </w:r>
          </w:p>
        </w:tc>
      </w:tr>
    </w:tbl>
    <w:p w14:paraId="1C8A5C0E" w14:textId="77777777" w:rsidR="0084096B" w:rsidRPr="009361EA" w:rsidRDefault="0084096B" w:rsidP="0084096B">
      <w:pPr>
        <w:tabs>
          <w:tab w:val="left" w:pos="-437"/>
        </w:tabs>
        <w:suppressAutoHyphens/>
        <w:rPr>
          <w:spacing w:val="-3"/>
          <w:lang w:val="en-US"/>
        </w:rPr>
      </w:pPr>
    </w:p>
    <w:p w14:paraId="61A8317E" w14:textId="18243FB6" w:rsidR="00807F37" w:rsidRDefault="00807F37" w:rsidP="006D27B6">
      <w:pPr>
        <w:pStyle w:val="reference"/>
        <w:numPr>
          <w:ilvl w:val="0"/>
          <w:numId w:val="0"/>
        </w:numPr>
        <w:ind w:left="284" w:hanging="284"/>
        <w:rPr>
          <w:lang w:val="en-US"/>
        </w:rPr>
      </w:pPr>
    </w:p>
    <w:p w14:paraId="23B0B5B0" w14:textId="77777777" w:rsidR="00CB72C9" w:rsidRDefault="00CB72C9" w:rsidP="00CB72C9">
      <w:pPr>
        <w:pStyle w:val="reference"/>
        <w:numPr>
          <w:ilvl w:val="0"/>
          <w:numId w:val="0"/>
        </w:numPr>
        <w:ind w:left="284" w:hanging="284"/>
        <w:rPr>
          <w:lang w:val="en-US"/>
        </w:rPr>
      </w:pPr>
      <w:proofErr w:type="spellStart"/>
      <w:r w:rsidRPr="00CB72C9">
        <w:rPr>
          <w:highlight w:val="cyan"/>
          <w:lang w:val="en-US"/>
        </w:rPr>
        <w:t>Sumatorias</w:t>
      </w:r>
      <w:proofErr w:type="spellEnd"/>
      <w:r w:rsidRPr="00CB72C9">
        <w:rPr>
          <w:highlight w:val="cyan"/>
          <w:lang w:val="en-US"/>
        </w:rPr>
        <w:t xml:space="preserve"> = 100</w:t>
      </w:r>
      <w:r>
        <w:rPr>
          <w:highlight w:val="cyan"/>
          <w:lang w:val="en-US"/>
        </w:rPr>
        <w:t>%</w:t>
      </w:r>
    </w:p>
    <w:p w14:paraId="41ACF7F1" w14:textId="77777777" w:rsidR="00CB72C9" w:rsidRDefault="00CB72C9" w:rsidP="006D27B6">
      <w:pPr>
        <w:pStyle w:val="reference"/>
        <w:numPr>
          <w:ilvl w:val="0"/>
          <w:numId w:val="0"/>
        </w:numPr>
        <w:ind w:left="284" w:hanging="284"/>
        <w:rPr>
          <w:lang w:val="en-US"/>
        </w:rPr>
      </w:pPr>
    </w:p>
    <w:p w14:paraId="31C7C07B" w14:textId="77777777" w:rsidR="008E74FB" w:rsidRDefault="008E74FB" w:rsidP="006D27B6">
      <w:pPr>
        <w:pStyle w:val="reference"/>
        <w:numPr>
          <w:ilvl w:val="0"/>
          <w:numId w:val="0"/>
        </w:numPr>
        <w:ind w:left="284" w:hanging="284"/>
        <w:rPr>
          <w:lang w:val="en-US"/>
        </w:rPr>
      </w:pPr>
    </w:p>
    <w:p w14:paraId="09E81B93" w14:textId="28768A54" w:rsidR="0084096B" w:rsidRDefault="0084096B">
      <w:pPr>
        <w:autoSpaceDE/>
        <w:autoSpaceDN/>
        <w:jc w:val="left"/>
        <w:rPr>
          <w:spacing w:val="-3"/>
          <w:lang w:val="en-US"/>
        </w:rPr>
      </w:pPr>
      <w:r>
        <w:rPr>
          <w:lang w:val="en-US"/>
        </w:rPr>
        <w:br w:type="page"/>
      </w:r>
    </w:p>
    <w:p w14:paraId="66A58DA2" w14:textId="783766E0" w:rsidR="0084096B" w:rsidRDefault="0084096B" w:rsidP="006D27B6">
      <w:pPr>
        <w:pStyle w:val="reference"/>
        <w:numPr>
          <w:ilvl w:val="0"/>
          <w:numId w:val="0"/>
        </w:numPr>
        <w:ind w:left="284" w:hanging="284"/>
        <w:rPr>
          <w:lang w:val="en-US"/>
        </w:rPr>
      </w:pPr>
    </w:p>
    <w:p w14:paraId="46F972C1" w14:textId="77777777" w:rsidR="0084096B" w:rsidRPr="009361EA" w:rsidRDefault="0084096B" w:rsidP="0084096B">
      <w:pPr>
        <w:tabs>
          <w:tab w:val="left" w:pos="-1134"/>
          <w:tab w:val="left" w:pos="-414"/>
        </w:tabs>
        <w:suppressAutoHyphens/>
        <w:rPr>
          <w:spacing w:val="-3"/>
          <w:lang w:val="en-US"/>
        </w:rPr>
      </w:pPr>
    </w:p>
    <w:p w14:paraId="6AB4277C" w14:textId="77777777" w:rsidR="0084096B" w:rsidRPr="009361EA" w:rsidRDefault="0084096B" w:rsidP="0084096B">
      <w:pPr>
        <w:tabs>
          <w:tab w:val="left" w:pos="-437"/>
        </w:tabs>
        <w:suppressAutoHyphens/>
        <w:jc w:val="center"/>
        <w:rPr>
          <w:spacing w:val="-3"/>
          <w:lang w:val="en-US"/>
        </w:rPr>
      </w:pPr>
      <w:r w:rsidRPr="00796482">
        <w:rPr>
          <w:spacing w:val="-3"/>
          <w:highlight w:val="cyan"/>
          <w:lang w:val="en-US"/>
        </w:rPr>
        <w:t>Table 3.</w:t>
      </w:r>
      <w:r w:rsidRPr="009361EA">
        <w:rPr>
          <w:spacing w:val="-3"/>
          <w:lang w:val="en-US"/>
        </w:rPr>
        <w:t xml:space="preserve"> </w:t>
      </w:r>
      <w:r w:rsidRPr="00B94C23">
        <w:rPr>
          <w:spacing w:val="-3"/>
          <w:lang w:val="en-US"/>
        </w:rPr>
        <w:t xml:space="preserve">GFT </w:t>
      </w:r>
      <w:r w:rsidRPr="009361EA">
        <w:rPr>
          <w:spacing w:val="-3"/>
          <w:lang w:val="en-US"/>
        </w:rPr>
        <w:t>conditions, yields, and heating values of reaction products</w:t>
      </w:r>
    </w:p>
    <w:p w14:paraId="1C5BAF65" w14:textId="77777777" w:rsidR="0084096B" w:rsidRPr="009361EA" w:rsidRDefault="0084096B" w:rsidP="0084096B">
      <w:pPr>
        <w:tabs>
          <w:tab w:val="left" w:pos="-437"/>
        </w:tabs>
        <w:suppressAutoHyphens/>
        <w:jc w:val="center"/>
        <w:rPr>
          <w:spacing w:val="-3"/>
          <w:lang w:val="en-US"/>
        </w:rPr>
      </w:pPr>
    </w:p>
    <w:tbl>
      <w:tblPr>
        <w:tblW w:w="10241" w:type="dxa"/>
        <w:jc w:val="center"/>
        <w:tblLayout w:type="fixed"/>
        <w:tblCellMar>
          <w:left w:w="70" w:type="dxa"/>
          <w:right w:w="70" w:type="dxa"/>
        </w:tblCellMar>
        <w:tblLook w:val="04A0" w:firstRow="1" w:lastRow="0" w:firstColumn="1" w:lastColumn="0" w:noHBand="0" w:noVBand="1"/>
      </w:tblPr>
      <w:tblGrid>
        <w:gridCol w:w="1228"/>
        <w:gridCol w:w="1065"/>
        <w:gridCol w:w="654"/>
        <w:gridCol w:w="1200"/>
        <w:gridCol w:w="960"/>
        <w:gridCol w:w="700"/>
        <w:gridCol w:w="960"/>
        <w:gridCol w:w="960"/>
        <w:gridCol w:w="552"/>
        <w:gridCol w:w="654"/>
        <w:gridCol w:w="654"/>
        <w:gridCol w:w="654"/>
      </w:tblGrid>
      <w:tr w:rsidR="0084096B" w:rsidRPr="009361EA" w14:paraId="6503B6F5" w14:textId="77777777" w:rsidTr="00B849AD">
        <w:trPr>
          <w:trHeight w:val="300"/>
          <w:jc w:val="center"/>
        </w:trPr>
        <w:tc>
          <w:tcPr>
            <w:tcW w:w="1228" w:type="dxa"/>
            <w:tcBorders>
              <w:top w:val="single" w:sz="4" w:space="0" w:color="auto"/>
              <w:left w:val="nil"/>
              <w:bottom w:val="single" w:sz="4" w:space="0" w:color="auto"/>
              <w:right w:val="nil"/>
            </w:tcBorders>
            <w:shd w:val="clear" w:color="auto" w:fill="auto"/>
            <w:noWrap/>
            <w:vAlign w:val="center"/>
          </w:tcPr>
          <w:p w14:paraId="04646606" w14:textId="77777777" w:rsidR="0084096B" w:rsidRPr="00FA758C" w:rsidRDefault="0084096B" w:rsidP="00B849AD">
            <w:pPr>
              <w:autoSpaceDE/>
              <w:autoSpaceDN/>
              <w:jc w:val="left"/>
              <w:rPr>
                <w:b/>
                <w:sz w:val="20"/>
                <w:szCs w:val="22"/>
                <w:lang w:val="en-US"/>
              </w:rPr>
            </w:pPr>
            <w:r w:rsidRPr="00FA758C">
              <w:rPr>
                <w:b/>
                <w:sz w:val="20"/>
                <w:szCs w:val="22"/>
                <w:lang w:val="en-US"/>
              </w:rPr>
              <w:t>Feedstock</w:t>
            </w:r>
          </w:p>
        </w:tc>
        <w:tc>
          <w:tcPr>
            <w:tcW w:w="1065" w:type="dxa"/>
            <w:tcBorders>
              <w:top w:val="single" w:sz="4" w:space="0" w:color="auto"/>
              <w:left w:val="nil"/>
              <w:bottom w:val="single" w:sz="4" w:space="0" w:color="auto"/>
              <w:right w:val="nil"/>
            </w:tcBorders>
            <w:shd w:val="clear" w:color="auto" w:fill="auto"/>
            <w:noWrap/>
            <w:vAlign w:val="center"/>
          </w:tcPr>
          <w:p w14:paraId="1AAAADBA" w14:textId="77777777" w:rsidR="0084096B" w:rsidRPr="00FA758C" w:rsidRDefault="0084096B" w:rsidP="00B849AD">
            <w:pPr>
              <w:jc w:val="center"/>
              <w:rPr>
                <w:b/>
                <w:sz w:val="20"/>
                <w:szCs w:val="22"/>
                <w:lang w:val="en-US"/>
              </w:rPr>
            </w:pPr>
            <w:r w:rsidRPr="00FA758C">
              <w:rPr>
                <w:b/>
                <w:sz w:val="20"/>
                <w:szCs w:val="22"/>
                <w:lang w:val="en-US"/>
              </w:rPr>
              <w:t>Reactor temp</w:t>
            </w:r>
          </w:p>
        </w:tc>
        <w:tc>
          <w:tcPr>
            <w:tcW w:w="2814" w:type="dxa"/>
            <w:gridSpan w:val="3"/>
            <w:tcBorders>
              <w:top w:val="single" w:sz="4" w:space="0" w:color="auto"/>
              <w:left w:val="nil"/>
              <w:bottom w:val="single" w:sz="4" w:space="0" w:color="auto"/>
              <w:right w:val="nil"/>
            </w:tcBorders>
            <w:shd w:val="clear" w:color="auto" w:fill="auto"/>
            <w:noWrap/>
            <w:vAlign w:val="center"/>
          </w:tcPr>
          <w:p w14:paraId="20D77F3B" w14:textId="77777777" w:rsidR="0084096B" w:rsidRPr="00FA758C" w:rsidRDefault="0084096B" w:rsidP="00B849AD">
            <w:pPr>
              <w:jc w:val="center"/>
              <w:rPr>
                <w:b/>
                <w:sz w:val="18"/>
                <w:szCs w:val="22"/>
                <w:lang w:val="en-US"/>
              </w:rPr>
            </w:pPr>
            <w:r w:rsidRPr="00FA758C">
              <w:rPr>
                <w:b/>
                <w:sz w:val="20"/>
                <w:szCs w:val="22"/>
                <w:lang w:val="en-US"/>
              </w:rPr>
              <w:t>Yields</w:t>
            </w:r>
          </w:p>
        </w:tc>
        <w:tc>
          <w:tcPr>
            <w:tcW w:w="3826" w:type="dxa"/>
            <w:gridSpan w:val="5"/>
            <w:tcBorders>
              <w:top w:val="single" w:sz="4" w:space="0" w:color="auto"/>
              <w:left w:val="nil"/>
              <w:bottom w:val="single" w:sz="4" w:space="0" w:color="auto"/>
              <w:right w:val="nil"/>
            </w:tcBorders>
            <w:shd w:val="clear" w:color="auto" w:fill="auto"/>
            <w:noWrap/>
            <w:vAlign w:val="center"/>
          </w:tcPr>
          <w:p w14:paraId="0638B8ED" w14:textId="77777777" w:rsidR="0084096B" w:rsidRPr="00FA758C" w:rsidRDefault="0084096B" w:rsidP="00B849AD">
            <w:pPr>
              <w:jc w:val="center"/>
              <w:rPr>
                <w:b/>
                <w:sz w:val="18"/>
                <w:szCs w:val="22"/>
                <w:lang w:val="en-US"/>
              </w:rPr>
            </w:pPr>
            <w:r w:rsidRPr="00FA758C">
              <w:rPr>
                <w:b/>
                <w:sz w:val="18"/>
                <w:szCs w:val="22"/>
                <w:lang w:val="en-US"/>
              </w:rPr>
              <w:t>Syngas Composition</w:t>
            </w:r>
          </w:p>
        </w:tc>
        <w:tc>
          <w:tcPr>
            <w:tcW w:w="654" w:type="dxa"/>
            <w:tcBorders>
              <w:top w:val="single" w:sz="4" w:space="0" w:color="auto"/>
              <w:left w:val="nil"/>
              <w:bottom w:val="single" w:sz="4" w:space="0" w:color="auto"/>
              <w:right w:val="nil"/>
            </w:tcBorders>
            <w:vAlign w:val="center"/>
          </w:tcPr>
          <w:p w14:paraId="491B224E" w14:textId="77777777" w:rsidR="0084096B" w:rsidRPr="00FA758C" w:rsidRDefault="0084096B" w:rsidP="00B849AD">
            <w:pPr>
              <w:jc w:val="center"/>
              <w:rPr>
                <w:b/>
                <w:i/>
                <w:sz w:val="18"/>
                <w:szCs w:val="22"/>
                <w:lang w:val="en-US"/>
              </w:rPr>
            </w:pPr>
            <w:r w:rsidRPr="00FA758C">
              <w:rPr>
                <w:b/>
                <w:sz w:val="20"/>
                <w:szCs w:val="22"/>
                <w:lang w:val="en-US"/>
              </w:rPr>
              <w:t>HHV</w:t>
            </w:r>
          </w:p>
        </w:tc>
        <w:tc>
          <w:tcPr>
            <w:tcW w:w="654" w:type="dxa"/>
            <w:tcBorders>
              <w:top w:val="single" w:sz="4" w:space="0" w:color="auto"/>
              <w:left w:val="nil"/>
              <w:bottom w:val="single" w:sz="4" w:space="0" w:color="auto"/>
              <w:right w:val="nil"/>
            </w:tcBorders>
            <w:vAlign w:val="center"/>
          </w:tcPr>
          <w:p w14:paraId="30FFEBBE" w14:textId="77777777" w:rsidR="0084096B" w:rsidRPr="00FA758C" w:rsidRDefault="0084096B" w:rsidP="00B849AD">
            <w:pPr>
              <w:jc w:val="center"/>
              <w:rPr>
                <w:b/>
                <w:sz w:val="20"/>
                <w:szCs w:val="22"/>
                <w:lang w:val="en-US"/>
              </w:rPr>
            </w:pPr>
            <w:r w:rsidRPr="00FA758C">
              <w:rPr>
                <w:b/>
                <w:sz w:val="20"/>
                <w:szCs w:val="22"/>
                <w:lang w:val="en-US"/>
              </w:rPr>
              <w:t>Ref.</w:t>
            </w:r>
          </w:p>
        </w:tc>
      </w:tr>
      <w:tr w:rsidR="0084096B" w:rsidRPr="009361EA" w14:paraId="089DB8F2" w14:textId="77777777" w:rsidTr="00B849AD">
        <w:trPr>
          <w:trHeight w:val="300"/>
          <w:jc w:val="center"/>
        </w:trPr>
        <w:tc>
          <w:tcPr>
            <w:tcW w:w="1228" w:type="dxa"/>
            <w:tcBorders>
              <w:top w:val="single" w:sz="4" w:space="0" w:color="auto"/>
              <w:left w:val="nil"/>
              <w:bottom w:val="single" w:sz="4" w:space="0" w:color="auto"/>
              <w:right w:val="nil"/>
            </w:tcBorders>
            <w:shd w:val="clear" w:color="auto" w:fill="auto"/>
            <w:noWrap/>
            <w:vAlign w:val="center"/>
          </w:tcPr>
          <w:p w14:paraId="5A8EB429" w14:textId="77777777" w:rsidR="0084096B" w:rsidRPr="009361EA" w:rsidRDefault="0084096B" w:rsidP="00B849AD">
            <w:pPr>
              <w:autoSpaceDE/>
              <w:autoSpaceDN/>
              <w:jc w:val="left"/>
              <w:rPr>
                <w:sz w:val="20"/>
                <w:szCs w:val="22"/>
                <w:lang w:val="en-US"/>
              </w:rPr>
            </w:pPr>
          </w:p>
        </w:tc>
        <w:tc>
          <w:tcPr>
            <w:tcW w:w="1065" w:type="dxa"/>
            <w:tcBorders>
              <w:top w:val="single" w:sz="4" w:space="0" w:color="auto"/>
              <w:left w:val="nil"/>
              <w:bottom w:val="single" w:sz="4" w:space="0" w:color="auto"/>
              <w:right w:val="nil"/>
            </w:tcBorders>
            <w:shd w:val="clear" w:color="auto" w:fill="auto"/>
            <w:noWrap/>
            <w:vAlign w:val="center"/>
          </w:tcPr>
          <w:p w14:paraId="2FA27CF6" w14:textId="77777777" w:rsidR="0084096B" w:rsidRPr="00FA758C" w:rsidRDefault="0084096B" w:rsidP="00B849AD">
            <w:pPr>
              <w:jc w:val="center"/>
              <w:rPr>
                <w:i/>
                <w:sz w:val="20"/>
                <w:szCs w:val="22"/>
                <w:lang w:val="en-US"/>
              </w:rPr>
            </w:pPr>
            <w:r w:rsidRPr="00FA758C">
              <w:rPr>
                <w:i/>
                <w:sz w:val="20"/>
                <w:szCs w:val="22"/>
                <w:lang w:val="en-US"/>
              </w:rPr>
              <w:t>(</w:t>
            </w:r>
            <w:proofErr w:type="spellStart"/>
            <w:r w:rsidRPr="00FA758C">
              <w:rPr>
                <w:i/>
                <w:sz w:val="20"/>
                <w:szCs w:val="22"/>
                <w:vertAlign w:val="superscript"/>
                <w:lang w:val="en-US"/>
              </w:rPr>
              <w:t>o</w:t>
            </w:r>
            <w:r w:rsidRPr="00FA758C">
              <w:rPr>
                <w:i/>
                <w:sz w:val="20"/>
                <w:szCs w:val="22"/>
                <w:lang w:val="en-US"/>
              </w:rPr>
              <w:t>C</w:t>
            </w:r>
            <w:proofErr w:type="spellEnd"/>
            <w:r w:rsidRPr="00FA758C">
              <w:rPr>
                <w:i/>
                <w:sz w:val="20"/>
                <w:szCs w:val="22"/>
                <w:lang w:val="en-US"/>
              </w:rPr>
              <w:t>)</w:t>
            </w:r>
          </w:p>
        </w:tc>
        <w:tc>
          <w:tcPr>
            <w:tcW w:w="2814" w:type="dxa"/>
            <w:gridSpan w:val="3"/>
            <w:tcBorders>
              <w:top w:val="single" w:sz="4" w:space="0" w:color="auto"/>
              <w:left w:val="nil"/>
              <w:bottom w:val="single" w:sz="4" w:space="0" w:color="auto"/>
              <w:right w:val="nil"/>
            </w:tcBorders>
            <w:shd w:val="clear" w:color="auto" w:fill="auto"/>
            <w:noWrap/>
            <w:vAlign w:val="center"/>
          </w:tcPr>
          <w:p w14:paraId="07A0AAB5" w14:textId="77777777" w:rsidR="0084096B" w:rsidRPr="009361EA" w:rsidRDefault="0084096B" w:rsidP="00B849AD">
            <w:pPr>
              <w:jc w:val="center"/>
              <w:rPr>
                <w:sz w:val="18"/>
                <w:szCs w:val="22"/>
                <w:lang w:val="en-US"/>
              </w:rPr>
            </w:pPr>
            <w:r w:rsidRPr="009361EA">
              <w:rPr>
                <w:i/>
                <w:sz w:val="18"/>
                <w:szCs w:val="22"/>
                <w:lang w:val="en-US"/>
              </w:rPr>
              <w:t>% inlet feed</w:t>
            </w:r>
          </w:p>
        </w:tc>
        <w:tc>
          <w:tcPr>
            <w:tcW w:w="700" w:type="dxa"/>
            <w:tcBorders>
              <w:top w:val="single" w:sz="4" w:space="0" w:color="auto"/>
              <w:left w:val="nil"/>
              <w:bottom w:val="single" w:sz="4" w:space="0" w:color="auto"/>
              <w:right w:val="nil"/>
            </w:tcBorders>
            <w:shd w:val="clear" w:color="auto" w:fill="auto"/>
            <w:noWrap/>
            <w:vAlign w:val="center"/>
          </w:tcPr>
          <w:p w14:paraId="39C1A437" w14:textId="77777777" w:rsidR="0084096B" w:rsidRPr="009361EA" w:rsidRDefault="0084096B" w:rsidP="00B849AD">
            <w:pPr>
              <w:jc w:val="center"/>
              <w:rPr>
                <w:sz w:val="18"/>
                <w:szCs w:val="22"/>
                <w:lang w:val="en-US"/>
              </w:rPr>
            </w:pPr>
          </w:p>
        </w:tc>
        <w:tc>
          <w:tcPr>
            <w:tcW w:w="960" w:type="dxa"/>
            <w:tcBorders>
              <w:top w:val="single" w:sz="4" w:space="0" w:color="auto"/>
              <w:left w:val="nil"/>
              <w:bottom w:val="single" w:sz="4" w:space="0" w:color="auto"/>
              <w:right w:val="nil"/>
            </w:tcBorders>
            <w:shd w:val="clear" w:color="auto" w:fill="auto"/>
            <w:noWrap/>
            <w:vAlign w:val="center"/>
          </w:tcPr>
          <w:p w14:paraId="54C5B03D" w14:textId="77777777" w:rsidR="0084096B" w:rsidRPr="009361EA" w:rsidRDefault="0084096B" w:rsidP="00B849AD">
            <w:pPr>
              <w:jc w:val="center"/>
              <w:rPr>
                <w:sz w:val="18"/>
                <w:szCs w:val="22"/>
                <w:lang w:val="en-US"/>
              </w:rPr>
            </w:pPr>
          </w:p>
        </w:tc>
        <w:tc>
          <w:tcPr>
            <w:tcW w:w="960" w:type="dxa"/>
            <w:tcBorders>
              <w:top w:val="single" w:sz="4" w:space="0" w:color="auto"/>
              <w:left w:val="nil"/>
              <w:bottom w:val="single" w:sz="4" w:space="0" w:color="auto"/>
              <w:right w:val="nil"/>
            </w:tcBorders>
            <w:shd w:val="clear" w:color="auto" w:fill="auto"/>
            <w:noWrap/>
            <w:vAlign w:val="center"/>
          </w:tcPr>
          <w:p w14:paraId="3F070155" w14:textId="77777777" w:rsidR="0084096B" w:rsidRPr="009361EA" w:rsidRDefault="0084096B" w:rsidP="00B849AD">
            <w:pPr>
              <w:jc w:val="center"/>
              <w:rPr>
                <w:sz w:val="18"/>
                <w:szCs w:val="22"/>
                <w:lang w:val="en-US"/>
              </w:rPr>
            </w:pPr>
          </w:p>
        </w:tc>
        <w:tc>
          <w:tcPr>
            <w:tcW w:w="552" w:type="dxa"/>
            <w:tcBorders>
              <w:top w:val="single" w:sz="4" w:space="0" w:color="auto"/>
              <w:left w:val="nil"/>
              <w:bottom w:val="single" w:sz="4" w:space="0" w:color="auto"/>
              <w:right w:val="nil"/>
            </w:tcBorders>
            <w:vAlign w:val="center"/>
          </w:tcPr>
          <w:p w14:paraId="0ACAE64F" w14:textId="77777777" w:rsidR="0084096B" w:rsidRPr="009361EA" w:rsidRDefault="0084096B" w:rsidP="00B849AD">
            <w:pPr>
              <w:jc w:val="center"/>
              <w:rPr>
                <w:sz w:val="18"/>
                <w:szCs w:val="22"/>
                <w:lang w:val="en-US"/>
              </w:rPr>
            </w:pPr>
          </w:p>
        </w:tc>
        <w:tc>
          <w:tcPr>
            <w:tcW w:w="654" w:type="dxa"/>
            <w:tcBorders>
              <w:top w:val="single" w:sz="4" w:space="0" w:color="auto"/>
              <w:left w:val="nil"/>
              <w:bottom w:val="single" w:sz="4" w:space="0" w:color="auto"/>
              <w:right w:val="nil"/>
            </w:tcBorders>
            <w:vAlign w:val="center"/>
          </w:tcPr>
          <w:p w14:paraId="24F222AB" w14:textId="77777777" w:rsidR="0084096B" w:rsidRPr="009361EA" w:rsidRDefault="0084096B" w:rsidP="00B849AD">
            <w:pPr>
              <w:jc w:val="center"/>
              <w:rPr>
                <w:sz w:val="18"/>
                <w:szCs w:val="22"/>
                <w:lang w:val="en-US"/>
              </w:rPr>
            </w:pPr>
          </w:p>
        </w:tc>
        <w:tc>
          <w:tcPr>
            <w:tcW w:w="654" w:type="dxa"/>
            <w:tcBorders>
              <w:top w:val="single" w:sz="4" w:space="0" w:color="auto"/>
              <w:left w:val="nil"/>
              <w:bottom w:val="single" w:sz="4" w:space="0" w:color="auto"/>
              <w:right w:val="nil"/>
            </w:tcBorders>
            <w:vAlign w:val="center"/>
          </w:tcPr>
          <w:p w14:paraId="7828B5E9" w14:textId="77777777" w:rsidR="0084096B" w:rsidRPr="009361EA" w:rsidRDefault="0084096B" w:rsidP="00B849AD">
            <w:pPr>
              <w:jc w:val="center"/>
              <w:rPr>
                <w:i/>
                <w:sz w:val="18"/>
                <w:szCs w:val="22"/>
                <w:lang w:val="en-US"/>
              </w:rPr>
            </w:pPr>
            <w:r w:rsidRPr="009361EA">
              <w:rPr>
                <w:i/>
                <w:sz w:val="16"/>
                <w:szCs w:val="22"/>
                <w:lang w:val="en-US"/>
              </w:rPr>
              <w:t>(MJ/kg)</w:t>
            </w:r>
          </w:p>
        </w:tc>
        <w:tc>
          <w:tcPr>
            <w:tcW w:w="654" w:type="dxa"/>
            <w:tcBorders>
              <w:top w:val="single" w:sz="4" w:space="0" w:color="auto"/>
              <w:left w:val="nil"/>
              <w:bottom w:val="single" w:sz="4" w:space="0" w:color="auto"/>
              <w:right w:val="nil"/>
            </w:tcBorders>
          </w:tcPr>
          <w:p w14:paraId="4CD7A9E6" w14:textId="77777777" w:rsidR="0084096B" w:rsidRPr="009361EA" w:rsidRDefault="0084096B" w:rsidP="00B849AD">
            <w:pPr>
              <w:jc w:val="center"/>
              <w:rPr>
                <w:sz w:val="20"/>
                <w:szCs w:val="22"/>
                <w:lang w:val="en-US"/>
              </w:rPr>
            </w:pPr>
          </w:p>
        </w:tc>
      </w:tr>
      <w:tr w:rsidR="0084096B" w:rsidRPr="009361EA" w14:paraId="0FA233F8" w14:textId="77777777" w:rsidTr="00B849AD">
        <w:trPr>
          <w:trHeight w:val="300"/>
          <w:jc w:val="center"/>
        </w:trPr>
        <w:tc>
          <w:tcPr>
            <w:tcW w:w="1228" w:type="dxa"/>
            <w:tcBorders>
              <w:top w:val="single" w:sz="4" w:space="0" w:color="auto"/>
              <w:left w:val="nil"/>
              <w:bottom w:val="single" w:sz="4" w:space="0" w:color="auto"/>
              <w:right w:val="nil"/>
            </w:tcBorders>
            <w:shd w:val="clear" w:color="auto" w:fill="auto"/>
            <w:noWrap/>
            <w:vAlign w:val="center"/>
          </w:tcPr>
          <w:p w14:paraId="25CCCDF8" w14:textId="77777777" w:rsidR="0084096B" w:rsidRPr="009361EA" w:rsidRDefault="0084096B" w:rsidP="00B849AD">
            <w:pPr>
              <w:autoSpaceDE/>
              <w:autoSpaceDN/>
              <w:jc w:val="left"/>
              <w:rPr>
                <w:sz w:val="20"/>
                <w:szCs w:val="22"/>
                <w:lang w:val="en-US"/>
              </w:rPr>
            </w:pPr>
          </w:p>
        </w:tc>
        <w:tc>
          <w:tcPr>
            <w:tcW w:w="1065" w:type="dxa"/>
            <w:tcBorders>
              <w:top w:val="single" w:sz="4" w:space="0" w:color="auto"/>
              <w:left w:val="nil"/>
              <w:bottom w:val="single" w:sz="4" w:space="0" w:color="auto"/>
              <w:right w:val="nil"/>
            </w:tcBorders>
            <w:shd w:val="clear" w:color="auto" w:fill="auto"/>
            <w:noWrap/>
            <w:vAlign w:val="center"/>
          </w:tcPr>
          <w:p w14:paraId="3D066375" w14:textId="77777777" w:rsidR="0084096B" w:rsidRPr="009361EA" w:rsidRDefault="0084096B" w:rsidP="00B849AD">
            <w:pPr>
              <w:jc w:val="center"/>
              <w:rPr>
                <w:sz w:val="20"/>
                <w:szCs w:val="22"/>
                <w:lang w:val="en-US"/>
              </w:rPr>
            </w:pPr>
          </w:p>
        </w:tc>
        <w:tc>
          <w:tcPr>
            <w:tcW w:w="654" w:type="dxa"/>
            <w:tcBorders>
              <w:top w:val="single" w:sz="4" w:space="0" w:color="auto"/>
              <w:left w:val="nil"/>
              <w:bottom w:val="single" w:sz="4" w:space="0" w:color="auto"/>
              <w:right w:val="nil"/>
            </w:tcBorders>
            <w:shd w:val="clear" w:color="auto" w:fill="auto"/>
            <w:noWrap/>
            <w:vAlign w:val="center"/>
          </w:tcPr>
          <w:p w14:paraId="39225A78" w14:textId="77777777" w:rsidR="0084096B" w:rsidRPr="009361EA" w:rsidRDefault="0084096B" w:rsidP="00B849AD">
            <w:pPr>
              <w:jc w:val="center"/>
              <w:rPr>
                <w:i/>
                <w:sz w:val="20"/>
                <w:szCs w:val="22"/>
                <w:lang w:val="en-US"/>
              </w:rPr>
            </w:pPr>
            <w:r w:rsidRPr="009361EA">
              <w:rPr>
                <w:i/>
                <w:sz w:val="18"/>
                <w:szCs w:val="22"/>
                <w:lang w:val="en-US"/>
              </w:rPr>
              <w:t>Syngas</w:t>
            </w:r>
          </w:p>
        </w:tc>
        <w:tc>
          <w:tcPr>
            <w:tcW w:w="1200" w:type="dxa"/>
            <w:tcBorders>
              <w:top w:val="single" w:sz="4" w:space="0" w:color="auto"/>
              <w:left w:val="nil"/>
              <w:bottom w:val="single" w:sz="4" w:space="0" w:color="auto"/>
              <w:right w:val="nil"/>
            </w:tcBorders>
            <w:shd w:val="clear" w:color="auto" w:fill="auto"/>
            <w:noWrap/>
            <w:vAlign w:val="center"/>
          </w:tcPr>
          <w:p w14:paraId="75F574B3" w14:textId="77777777" w:rsidR="0084096B" w:rsidRPr="009361EA" w:rsidRDefault="0084096B" w:rsidP="00B849AD">
            <w:pPr>
              <w:jc w:val="center"/>
              <w:rPr>
                <w:sz w:val="18"/>
                <w:szCs w:val="22"/>
                <w:lang w:val="en-US"/>
              </w:rPr>
            </w:pPr>
            <w:r w:rsidRPr="009361EA">
              <w:rPr>
                <w:sz w:val="18"/>
                <w:szCs w:val="22"/>
                <w:lang w:val="en-US"/>
              </w:rPr>
              <w:t>Char</w:t>
            </w:r>
          </w:p>
        </w:tc>
        <w:tc>
          <w:tcPr>
            <w:tcW w:w="960" w:type="dxa"/>
            <w:tcBorders>
              <w:top w:val="single" w:sz="4" w:space="0" w:color="auto"/>
              <w:left w:val="nil"/>
              <w:bottom w:val="single" w:sz="4" w:space="0" w:color="auto"/>
              <w:right w:val="nil"/>
            </w:tcBorders>
            <w:shd w:val="clear" w:color="auto" w:fill="auto"/>
            <w:noWrap/>
            <w:vAlign w:val="center"/>
          </w:tcPr>
          <w:p w14:paraId="648ADF53" w14:textId="77777777" w:rsidR="0084096B" w:rsidRPr="009361EA" w:rsidRDefault="0084096B" w:rsidP="00B849AD">
            <w:pPr>
              <w:jc w:val="center"/>
              <w:rPr>
                <w:sz w:val="18"/>
                <w:szCs w:val="22"/>
                <w:lang w:val="en-US"/>
              </w:rPr>
            </w:pPr>
            <w:r w:rsidRPr="009361EA">
              <w:rPr>
                <w:sz w:val="18"/>
                <w:szCs w:val="22"/>
                <w:lang w:val="en-US"/>
              </w:rPr>
              <w:t>Liquid</w:t>
            </w:r>
          </w:p>
        </w:tc>
        <w:tc>
          <w:tcPr>
            <w:tcW w:w="700" w:type="dxa"/>
            <w:tcBorders>
              <w:top w:val="single" w:sz="4" w:space="0" w:color="auto"/>
              <w:left w:val="nil"/>
              <w:bottom w:val="single" w:sz="4" w:space="0" w:color="auto"/>
              <w:right w:val="nil"/>
            </w:tcBorders>
            <w:shd w:val="clear" w:color="auto" w:fill="auto"/>
            <w:noWrap/>
            <w:vAlign w:val="center"/>
          </w:tcPr>
          <w:p w14:paraId="3EA66D5C" w14:textId="77777777" w:rsidR="0084096B" w:rsidRPr="009361EA" w:rsidRDefault="0084096B" w:rsidP="00B849AD">
            <w:pPr>
              <w:jc w:val="center"/>
              <w:rPr>
                <w:sz w:val="18"/>
                <w:szCs w:val="22"/>
                <w:lang w:val="en-US"/>
              </w:rPr>
            </w:pPr>
            <w:r w:rsidRPr="00796482">
              <w:rPr>
                <w:sz w:val="18"/>
                <w:szCs w:val="22"/>
                <w:highlight w:val="cyan"/>
                <w:lang w:val="en-US"/>
              </w:rPr>
              <w:t>H</w:t>
            </w:r>
            <w:r w:rsidRPr="00796482">
              <w:rPr>
                <w:sz w:val="18"/>
                <w:szCs w:val="22"/>
                <w:highlight w:val="cyan"/>
                <w:vertAlign w:val="subscript"/>
                <w:lang w:val="en-US"/>
              </w:rPr>
              <w:t>2</w:t>
            </w:r>
            <w:r w:rsidRPr="00796482">
              <w:rPr>
                <w:sz w:val="18"/>
                <w:szCs w:val="22"/>
                <w:highlight w:val="cyan"/>
                <w:lang w:val="en-US"/>
              </w:rPr>
              <w:t>(%)</w:t>
            </w:r>
          </w:p>
        </w:tc>
        <w:tc>
          <w:tcPr>
            <w:tcW w:w="960" w:type="dxa"/>
            <w:tcBorders>
              <w:top w:val="single" w:sz="4" w:space="0" w:color="auto"/>
              <w:left w:val="nil"/>
              <w:bottom w:val="single" w:sz="4" w:space="0" w:color="auto"/>
              <w:right w:val="nil"/>
            </w:tcBorders>
            <w:shd w:val="clear" w:color="auto" w:fill="auto"/>
            <w:noWrap/>
            <w:vAlign w:val="center"/>
          </w:tcPr>
          <w:p w14:paraId="11BE4614" w14:textId="77777777" w:rsidR="0084096B" w:rsidRPr="009361EA" w:rsidRDefault="0084096B" w:rsidP="00B849AD">
            <w:pPr>
              <w:jc w:val="center"/>
              <w:rPr>
                <w:sz w:val="18"/>
                <w:szCs w:val="22"/>
                <w:lang w:val="en-US"/>
              </w:rPr>
            </w:pPr>
            <w:proofErr w:type="gramStart"/>
            <w:r w:rsidRPr="009361EA">
              <w:rPr>
                <w:sz w:val="18"/>
                <w:szCs w:val="22"/>
                <w:lang w:val="en-US"/>
              </w:rPr>
              <w:t>CO(</w:t>
            </w:r>
            <w:proofErr w:type="gramEnd"/>
            <w:r w:rsidRPr="009361EA">
              <w:rPr>
                <w:sz w:val="18"/>
                <w:szCs w:val="22"/>
                <w:lang w:val="en-US"/>
              </w:rPr>
              <w:t>%)</w:t>
            </w:r>
          </w:p>
        </w:tc>
        <w:tc>
          <w:tcPr>
            <w:tcW w:w="960" w:type="dxa"/>
            <w:tcBorders>
              <w:top w:val="single" w:sz="4" w:space="0" w:color="auto"/>
              <w:left w:val="nil"/>
              <w:bottom w:val="single" w:sz="4" w:space="0" w:color="auto"/>
              <w:right w:val="nil"/>
            </w:tcBorders>
            <w:shd w:val="clear" w:color="auto" w:fill="auto"/>
            <w:noWrap/>
            <w:vAlign w:val="center"/>
          </w:tcPr>
          <w:p w14:paraId="4B933712" w14:textId="77777777" w:rsidR="0084096B" w:rsidRPr="009361EA" w:rsidRDefault="0084096B" w:rsidP="00B849AD">
            <w:pPr>
              <w:jc w:val="center"/>
              <w:rPr>
                <w:sz w:val="18"/>
                <w:szCs w:val="22"/>
                <w:lang w:val="en-US"/>
              </w:rPr>
            </w:pPr>
            <w:r w:rsidRPr="009361EA">
              <w:rPr>
                <w:sz w:val="18"/>
                <w:szCs w:val="22"/>
                <w:lang w:val="en-US"/>
              </w:rPr>
              <w:t>CO</w:t>
            </w:r>
            <w:r w:rsidRPr="009361EA">
              <w:rPr>
                <w:sz w:val="18"/>
                <w:szCs w:val="22"/>
                <w:vertAlign w:val="subscript"/>
                <w:lang w:val="en-US"/>
              </w:rPr>
              <w:t>2</w:t>
            </w:r>
            <w:r w:rsidRPr="009361EA">
              <w:rPr>
                <w:sz w:val="18"/>
                <w:szCs w:val="22"/>
                <w:lang w:val="en-US"/>
              </w:rPr>
              <w:t>(%)</w:t>
            </w:r>
          </w:p>
        </w:tc>
        <w:tc>
          <w:tcPr>
            <w:tcW w:w="552" w:type="dxa"/>
            <w:tcBorders>
              <w:top w:val="single" w:sz="4" w:space="0" w:color="auto"/>
              <w:left w:val="nil"/>
              <w:bottom w:val="single" w:sz="4" w:space="0" w:color="auto"/>
              <w:right w:val="nil"/>
            </w:tcBorders>
            <w:vAlign w:val="center"/>
          </w:tcPr>
          <w:p w14:paraId="69B48427" w14:textId="77777777" w:rsidR="0084096B" w:rsidRPr="009361EA" w:rsidRDefault="0084096B" w:rsidP="00B849AD">
            <w:pPr>
              <w:jc w:val="center"/>
              <w:rPr>
                <w:sz w:val="18"/>
                <w:szCs w:val="22"/>
                <w:lang w:val="en-US"/>
              </w:rPr>
            </w:pPr>
            <w:r w:rsidRPr="009361EA">
              <w:rPr>
                <w:sz w:val="18"/>
                <w:szCs w:val="22"/>
                <w:lang w:val="en-US"/>
              </w:rPr>
              <w:t>CH</w:t>
            </w:r>
            <w:r w:rsidRPr="009361EA">
              <w:rPr>
                <w:sz w:val="18"/>
                <w:szCs w:val="22"/>
                <w:vertAlign w:val="subscript"/>
                <w:lang w:val="en-US"/>
              </w:rPr>
              <w:t>4</w:t>
            </w:r>
          </w:p>
          <w:p w14:paraId="4D3ECB78" w14:textId="77777777" w:rsidR="0084096B" w:rsidRPr="009361EA" w:rsidRDefault="0084096B" w:rsidP="00B849AD">
            <w:pPr>
              <w:jc w:val="center"/>
              <w:rPr>
                <w:sz w:val="18"/>
                <w:szCs w:val="22"/>
                <w:lang w:val="en-US"/>
              </w:rPr>
            </w:pPr>
            <w:r w:rsidRPr="009361EA">
              <w:rPr>
                <w:sz w:val="18"/>
                <w:szCs w:val="22"/>
                <w:lang w:val="en-US"/>
              </w:rPr>
              <w:t>(%)</w:t>
            </w:r>
          </w:p>
        </w:tc>
        <w:tc>
          <w:tcPr>
            <w:tcW w:w="654" w:type="dxa"/>
            <w:tcBorders>
              <w:top w:val="single" w:sz="4" w:space="0" w:color="auto"/>
              <w:left w:val="nil"/>
              <w:bottom w:val="single" w:sz="4" w:space="0" w:color="auto"/>
              <w:right w:val="nil"/>
            </w:tcBorders>
            <w:vAlign w:val="center"/>
          </w:tcPr>
          <w:p w14:paraId="7D10ABBB" w14:textId="77777777" w:rsidR="0084096B" w:rsidRPr="009361EA" w:rsidRDefault="0084096B" w:rsidP="00B849AD">
            <w:pPr>
              <w:jc w:val="center"/>
              <w:rPr>
                <w:sz w:val="18"/>
                <w:szCs w:val="22"/>
                <w:lang w:val="en-US"/>
              </w:rPr>
            </w:pPr>
            <w:r w:rsidRPr="009361EA">
              <w:rPr>
                <w:sz w:val="18"/>
                <w:szCs w:val="22"/>
                <w:lang w:val="en-US"/>
              </w:rPr>
              <w:t>C</w:t>
            </w:r>
            <w:r w:rsidRPr="009361EA">
              <w:rPr>
                <w:sz w:val="18"/>
                <w:szCs w:val="22"/>
                <w:vertAlign w:val="subscript"/>
                <w:lang w:val="en-US"/>
              </w:rPr>
              <w:t>2</w:t>
            </w:r>
            <w:r w:rsidRPr="009361EA">
              <w:rPr>
                <w:sz w:val="18"/>
                <w:szCs w:val="22"/>
                <w:lang w:val="en-US"/>
              </w:rPr>
              <w:t>-C</w:t>
            </w:r>
            <w:r w:rsidRPr="009361EA">
              <w:rPr>
                <w:sz w:val="18"/>
                <w:szCs w:val="22"/>
                <w:vertAlign w:val="subscript"/>
                <w:lang w:val="en-US"/>
              </w:rPr>
              <w:t>4</w:t>
            </w:r>
          </w:p>
          <w:p w14:paraId="03992FC8" w14:textId="77777777" w:rsidR="0084096B" w:rsidRPr="009361EA" w:rsidRDefault="0084096B" w:rsidP="00B849AD">
            <w:pPr>
              <w:jc w:val="center"/>
              <w:rPr>
                <w:sz w:val="18"/>
                <w:szCs w:val="22"/>
                <w:lang w:val="en-US"/>
              </w:rPr>
            </w:pPr>
            <w:r w:rsidRPr="009361EA">
              <w:rPr>
                <w:sz w:val="18"/>
                <w:szCs w:val="22"/>
                <w:lang w:val="en-US"/>
              </w:rPr>
              <w:t>(%)</w:t>
            </w:r>
          </w:p>
        </w:tc>
        <w:tc>
          <w:tcPr>
            <w:tcW w:w="654" w:type="dxa"/>
            <w:tcBorders>
              <w:top w:val="single" w:sz="4" w:space="0" w:color="auto"/>
              <w:left w:val="nil"/>
              <w:bottom w:val="single" w:sz="4" w:space="0" w:color="auto"/>
              <w:right w:val="nil"/>
            </w:tcBorders>
            <w:vAlign w:val="center"/>
          </w:tcPr>
          <w:p w14:paraId="26CAAF19" w14:textId="77777777" w:rsidR="0084096B" w:rsidRPr="009361EA" w:rsidRDefault="0084096B" w:rsidP="00B849AD">
            <w:pPr>
              <w:jc w:val="center"/>
              <w:rPr>
                <w:i/>
                <w:sz w:val="20"/>
                <w:szCs w:val="22"/>
                <w:lang w:val="en-US"/>
              </w:rPr>
            </w:pPr>
            <w:r w:rsidRPr="009361EA">
              <w:rPr>
                <w:i/>
                <w:sz w:val="18"/>
                <w:szCs w:val="22"/>
                <w:lang w:val="en-US"/>
              </w:rPr>
              <w:t>Syngas</w:t>
            </w:r>
          </w:p>
        </w:tc>
        <w:tc>
          <w:tcPr>
            <w:tcW w:w="654" w:type="dxa"/>
            <w:tcBorders>
              <w:top w:val="single" w:sz="4" w:space="0" w:color="auto"/>
              <w:left w:val="nil"/>
              <w:bottom w:val="single" w:sz="4" w:space="0" w:color="auto"/>
              <w:right w:val="nil"/>
            </w:tcBorders>
          </w:tcPr>
          <w:p w14:paraId="48AC28B3" w14:textId="77777777" w:rsidR="0084096B" w:rsidRPr="009361EA" w:rsidRDefault="0084096B" w:rsidP="00B849AD">
            <w:pPr>
              <w:jc w:val="center"/>
              <w:rPr>
                <w:sz w:val="20"/>
                <w:szCs w:val="22"/>
                <w:lang w:val="en-US"/>
              </w:rPr>
            </w:pPr>
          </w:p>
        </w:tc>
      </w:tr>
      <w:tr w:rsidR="0084096B" w:rsidRPr="009361EA" w14:paraId="24303AEA" w14:textId="77777777" w:rsidTr="00B849AD">
        <w:trPr>
          <w:trHeight w:val="300"/>
          <w:jc w:val="center"/>
        </w:trPr>
        <w:tc>
          <w:tcPr>
            <w:tcW w:w="1228" w:type="dxa"/>
            <w:tcBorders>
              <w:top w:val="single" w:sz="4" w:space="0" w:color="auto"/>
              <w:left w:val="nil"/>
              <w:bottom w:val="nil"/>
              <w:right w:val="nil"/>
            </w:tcBorders>
            <w:shd w:val="clear" w:color="auto" w:fill="auto"/>
            <w:noWrap/>
            <w:vAlign w:val="center"/>
            <w:hideMark/>
          </w:tcPr>
          <w:p w14:paraId="5CB07BDF" w14:textId="77777777" w:rsidR="0084096B" w:rsidRPr="009361EA" w:rsidRDefault="0084096B" w:rsidP="00B849AD">
            <w:pPr>
              <w:autoSpaceDE/>
              <w:autoSpaceDN/>
              <w:jc w:val="left"/>
              <w:rPr>
                <w:sz w:val="22"/>
                <w:szCs w:val="22"/>
                <w:lang w:val="en-US" w:eastAsia="pt-BR"/>
              </w:rPr>
            </w:pPr>
            <w:r w:rsidRPr="009361EA">
              <w:rPr>
                <w:sz w:val="22"/>
                <w:szCs w:val="22"/>
                <w:lang w:val="en-US"/>
              </w:rPr>
              <w:t>Eucalyptus</w:t>
            </w:r>
          </w:p>
        </w:tc>
        <w:tc>
          <w:tcPr>
            <w:tcW w:w="1065" w:type="dxa"/>
            <w:tcBorders>
              <w:top w:val="single" w:sz="4" w:space="0" w:color="auto"/>
              <w:left w:val="nil"/>
              <w:bottom w:val="nil"/>
              <w:right w:val="nil"/>
            </w:tcBorders>
            <w:shd w:val="clear" w:color="auto" w:fill="auto"/>
            <w:noWrap/>
            <w:vAlign w:val="center"/>
          </w:tcPr>
          <w:p w14:paraId="798CFE7D" w14:textId="77777777" w:rsidR="0084096B" w:rsidRPr="009361EA" w:rsidRDefault="0084096B" w:rsidP="00B849AD">
            <w:pPr>
              <w:autoSpaceDE/>
              <w:autoSpaceDN/>
              <w:jc w:val="center"/>
              <w:rPr>
                <w:sz w:val="22"/>
                <w:szCs w:val="22"/>
                <w:lang w:val="en-US" w:eastAsia="pt-BR"/>
              </w:rPr>
            </w:pPr>
            <w:r w:rsidRPr="009361EA">
              <w:rPr>
                <w:sz w:val="22"/>
                <w:szCs w:val="22"/>
                <w:lang w:val="en-US"/>
              </w:rPr>
              <w:t>700</w:t>
            </w:r>
          </w:p>
        </w:tc>
        <w:tc>
          <w:tcPr>
            <w:tcW w:w="654" w:type="dxa"/>
            <w:tcBorders>
              <w:top w:val="single" w:sz="4" w:space="0" w:color="auto"/>
              <w:left w:val="nil"/>
              <w:bottom w:val="nil"/>
              <w:right w:val="nil"/>
            </w:tcBorders>
            <w:shd w:val="clear" w:color="auto" w:fill="auto"/>
            <w:noWrap/>
            <w:vAlign w:val="center"/>
          </w:tcPr>
          <w:p w14:paraId="310BF181" w14:textId="77777777" w:rsidR="0084096B" w:rsidRPr="009361EA" w:rsidRDefault="0084096B" w:rsidP="00B849AD">
            <w:pPr>
              <w:jc w:val="center"/>
              <w:rPr>
                <w:sz w:val="22"/>
                <w:szCs w:val="22"/>
                <w:lang w:val="en-US"/>
              </w:rPr>
            </w:pPr>
            <w:r w:rsidRPr="009361EA">
              <w:rPr>
                <w:sz w:val="22"/>
                <w:szCs w:val="22"/>
                <w:lang w:val="en-US"/>
              </w:rPr>
              <w:t>72%</w:t>
            </w:r>
          </w:p>
        </w:tc>
        <w:tc>
          <w:tcPr>
            <w:tcW w:w="1200" w:type="dxa"/>
            <w:tcBorders>
              <w:top w:val="single" w:sz="4" w:space="0" w:color="auto"/>
              <w:left w:val="nil"/>
              <w:bottom w:val="nil"/>
              <w:right w:val="nil"/>
            </w:tcBorders>
            <w:shd w:val="clear" w:color="auto" w:fill="auto"/>
            <w:noWrap/>
            <w:vAlign w:val="center"/>
          </w:tcPr>
          <w:p w14:paraId="323CB183" w14:textId="77777777" w:rsidR="0084096B" w:rsidRPr="009361EA" w:rsidRDefault="0084096B" w:rsidP="00B849AD">
            <w:pPr>
              <w:jc w:val="center"/>
              <w:rPr>
                <w:sz w:val="22"/>
                <w:szCs w:val="22"/>
                <w:lang w:val="en-US"/>
              </w:rPr>
            </w:pPr>
            <w:r w:rsidRPr="009361EA">
              <w:rPr>
                <w:sz w:val="22"/>
                <w:szCs w:val="22"/>
                <w:lang w:val="en-US"/>
              </w:rPr>
              <w:t>2%</w:t>
            </w:r>
          </w:p>
        </w:tc>
        <w:tc>
          <w:tcPr>
            <w:tcW w:w="960" w:type="dxa"/>
            <w:tcBorders>
              <w:top w:val="single" w:sz="4" w:space="0" w:color="auto"/>
              <w:left w:val="nil"/>
              <w:bottom w:val="nil"/>
              <w:right w:val="nil"/>
            </w:tcBorders>
            <w:shd w:val="clear" w:color="auto" w:fill="auto"/>
            <w:noWrap/>
            <w:vAlign w:val="center"/>
          </w:tcPr>
          <w:p w14:paraId="5D72CBA6" w14:textId="77777777" w:rsidR="0084096B" w:rsidRPr="009361EA" w:rsidRDefault="0084096B" w:rsidP="00B849AD">
            <w:pPr>
              <w:jc w:val="center"/>
              <w:rPr>
                <w:sz w:val="22"/>
                <w:szCs w:val="22"/>
                <w:lang w:val="en-US"/>
              </w:rPr>
            </w:pPr>
            <w:r w:rsidRPr="009361EA">
              <w:rPr>
                <w:sz w:val="22"/>
                <w:szCs w:val="22"/>
                <w:lang w:val="en-US"/>
              </w:rPr>
              <w:t>27%</w:t>
            </w:r>
          </w:p>
        </w:tc>
        <w:tc>
          <w:tcPr>
            <w:tcW w:w="700" w:type="dxa"/>
            <w:tcBorders>
              <w:top w:val="single" w:sz="4" w:space="0" w:color="auto"/>
              <w:left w:val="nil"/>
              <w:bottom w:val="nil"/>
              <w:right w:val="nil"/>
            </w:tcBorders>
            <w:shd w:val="clear" w:color="auto" w:fill="auto"/>
            <w:noWrap/>
            <w:vAlign w:val="center"/>
          </w:tcPr>
          <w:p w14:paraId="17FB9013" w14:textId="77777777" w:rsidR="0084096B" w:rsidRPr="009361EA" w:rsidRDefault="0084096B" w:rsidP="00B849AD">
            <w:pPr>
              <w:jc w:val="center"/>
              <w:rPr>
                <w:sz w:val="22"/>
                <w:szCs w:val="22"/>
                <w:lang w:val="en-US"/>
              </w:rPr>
            </w:pPr>
            <w:r w:rsidRPr="009361EA">
              <w:rPr>
                <w:sz w:val="22"/>
                <w:szCs w:val="22"/>
                <w:lang w:val="en-US"/>
              </w:rPr>
              <w:t>9%</w:t>
            </w:r>
          </w:p>
        </w:tc>
        <w:tc>
          <w:tcPr>
            <w:tcW w:w="960" w:type="dxa"/>
            <w:tcBorders>
              <w:top w:val="single" w:sz="4" w:space="0" w:color="auto"/>
              <w:left w:val="nil"/>
              <w:bottom w:val="nil"/>
              <w:right w:val="nil"/>
            </w:tcBorders>
            <w:shd w:val="clear" w:color="auto" w:fill="auto"/>
            <w:noWrap/>
            <w:vAlign w:val="center"/>
          </w:tcPr>
          <w:p w14:paraId="28D2EA8B" w14:textId="77777777" w:rsidR="0084096B" w:rsidRPr="009361EA" w:rsidRDefault="0084096B" w:rsidP="00B849AD">
            <w:pPr>
              <w:jc w:val="center"/>
              <w:rPr>
                <w:sz w:val="22"/>
                <w:szCs w:val="22"/>
                <w:lang w:val="en-US"/>
              </w:rPr>
            </w:pPr>
            <w:r w:rsidRPr="009361EA">
              <w:rPr>
                <w:sz w:val="22"/>
                <w:szCs w:val="22"/>
                <w:lang w:val="en-US"/>
              </w:rPr>
              <w:t>33%</w:t>
            </w:r>
          </w:p>
        </w:tc>
        <w:tc>
          <w:tcPr>
            <w:tcW w:w="960" w:type="dxa"/>
            <w:tcBorders>
              <w:top w:val="single" w:sz="4" w:space="0" w:color="auto"/>
              <w:left w:val="nil"/>
              <w:bottom w:val="nil"/>
              <w:right w:val="nil"/>
            </w:tcBorders>
            <w:shd w:val="clear" w:color="auto" w:fill="auto"/>
            <w:noWrap/>
            <w:vAlign w:val="center"/>
          </w:tcPr>
          <w:p w14:paraId="3E7C8E78" w14:textId="77777777" w:rsidR="0084096B" w:rsidRPr="009361EA" w:rsidRDefault="0084096B" w:rsidP="00B849AD">
            <w:pPr>
              <w:jc w:val="center"/>
              <w:rPr>
                <w:sz w:val="22"/>
                <w:szCs w:val="22"/>
                <w:lang w:val="en-US"/>
              </w:rPr>
            </w:pPr>
            <w:r w:rsidRPr="009361EA">
              <w:rPr>
                <w:sz w:val="22"/>
                <w:szCs w:val="22"/>
                <w:lang w:val="en-US"/>
              </w:rPr>
              <w:t>58%</w:t>
            </w:r>
          </w:p>
        </w:tc>
        <w:tc>
          <w:tcPr>
            <w:tcW w:w="552" w:type="dxa"/>
            <w:tcBorders>
              <w:top w:val="single" w:sz="4" w:space="0" w:color="auto"/>
              <w:left w:val="nil"/>
              <w:bottom w:val="nil"/>
              <w:right w:val="nil"/>
            </w:tcBorders>
            <w:shd w:val="clear" w:color="auto" w:fill="auto"/>
            <w:vAlign w:val="center"/>
          </w:tcPr>
          <w:p w14:paraId="4B725F5E" w14:textId="77777777" w:rsidR="0084096B" w:rsidRPr="009361EA" w:rsidRDefault="0084096B" w:rsidP="00B849AD">
            <w:pPr>
              <w:jc w:val="center"/>
              <w:rPr>
                <w:sz w:val="22"/>
                <w:szCs w:val="22"/>
                <w:lang w:val="en-US"/>
              </w:rPr>
            </w:pPr>
            <w:r w:rsidRPr="009361EA">
              <w:rPr>
                <w:sz w:val="22"/>
                <w:szCs w:val="22"/>
                <w:lang w:val="en-US"/>
              </w:rPr>
              <w:t>0%</w:t>
            </w:r>
          </w:p>
        </w:tc>
        <w:tc>
          <w:tcPr>
            <w:tcW w:w="654" w:type="dxa"/>
            <w:tcBorders>
              <w:top w:val="single" w:sz="4" w:space="0" w:color="auto"/>
              <w:left w:val="nil"/>
              <w:bottom w:val="nil"/>
              <w:right w:val="nil"/>
            </w:tcBorders>
            <w:shd w:val="clear" w:color="auto" w:fill="auto"/>
            <w:vAlign w:val="center"/>
          </w:tcPr>
          <w:p w14:paraId="7DC187D0" w14:textId="77777777" w:rsidR="0084096B" w:rsidRPr="009361EA" w:rsidRDefault="0084096B" w:rsidP="00B849AD">
            <w:pPr>
              <w:jc w:val="center"/>
              <w:rPr>
                <w:sz w:val="22"/>
                <w:szCs w:val="22"/>
                <w:lang w:val="en-US"/>
              </w:rPr>
            </w:pPr>
            <w:r w:rsidRPr="009361EA">
              <w:rPr>
                <w:sz w:val="22"/>
                <w:szCs w:val="22"/>
                <w:lang w:val="en-US"/>
              </w:rPr>
              <w:t>0%</w:t>
            </w:r>
          </w:p>
        </w:tc>
        <w:tc>
          <w:tcPr>
            <w:tcW w:w="654" w:type="dxa"/>
            <w:tcBorders>
              <w:top w:val="single" w:sz="4" w:space="0" w:color="auto"/>
              <w:left w:val="nil"/>
              <w:bottom w:val="nil"/>
              <w:right w:val="nil"/>
            </w:tcBorders>
            <w:shd w:val="clear" w:color="auto" w:fill="auto"/>
            <w:vAlign w:val="center"/>
          </w:tcPr>
          <w:p w14:paraId="048441A2" w14:textId="77777777" w:rsidR="0084096B" w:rsidRPr="009361EA" w:rsidRDefault="0084096B" w:rsidP="00B849AD">
            <w:pPr>
              <w:jc w:val="center"/>
              <w:rPr>
                <w:sz w:val="22"/>
                <w:szCs w:val="22"/>
                <w:lang w:val="en-US"/>
              </w:rPr>
            </w:pPr>
            <w:r w:rsidRPr="009361EA">
              <w:rPr>
                <w:sz w:val="22"/>
                <w:szCs w:val="22"/>
                <w:lang w:val="en-US"/>
              </w:rPr>
              <w:t>15.9</w:t>
            </w:r>
          </w:p>
        </w:tc>
        <w:tc>
          <w:tcPr>
            <w:tcW w:w="654" w:type="dxa"/>
            <w:tcBorders>
              <w:top w:val="single" w:sz="4" w:space="0" w:color="auto"/>
              <w:left w:val="nil"/>
              <w:bottom w:val="nil"/>
              <w:right w:val="nil"/>
            </w:tcBorders>
          </w:tcPr>
          <w:p w14:paraId="60D69C1F"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kiDmziRk","properties":{"formattedCitation":"[32]","plainCitation":"[32]","noteIndex":0},"citationItems":[{"id":892,"uris":["http://zotero.org/users/5217225/items/VQNVI6AS"],"uri":["http://zotero.org/users/5217225/items/VQNVI6AS"],"itemData":{"id":892,"type":"article-journal","collection-title":"Energy &amp; Fuels","language":"English","title":"Catalytic Steam Gasification of Pine Sawdust. Effect of Catalyst Weight/Biomass Flow Rate and Steam/Biomass Ratios on Gas Production and Composition","URL":"https://pubs.acs.org/doi/10.1021/ef980250p?__cf_chl_jschl_tk__=f0ace6354642fec9f5ffcbd5b356dbacdc1d4648-1586982459-0-Ad5Fv6Ea0XXaYzJI2-Rv7adUY__A68x1XYttkUrqUWamrnrzhWiC7RAJi4L8XrBD4pcd3VeJIU_f8E4ankp4hHD6V4hlV5aqQnKmw7x4ZF3YzkMSeelCPADePYK1rhGQ-F-QhafaXylIUoiV5U2_ZNOZ1La38LE1kUX3o3sWR81nr6pc1eiZQT7B3Qu9LoDJSir-WEbNNzgCiV8ZnK-h4x91K1_1oiy29Sp6ercg1FLa2NsTV89AoVemGDEtxZfTUVIsJePnUrYpXCyhY28iDnVhQrR-qBP0FFrOmxf24pY0","author":[{"family":"García et al.","given":""}],"accessed":{"date-parts":[["2020",4,15]]}}}],"schema":"https://github.com/citation-style-language/schema/raw/master/csl-citation.json"} </w:instrText>
            </w:r>
            <w:r w:rsidRPr="009361EA">
              <w:rPr>
                <w:sz w:val="22"/>
                <w:szCs w:val="22"/>
                <w:lang w:val="en-US"/>
              </w:rPr>
              <w:fldChar w:fldCharType="separate"/>
            </w:r>
            <w:r w:rsidRPr="00DE1CA2">
              <w:rPr>
                <w:sz w:val="22"/>
              </w:rPr>
              <w:t>[32]</w:t>
            </w:r>
            <w:r w:rsidRPr="009361EA">
              <w:rPr>
                <w:sz w:val="22"/>
                <w:szCs w:val="22"/>
                <w:lang w:val="en-US"/>
              </w:rPr>
              <w:fldChar w:fldCharType="end"/>
            </w:r>
          </w:p>
        </w:tc>
      </w:tr>
      <w:tr w:rsidR="0084096B" w:rsidRPr="009361EA" w14:paraId="1E833D5B"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6950DAD4" w14:textId="77777777" w:rsidR="0084096B" w:rsidRPr="009361EA" w:rsidRDefault="0084096B" w:rsidP="00B849AD">
            <w:pPr>
              <w:autoSpaceDE/>
              <w:autoSpaceDN/>
              <w:jc w:val="left"/>
              <w:rPr>
                <w:sz w:val="22"/>
                <w:szCs w:val="22"/>
                <w:lang w:val="en-US" w:eastAsia="pt-BR"/>
              </w:rPr>
            </w:pPr>
            <w:r w:rsidRPr="009361EA">
              <w:rPr>
                <w:sz w:val="22"/>
                <w:szCs w:val="22"/>
                <w:lang w:val="en-US"/>
              </w:rPr>
              <w:t>Pine</w:t>
            </w:r>
          </w:p>
        </w:tc>
        <w:tc>
          <w:tcPr>
            <w:tcW w:w="1065" w:type="dxa"/>
            <w:tcBorders>
              <w:top w:val="nil"/>
              <w:left w:val="nil"/>
              <w:bottom w:val="nil"/>
              <w:right w:val="nil"/>
            </w:tcBorders>
            <w:shd w:val="clear" w:color="auto" w:fill="auto"/>
            <w:noWrap/>
            <w:vAlign w:val="center"/>
          </w:tcPr>
          <w:p w14:paraId="5DE7DD37" w14:textId="77777777" w:rsidR="0084096B" w:rsidRPr="009361EA" w:rsidRDefault="0084096B" w:rsidP="00B849AD">
            <w:pPr>
              <w:jc w:val="center"/>
              <w:rPr>
                <w:sz w:val="22"/>
                <w:szCs w:val="22"/>
                <w:lang w:val="en-US"/>
              </w:rPr>
            </w:pPr>
            <w:r w:rsidRPr="009361EA">
              <w:rPr>
                <w:sz w:val="22"/>
                <w:szCs w:val="22"/>
                <w:lang w:val="en-US"/>
              </w:rPr>
              <w:t>700</w:t>
            </w:r>
          </w:p>
        </w:tc>
        <w:tc>
          <w:tcPr>
            <w:tcW w:w="654" w:type="dxa"/>
            <w:tcBorders>
              <w:top w:val="nil"/>
              <w:left w:val="nil"/>
              <w:bottom w:val="nil"/>
              <w:right w:val="nil"/>
            </w:tcBorders>
            <w:shd w:val="clear" w:color="auto" w:fill="auto"/>
            <w:noWrap/>
            <w:vAlign w:val="center"/>
          </w:tcPr>
          <w:p w14:paraId="231E7DE5" w14:textId="77777777" w:rsidR="0084096B" w:rsidRPr="009361EA" w:rsidRDefault="0084096B" w:rsidP="00B849AD">
            <w:pPr>
              <w:jc w:val="center"/>
              <w:rPr>
                <w:sz w:val="22"/>
                <w:szCs w:val="22"/>
                <w:lang w:val="en-US"/>
              </w:rPr>
            </w:pPr>
            <w:r w:rsidRPr="009361EA">
              <w:rPr>
                <w:sz w:val="22"/>
                <w:szCs w:val="22"/>
                <w:lang w:val="en-US"/>
              </w:rPr>
              <w:t>72%</w:t>
            </w:r>
          </w:p>
        </w:tc>
        <w:tc>
          <w:tcPr>
            <w:tcW w:w="1200" w:type="dxa"/>
            <w:tcBorders>
              <w:top w:val="nil"/>
              <w:left w:val="nil"/>
              <w:bottom w:val="nil"/>
              <w:right w:val="nil"/>
            </w:tcBorders>
            <w:shd w:val="clear" w:color="auto" w:fill="auto"/>
            <w:noWrap/>
            <w:vAlign w:val="center"/>
          </w:tcPr>
          <w:p w14:paraId="63D077C8" w14:textId="77777777" w:rsidR="0084096B" w:rsidRPr="009361EA" w:rsidRDefault="0084096B" w:rsidP="00B849AD">
            <w:pPr>
              <w:jc w:val="center"/>
              <w:rPr>
                <w:sz w:val="22"/>
                <w:szCs w:val="22"/>
                <w:lang w:val="en-US"/>
              </w:rPr>
            </w:pPr>
            <w:r w:rsidRPr="009361EA">
              <w:rPr>
                <w:sz w:val="22"/>
                <w:szCs w:val="22"/>
                <w:lang w:val="en-US"/>
              </w:rPr>
              <w:t>1%</w:t>
            </w:r>
          </w:p>
        </w:tc>
        <w:tc>
          <w:tcPr>
            <w:tcW w:w="960" w:type="dxa"/>
            <w:tcBorders>
              <w:top w:val="nil"/>
              <w:left w:val="nil"/>
              <w:bottom w:val="nil"/>
              <w:right w:val="nil"/>
            </w:tcBorders>
            <w:shd w:val="clear" w:color="auto" w:fill="auto"/>
            <w:noWrap/>
            <w:vAlign w:val="center"/>
          </w:tcPr>
          <w:p w14:paraId="4F901955" w14:textId="77777777" w:rsidR="0084096B" w:rsidRPr="009361EA" w:rsidRDefault="0084096B" w:rsidP="00B849AD">
            <w:pPr>
              <w:jc w:val="center"/>
              <w:rPr>
                <w:sz w:val="22"/>
                <w:szCs w:val="22"/>
                <w:lang w:val="en-US"/>
              </w:rPr>
            </w:pPr>
            <w:r w:rsidRPr="009361EA">
              <w:rPr>
                <w:sz w:val="22"/>
                <w:szCs w:val="22"/>
                <w:lang w:val="en-US"/>
              </w:rPr>
              <w:t>27%</w:t>
            </w:r>
          </w:p>
        </w:tc>
        <w:tc>
          <w:tcPr>
            <w:tcW w:w="700" w:type="dxa"/>
            <w:tcBorders>
              <w:top w:val="nil"/>
              <w:left w:val="nil"/>
              <w:bottom w:val="nil"/>
              <w:right w:val="nil"/>
            </w:tcBorders>
            <w:shd w:val="clear" w:color="auto" w:fill="auto"/>
            <w:noWrap/>
            <w:vAlign w:val="center"/>
          </w:tcPr>
          <w:p w14:paraId="6628BE60" w14:textId="77777777" w:rsidR="0084096B" w:rsidRPr="009361EA" w:rsidRDefault="0084096B" w:rsidP="00B849AD">
            <w:pPr>
              <w:jc w:val="center"/>
              <w:rPr>
                <w:sz w:val="22"/>
                <w:szCs w:val="22"/>
                <w:lang w:val="en-US"/>
              </w:rPr>
            </w:pPr>
            <w:r w:rsidRPr="009361EA">
              <w:rPr>
                <w:sz w:val="22"/>
                <w:szCs w:val="22"/>
                <w:lang w:val="en-US"/>
              </w:rPr>
              <w:t>9%</w:t>
            </w:r>
          </w:p>
        </w:tc>
        <w:tc>
          <w:tcPr>
            <w:tcW w:w="960" w:type="dxa"/>
            <w:tcBorders>
              <w:top w:val="nil"/>
              <w:left w:val="nil"/>
              <w:bottom w:val="nil"/>
              <w:right w:val="nil"/>
            </w:tcBorders>
            <w:shd w:val="clear" w:color="auto" w:fill="auto"/>
            <w:noWrap/>
            <w:vAlign w:val="center"/>
          </w:tcPr>
          <w:p w14:paraId="441C4350" w14:textId="77777777" w:rsidR="0084096B" w:rsidRPr="009361EA" w:rsidRDefault="0084096B" w:rsidP="00B849AD">
            <w:pPr>
              <w:jc w:val="center"/>
              <w:rPr>
                <w:sz w:val="22"/>
                <w:szCs w:val="22"/>
                <w:lang w:val="en-US"/>
              </w:rPr>
            </w:pPr>
            <w:r w:rsidRPr="009361EA">
              <w:rPr>
                <w:sz w:val="22"/>
                <w:szCs w:val="22"/>
                <w:lang w:val="en-US"/>
              </w:rPr>
              <w:t>33%</w:t>
            </w:r>
          </w:p>
        </w:tc>
        <w:tc>
          <w:tcPr>
            <w:tcW w:w="960" w:type="dxa"/>
            <w:tcBorders>
              <w:top w:val="nil"/>
              <w:left w:val="nil"/>
              <w:bottom w:val="nil"/>
              <w:right w:val="nil"/>
            </w:tcBorders>
            <w:shd w:val="clear" w:color="auto" w:fill="auto"/>
            <w:noWrap/>
            <w:vAlign w:val="center"/>
          </w:tcPr>
          <w:p w14:paraId="0B4F371F" w14:textId="77777777" w:rsidR="0084096B" w:rsidRPr="009361EA" w:rsidRDefault="0084096B" w:rsidP="00B849AD">
            <w:pPr>
              <w:jc w:val="center"/>
              <w:rPr>
                <w:sz w:val="22"/>
                <w:szCs w:val="22"/>
                <w:lang w:val="en-US"/>
              </w:rPr>
            </w:pPr>
            <w:r w:rsidRPr="009361EA">
              <w:rPr>
                <w:sz w:val="22"/>
                <w:szCs w:val="22"/>
                <w:lang w:val="en-US"/>
              </w:rPr>
              <w:t>58%</w:t>
            </w:r>
          </w:p>
        </w:tc>
        <w:tc>
          <w:tcPr>
            <w:tcW w:w="552" w:type="dxa"/>
            <w:tcBorders>
              <w:top w:val="nil"/>
              <w:left w:val="nil"/>
              <w:bottom w:val="nil"/>
              <w:right w:val="nil"/>
            </w:tcBorders>
            <w:shd w:val="clear" w:color="auto" w:fill="auto"/>
            <w:vAlign w:val="center"/>
          </w:tcPr>
          <w:p w14:paraId="790258AE" w14:textId="77777777" w:rsidR="0084096B" w:rsidRPr="009361EA" w:rsidRDefault="0084096B" w:rsidP="00B849AD">
            <w:pPr>
              <w:jc w:val="center"/>
              <w:rPr>
                <w:sz w:val="22"/>
                <w:szCs w:val="22"/>
                <w:lang w:val="en-US"/>
              </w:rPr>
            </w:pPr>
            <w:r w:rsidRPr="009361EA">
              <w:rPr>
                <w:sz w:val="22"/>
                <w:szCs w:val="22"/>
                <w:lang w:val="en-US"/>
              </w:rPr>
              <w:t>0%</w:t>
            </w:r>
          </w:p>
        </w:tc>
        <w:tc>
          <w:tcPr>
            <w:tcW w:w="654" w:type="dxa"/>
            <w:tcBorders>
              <w:top w:val="nil"/>
              <w:left w:val="nil"/>
              <w:bottom w:val="nil"/>
              <w:right w:val="nil"/>
            </w:tcBorders>
            <w:shd w:val="clear" w:color="auto" w:fill="auto"/>
            <w:vAlign w:val="center"/>
          </w:tcPr>
          <w:p w14:paraId="6A1102CB" w14:textId="77777777" w:rsidR="0084096B" w:rsidRPr="009361EA" w:rsidRDefault="0084096B" w:rsidP="00B849AD">
            <w:pPr>
              <w:jc w:val="center"/>
              <w:rPr>
                <w:sz w:val="22"/>
                <w:szCs w:val="22"/>
                <w:lang w:val="en-US"/>
              </w:rPr>
            </w:pPr>
            <w:r w:rsidRPr="009361EA">
              <w:rPr>
                <w:sz w:val="22"/>
                <w:szCs w:val="22"/>
                <w:lang w:val="en-US"/>
              </w:rPr>
              <w:t>0%</w:t>
            </w:r>
          </w:p>
        </w:tc>
        <w:tc>
          <w:tcPr>
            <w:tcW w:w="654" w:type="dxa"/>
            <w:tcBorders>
              <w:top w:val="nil"/>
              <w:left w:val="nil"/>
              <w:bottom w:val="nil"/>
              <w:right w:val="nil"/>
            </w:tcBorders>
            <w:shd w:val="clear" w:color="auto" w:fill="auto"/>
            <w:vAlign w:val="center"/>
          </w:tcPr>
          <w:p w14:paraId="29A5220E" w14:textId="77777777" w:rsidR="0084096B" w:rsidRPr="009361EA" w:rsidRDefault="0084096B" w:rsidP="00B849AD">
            <w:pPr>
              <w:jc w:val="center"/>
              <w:rPr>
                <w:sz w:val="22"/>
                <w:szCs w:val="22"/>
                <w:lang w:val="en-US"/>
              </w:rPr>
            </w:pPr>
            <w:r w:rsidRPr="009361EA">
              <w:rPr>
                <w:sz w:val="22"/>
                <w:szCs w:val="22"/>
                <w:lang w:val="en-US"/>
              </w:rPr>
              <w:t>17.4</w:t>
            </w:r>
          </w:p>
        </w:tc>
        <w:tc>
          <w:tcPr>
            <w:tcW w:w="654" w:type="dxa"/>
            <w:tcBorders>
              <w:top w:val="nil"/>
              <w:left w:val="nil"/>
              <w:bottom w:val="nil"/>
              <w:right w:val="nil"/>
            </w:tcBorders>
          </w:tcPr>
          <w:p w14:paraId="3F1833AD"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MGg8NJ98","properties":{"formattedCitation":"[32]","plainCitation":"[32]","noteIndex":0},"citationItems":[{"id":892,"uris":["http://zotero.org/users/5217225/items/VQNVI6AS"],"uri":["http://zotero.org/users/5217225/items/VQNVI6AS"],"itemData":{"id":892,"type":"article-journal","collection-title":"Energy &amp; Fuels","language":"English","title":"Catalytic Steam Gasification of Pine Sawdust. Effect of Catalyst Weight/Biomass Flow Rate and Steam/Biomass Ratios on Gas Production and Composition","URL":"https://pubs.acs.org/doi/10.1021/ef980250p?__cf_chl_jschl_tk__=f0ace6354642fec9f5ffcbd5b356dbacdc1d4648-1586982459-0-Ad5Fv6Ea0XXaYzJI2-Rv7adUY__A68x1XYttkUrqUWamrnrzhWiC7RAJi4L8XrBD4pcd3VeJIU_f8E4ankp4hHD6V4hlV5aqQnKmw7x4ZF3YzkMSeelCPADePYK1rhGQ-F-QhafaXylIUoiV5U2_ZNOZ1La38LE1kUX3o3sWR81nr6pc1eiZQT7B3Qu9LoDJSir-WEbNNzgCiV8ZnK-h4x91K1_1oiy29Sp6ercg1FLa2NsTV89AoVemGDEtxZfTUVIsJePnUrYpXCyhY28iDnVhQrR-qBP0FFrOmxf24pY0","author":[{"family":"García et al.","given":""}],"accessed":{"date-parts":[["2020",4,15]]}}}],"schema":"https://github.com/citation-style-language/schema/raw/master/csl-citation.json"} </w:instrText>
            </w:r>
            <w:r w:rsidRPr="009361EA">
              <w:rPr>
                <w:sz w:val="22"/>
                <w:szCs w:val="22"/>
                <w:lang w:val="en-US"/>
              </w:rPr>
              <w:fldChar w:fldCharType="separate"/>
            </w:r>
            <w:r w:rsidRPr="00DE1CA2">
              <w:rPr>
                <w:sz w:val="22"/>
              </w:rPr>
              <w:t>[32]</w:t>
            </w:r>
            <w:r w:rsidRPr="009361EA">
              <w:rPr>
                <w:sz w:val="22"/>
                <w:szCs w:val="22"/>
                <w:lang w:val="en-US"/>
              </w:rPr>
              <w:fldChar w:fldCharType="end"/>
            </w:r>
          </w:p>
        </w:tc>
      </w:tr>
      <w:tr w:rsidR="0084096B" w:rsidRPr="009361EA" w14:paraId="5ED956FB"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2BD586CE" w14:textId="77777777" w:rsidR="0084096B" w:rsidRPr="009361EA" w:rsidRDefault="0084096B" w:rsidP="00B849AD">
            <w:pPr>
              <w:autoSpaceDE/>
              <w:autoSpaceDN/>
              <w:jc w:val="left"/>
              <w:rPr>
                <w:sz w:val="22"/>
                <w:szCs w:val="22"/>
                <w:lang w:val="en-US" w:eastAsia="pt-BR"/>
              </w:rPr>
            </w:pPr>
            <w:r w:rsidRPr="009361EA">
              <w:rPr>
                <w:sz w:val="22"/>
                <w:szCs w:val="22"/>
                <w:lang w:val="en-US"/>
              </w:rPr>
              <w:t>Corn</w:t>
            </w:r>
          </w:p>
        </w:tc>
        <w:tc>
          <w:tcPr>
            <w:tcW w:w="1065" w:type="dxa"/>
            <w:tcBorders>
              <w:top w:val="nil"/>
              <w:left w:val="nil"/>
              <w:bottom w:val="nil"/>
              <w:right w:val="nil"/>
            </w:tcBorders>
            <w:shd w:val="clear" w:color="auto" w:fill="auto"/>
            <w:noWrap/>
            <w:vAlign w:val="center"/>
          </w:tcPr>
          <w:p w14:paraId="39A14FE6" w14:textId="77777777" w:rsidR="0084096B" w:rsidRPr="009361EA" w:rsidRDefault="0084096B" w:rsidP="00B849AD">
            <w:pPr>
              <w:jc w:val="center"/>
              <w:rPr>
                <w:sz w:val="22"/>
                <w:szCs w:val="22"/>
                <w:lang w:val="en-US"/>
              </w:rPr>
            </w:pPr>
            <w:r w:rsidRPr="009361EA">
              <w:rPr>
                <w:sz w:val="22"/>
                <w:szCs w:val="22"/>
                <w:lang w:val="en-US"/>
              </w:rPr>
              <w:t>780</w:t>
            </w:r>
          </w:p>
        </w:tc>
        <w:tc>
          <w:tcPr>
            <w:tcW w:w="654" w:type="dxa"/>
            <w:tcBorders>
              <w:top w:val="nil"/>
              <w:left w:val="nil"/>
              <w:bottom w:val="nil"/>
              <w:right w:val="nil"/>
            </w:tcBorders>
            <w:shd w:val="clear" w:color="auto" w:fill="auto"/>
            <w:noWrap/>
            <w:vAlign w:val="center"/>
          </w:tcPr>
          <w:p w14:paraId="7C82F3D5" w14:textId="77777777" w:rsidR="0084096B" w:rsidRPr="009361EA" w:rsidRDefault="0084096B" w:rsidP="00B849AD">
            <w:pPr>
              <w:jc w:val="center"/>
              <w:rPr>
                <w:sz w:val="22"/>
                <w:szCs w:val="22"/>
                <w:lang w:val="en-US"/>
              </w:rPr>
            </w:pPr>
            <w:r w:rsidRPr="009361EA">
              <w:rPr>
                <w:sz w:val="22"/>
                <w:szCs w:val="22"/>
                <w:lang w:val="en-US"/>
              </w:rPr>
              <w:t>79%</w:t>
            </w:r>
          </w:p>
        </w:tc>
        <w:tc>
          <w:tcPr>
            <w:tcW w:w="1200" w:type="dxa"/>
            <w:tcBorders>
              <w:top w:val="nil"/>
              <w:left w:val="nil"/>
              <w:bottom w:val="nil"/>
              <w:right w:val="nil"/>
            </w:tcBorders>
            <w:shd w:val="clear" w:color="auto" w:fill="auto"/>
            <w:noWrap/>
            <w:vAlign w:val="center"/>
          </w:tcPr>
          <w:p w14:paraId="46D124F2" w14:textId="77777777" w:rsidR="0084096B" w:rsidRPr="009361EA" w:rsidRDefault="0084096B" w:rsidP="00B849AD">
            <w:pPr>
              <w:jc w:val="center"/>
              <w:rPr>
                <w:sz w:val="22"/>
                <w:szCs w:val="22"/>
                <w:lang w:val="en-US"/>
              </w:rPr>
            </w:pPr>
            <w:r w:rsidRPr="009361EA">
              <w:rPr>
                <w:sz w:val="22"/>
                <w:szCs w:val="22"/>
                <w:lang w:val="en-US"/>
              </w:rPr>
              <w:t>7%</w:t>
            </w:r>
          </w:p>
        </w:tc>
        <w:tc>
          <w:tcPr>
            <w:tcW w:w="960" w:type="dxa"/>
            <w:tcBorders>
              <w:top w:val="nil"/>
              <w:left w:val="nil"/>
              <w:bottom w:val="nil"/>
              <w:right w:val="nil"/>
            </w:tcBorders>
            <w:shd w:val="clear" w:color="auto" w:fill="auto"/>
            <w:noWrap/>
            <w:vAlign w:val="center"/>
          </w:tcPr>
          <w:p w14:paraId="60832769" w14:textId="77777777" w:rsidR="0084096B" w:rsidRPr="009361EA" w:rsidRDefault="0084096B" w:rsidP="00B849AD">
            <w:pPr>
              <w:jc w:val="center"/>
              <w:rPr>
                <w:sz w:val="22"/>
                <w:szCs w:val="22"/>
                <w:lang w:val="en-US"/>
              </w:rPr>
            </w:pPr>
            <w:r w:rsidRPr="009361EA">
              <w:rPr>
                <w:sz w:val="22"/>
                <w:szCs w:val="22"/>
                <w:lang w:val="en-US"/>
              </w:rPr>
              <w:t>14%</w:t>
            </w:r>
          </w:p>
        </w:tc>
        <w:tc>
          <w:tcPr>
            <w:tcW w:w="700" w:type="dxa"/>
            <w:tcBorders>
              <w:top w:val="nil"/>
              <w:left w:val="nil"/>
              <w:bottom w:val="nil"/>
              <w:right w:val="nil"/>
            </w:tcBorders>
            <w:shd w:val="clear" w:color="auto" w:fill="auto"/>
            <w:noWrap/>
            <w:vAlign w:val="center"/>
          </w:tcPr>
          <w:p w14:paraId="228BDCA2" w14:textId="77777777" w:rsidR="0084096B" w:rsidRPr="009361EA" w:rsidRDefault="0084096B" w:rsidP="00B849AD">
            <w:pPr>
              <w:jc w:val="center"/>
              <w:rPr>
                <w:sz w:val="22"/>
                <w:szCs w:val="22"/>
                <w:lang w:val="en-US"/>
              </w:rPr>
            </w:pPr>
            <w:r w:rsidRPr="009361EA">
              <w:rPr>
                <w:sz w:val="22"/>
                <w:szCs w:val="22"/>
                <w:lang w:val="en-US"/>
              </w:rPr>
              <w:t>2%</w:t>
            </w:r>
          </w:p>
        </w:tc>
        <w:tc>
          <w:tcPr>
            <w:tcW w:w="960" w:type="dxa"/>
            <w:tcBorders>
              <w:top w:val="nil"/>
              <w:left w:val="nil"/>
              <w:bottom w:val="nil"/>
              <w:right w:val="nil"/>
            </w:tcBorders>
            <w:shd w:val="clear" w:color="auto" w:fill="auto"/>
            <w:noWrap/>
            <w:vAlign w:val="center"/>
          </w:tcPr>
          <w:p w14:paraId="6A9C057F" w14:textId="77777777" w:rsidR="0084096B" w:rsidRPr="009361EA" w:rsidRDefault="0084096B" w:rsidP="00B849AD">
            <w:pPr>
              <w:jc w:val="center"/>
              <w:rPr>
                <w:sz w:val="22"/>
                <w:szCs w:val="22"/>
                <w:lang w:val="en-US"/>
              </w:rPr>
            </w:pPr>
            <w:r w:rsidRPr="009361EA">
              <w:rPr>
                <w:sz w:val="22"/>
                <w:szCs w:val="22"/>
                <w:lang w:val="en-US"/>
              </w:rPr>
              <w:t>32%</w:t>
            </w:r>
          </w:p>
        </w:tc>
        <w:tc>
          <w:tcPr>
            <w:tcW w:w="960" w:type="dxa"/>
            <w:tcBorders>
              <w:top w:val="nil"/>
              <w:left w:val="nil"/>
              <w:bottom w:val="nil"/>
              <w:right w:val="nil"/>
            </w:tcBorders>
            <w:shd w:val="clear" w:color="auto" w:fill="auto"/>
            <w:noWrap/>
            <w:vAlign w:val="center"/>
          </w:tcPr>
          <w:p w14:paraId="7E8BC062" w14:textId="77777777" w:rsidR="0084096B" w:rsidRPr="009361EA" w:rsidRDefault="0084096B" w:rsidP="00B849AD">
            <w:pPr>
              <w:jc w:val="center"/>
              <w:rPr>
                <w:sz w:val="22"/>
                <w:szCs w:val="22"/>
                <w:lang w:val="en-US"/>
              </w:rPr>
            </w:pPr>
            <w:r w:rsidRPr="009361EA">
              <w:rPr>
                <w:sz w:val="22"/>
                <w:szCs w:val="22"/>
                <w:lang w:val="en-US"/>
              </w:rPr>
              <w:t>57%</w:t>
            </w:r>
          </w:p>
        </w:tc>
        <w:tc>
          <w:tcPr>
            <w:tcW w:w="552" w:type="dxa"/>
            <w:tcBorders>
              <w:top w:val="nil"/>
              <w:left w:val="nil"/>
              <w:bottom w:val="nil"/>
              <w:right w:val="nil"/>
            </w:tcBorders>
            <w:shd w:val="clear" w:color="auto" w:fill="auto"/>
            <w:vAlign w:val="center"/>
          </w:tcPr>
          <w:p w14:paraId="52607B58" w14:textId="77777777" w:rsidR="0084096B" w:rsidRPr="009361EA" w:rsidRDefault="0084096B" w:rsidP="00B849AD">
            <w:pPr>
              <w:jc w:val="center"/>
              <w:rPr>
                <w:sz w:val="22"/>
                <w:szCs w:val="22"/>
                <w:lang w:val="en-US"/>
              </w:rPr>
            </w:pPr>
            <w:r w:rsidRPr="009361EA">
              <w:rPr>
                <w:sz w:val="22"/>
                <w:szCs w:val="22"/>
                <w:lang w:val="en-US"/>
              </w:rPr>
              <w:t>4%</w:t>
            </w:r>
          </w:p>
        </w:tc>
        <w:tc>
          <w:tcPr>
            <w:tcW w:w="654" w:type="dxa"/>
            <w:tcBorders>
              <w:top w:val="nil"/>
              <w:left w:val="nil"/>
              <w:bottom w:val="nil"/>
              <w:right w:val="nil"/>
            </w:tcBorders>
            <w:shd w:val="clear" w:color="auto" w:fill="auto"/>
            <w:vAlign w:val="center"/>
          </w:tcPr>
          <w:p w14:paraId="5A68AFAA" w14:textId="77777777" w:rsidR="0084096B" w:rsidRPr="009361EA" w:rsidRDefault="0084096B" w:rsidP="00B849AD">
            <w:pPr>
              <w:jc w:val="center"/>
              <w:rPr>
                <w:sz w:val="22"/>
                <w:szCs w:val="22"/>
                <w:lang w:val="en-US"/>
              </w:rPr>
            </w:pPr>
            <w:r w:rsidRPr="009361EA">
              <w:rPr>
                <w:sz w:val="22"/>
                <w:szCs w:val="22"/>
                <w:lang w:val="en-US"/>
              </w:rPr>
              <w:t>5%</w:t>
            </w:r>
          </w:p>
        </w:tc>
        <w:tc>
          <w:tcPr>
            <w:tcW w:w="654" w:type="dxa"/>
            <w:tcBorders>
              <w:top w:val="nil"/>
              <w:left w:val="nil"/>
              <w:bottom w:val="nil"/>
              <w:right w:val="nil"/>
            </w:tcBorders>
            <w:shd w:val="clear" w:color="auto" w:fill="auto"/>
            <w:vAlign w:val="center"/>
          </w:tcPr>
          <w:p w14:paraId="7D27FEA5" w14:textId="77777777" w:rsidR="0084096B" w:rsidRPr="009361EA" w:rsidRDefault="0084096B" w:rsidP="00B849AD">
            <w:pPr>
              <w:jc w:val="center"/>
              <w:rPr>
                <w:sz w:val="22"/>
                <w:szCs w:val="22"/>
                <w:lang w:val="en-US"/>
              </w:rPr>
            </w:pPr>
            <w:r w:rsidRPr="009361EA">
              <w:rPr>
                <w:sz w:val="22"/>
                <w:szCs w:val="22"/>
                <w:lang w:val="en-US"/>
              </w:rPr>
              <w:t>11.7</w:t>
            </w:r>
          </w:p>
        </w:tc>
        <w:tc>
          <w:tcPr>
            <w:tcW w:w="654" w:type="dxa"/>
            <w:tcBorders>
              <w:top w:val="nil"/>
              <w:left w:val="nil"/>
              <w:bottom w:val="nil"/>
              <w:right w:val="nil"/>
            </w:tcBorders>
          </w:tcPr>
          <w:p w14:paraId="026103BF"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GSu9u8Gc","properties":{"formattedCitation":"[33]","plainCitation":"[33]","noteIndex":0},"citationItems":[{"id":567,"uris":["http://zotero.org/users/5217225/items/7HTFJ8XZ"],"uri":["http://zotero.org/users/5217225/items/7HTFJ8XZ"],"itemData":{"id":567,"type":"report","abstract":"The U.S. Department of Energy's Office of Scientific and Technical Information","language":"English","note":"DOI: 10.2172/994017","number":"NREL/TP-6A20-46587","publisher":"National Renewable Energy Lab. (NREL), Golden, CO (United States)","source":"www.osti.gov","title":"Techno-Economic Analysis of Biofuels Production Based on Gasification","URL":"https://www.osti.gov/biblio/994017","author":[{"family":"Swanson","given":"R. M."},{"family":"Platon","given":"A."},{"family":"Satrio","given":"J. A."},{"family":"Brown","given":"R. C."},{"family":"Hsu","given":"D. D."}],"accessed":{"date-parts":[["2019",3,8]]},"issued":{"date-parts":[["2010",11,1]]}}}],"schema":"https://github.com/citation-style-language/schema/raw/master/csl-citation.json"} </w:instrText>
            </w:r>
            <w:r w:rsidRPr="009361EA">
              <w:rPr>
                <w:sz w:val="22"/>
                <w:szCs w:val="22"/>
                <w:lang w:val="en-US"/>
              </w:rPr>
              <w:fldChar w:fldCharType="separate"/>
            </w:r>
            <w:r w:rsidRPr="00DE1CA2">
              <w:rPr>
                <w:sz w:val="22"/>
              </w:rPr>
              <w:t>[33]</w:t>
            </w:r>
            <w:r w:rsidRPr="009361EA">
              <w:rPr>
                <w:sz w:val="22"/>
                <w:szCs w:val="22"/>
                <w:lang w:val="en-US"/>
              </w:rPr>
              <w:fldChar w:fldCharType="end"/>
            </w:r>
          </w:p>
        </w:tc>
      </w:tr>
      <w:tr w:rsidR="0084096B" w:rsidRPr="009361EA" w14:paraId="6BFC25E7"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52EAB58C" w14:textId="77777777" w:rsidR="0084096B" w:rsidRPr="009361EA" w:rsidRDefault="0084096B" w:rsidP="00B849AD">
            <w:pPr>
              <w:autoSpaceDE/>
              <w:autoSpaceDN/>
              <w:jc w:val="left"/>
              <w:rPr>
                <w:sz w:val="22"/>
                <w:szCs w:val="22"/>
                <w:lang w:val="en-US" w:eastAsia="pt-BR"/>
              </w:rPr>
            </w:pPr>
            <w:r w:rsidRPr="009361EA">
              <w:rPr>
                <w:sz w:val="22"/>
                <w:szCs w:val="22"/>
                <w:lang w:val="en-US"/>
              </w:rPr>
              <w:t>Rice</w:t>
            </w:r>
          </w:p>
        </w:tc>
        <w:tc>
          <w:tcPr>
            <w:tcW w:w="1065" w:type="dxa"/>
            <w:tcBorders>
              <w:top w:val="nil"/>
              <w:left w:val="nil"/>
              <w:bottom w:val="nil"/>
              <w:right w:val="nil"/>
            </w:tcBorders>
            <w:shd w:val="clear" w:color="auto" w:fill="auto"/>
            <w:noWrap/>
            <w:vAlign w:val="center"/>
          </w:tcPr>
          <w:p w14:paraId="1143AEF4" w14:textId="77777777" w:rsidR="0084096B" w:rsidRPr="009361EA" w:rsidRDefault="0084096B" w:rsidP="00B849AD">
            <w:pPr>
              <w:jc w:val="center"/>
              <w:rPr>
                <w:sz w:val="22"/>
                <w:szCs w:val="22"/>
                <w:lang w:val="en-US"/>
              </w:rPr>
            </w:pPr>
            <w:r w:rsidRPr="009361EA">
              <w:rPr>
                <w:sz w:val="22"/>
                <w:szCs w:val="22"/>
                <w:lang w:val="en-US"/>
              </w:rPr>
              <w:t>830</w:t>
            </w:r>
          </w:p>
        </w:tc>
        <w:tc>
          <w:tcPr>
            <w:tcW w:w="654" w:type="dxa"/>
            <w:tcBorders>
              <w:top w:val="nil"/>
              <w:left w:val="nil"/>
              <w:bottom w:val="nil"/>
              <w:right w:val="nil"/>
            </w:tcBorders>
            <w:shd w:val="clear" w:color="auto" w:fill="auto"/>
            <w:noWrap/>
            <w:vAlign w:val="center"/>
          </w:tcPr>
          <w:p w14:paraId="6C9B7A1D" w14:textId="77777777" w:rsidR="0084096B" w:rsidRPr="009361EA" w:rsidRDefault="0084096B" w:rsidP="00B849AD">
            <w:pPr>
              <w:jc w:val="center"/>
              <w:rPr>
                <w:sz w:val="22"/>
                <w:szCs w:val="22"/>
                <w:lang w:val="en-US"/>
              </w:rPr>
            </w:pPr>
            <w:r w:rsidRPr="009361EA">
              <w:rPr>
                <w:sz w:val="22"/>
                <w:szCs w:val="22"/>
                <w:lang w:val="en-US"/>
              </w:rPr>
              <w:t>70%</w:t>
            </w:r>
          </w:p>
        </w:tc>
        <w:tc>
          <w:tcPr>
            <w:tcW w:w="1200" w:type="dxa"/>
            <w:tcBorders>
              <w:top w:val="nil"/>
              <w:left w:val="nil"/>
              <w:bottom w:val="nil"/>
              <w:right w:val="nil"/>
            </w:tcBorders>
            <w:shd w:val="clear" w:color="auto" w:fill="auto"/>
            <w:noWrap/>
            <w:vAlign w:val="center"/>
          </w:tcPr>
          <w:p w14:paraId="23A8A293" w14:textId="77777777" w:rsidR="0084096B" w:rsidRPr="009361EA" w:rsidRDefault="0084096B" w:rsidP="00B849AD">
            <w:pPr>
              <w:jc w:val="center"/>
              <w:rPr>
                <w:sz w:val="22"/>
                <w:szCs w:val="22"/>
                <w:lang w:val="en-US"/>
              </w:rPr>
            </w:pPr>
            <w:r w:rsidRPr="009361EA">
              <w:rPr>
                <w:sz w:val="22"/>
                <w:szCs w:val="22"/>
                <w:lang w:val="en-US"/>
              </w:rPr>
              <w:t>16%</w:t>
            </w:r>
          </w:p>
        </w:tc>
        <w:tc>
          <w:tcPr>
            <w:tcW w:w="960" w:type="dxa"/>
            <w:tcBorders>
              <w:top w:val="nil"/>
              <w:left w:val="nil"/>
              <w:bottom w:val="nil"/>
              <w:right w:val="nil"/>
            </w:tcBorders>
            <w:shd w:val="clear" w:color="auto" w:fill="auto"/>
            <w:noWrap/>
            <w:vAlign w:val="center"/>
          </w:tcPr>
          <w:p w14:paraId="17719495" w14:textId="77777777" w:rsidR="0084096B" w:rsidRPr="009361EA" w:rsidRDefault="0084096B" w:rsidP="00B849AD">
            <w:pPr>
              <w:jc w:val="center"/>
              <w:rPr>
                <w:sz w:val="22"/>
                <w:szCs w:val="22"/>
                <w:lang w:val="en-US"/>
              </w:rPr>
            </w:pPr>
            <w:r w:rsidRPr="009361EA">
              <w:rPr>
                <w:sz w:val="22"/>
                <w:szCs w:val="22"/>
                <w:lang w:val="en-US"/>
              </w:rPr>
              <w:t>14%</w:t>
            </w:r>
          </w:p>
        </w:tc>
        <w:tc>
          <w:tcPr>
            <w:tcW w:w="700" w:type="dxa"/>
            <w:tcBorders>
              <w:top w:val="nil"/>
              <w:left w:val="nil"/>
              <w:bottom w:val="nil"/>
              <w:right w:val="nil"/>
            </w:tcBorders>
            <w:shd w:val="clear" w:color="auto" w:fill="auto"/>
            <w:noWrap/>
            <w:vAlign w:val="center"/>
          </w:tcPr>
          <w:p w14:paraId="7B5DCDED" w14:textId="77777777" w:rsidR="0084096B" w:rsidRPr="009361EA" w:rsidRDefault="0084096B" w:rsidP="00B849AD">
            <w:pPr>
              <w:jc w:val="center"/>
              <w:rPr>
                <w:sz w:val="22"/>
                <w:szCs w:val="22"/>
                <w:lang w:val="en-US"/>
              </w:rPr>
            </w:pPr>
            <w:r w:rsidRPr="009361EA">
              <w:rPr>
                <w:sz w:val="22"/>
                <w:szCs w:val="22"/>
                <w:lang w:val="en-US"/>
              </w:rPr>
              <w:t>2%</w:t>
            </w:r>
          </w:p>
        </w:tc>
        <w:tc>
          <w:tcPr>
            <w:tcW w:w="960" w:type="dxa"/>
            <w:tcBorders>
              <w:top w:val="nil"/>
              <w:left w:val="nil"/>
              <w:bottom w:val="nil"/>
              <w:right w:val="nil"/>
            </w:tcBorders>
            <w:shd w:val="clear" w:color="auto" w:fill="auto"/>
            <w:noWrap/>
            <w:vAlign w:val="center"/>
          </w:tcPr>
          <w:p w14:paraId="58B1E6F8" w14:textId="77777777" w:rsidR="0084096B" w:rsidRPr="009361EA" w:rsidRDefault="0084096B" w:rsidP="00B849AD">
            <w:pPr>
              <w:jc w:val="center"/>
              <w:rPr>
                <w:sz w:val="22"/>
                <w:szCs w:val="22"/>
                <w:lang w:val="en-US"/>
              </w:rPr>
            </w:pPr>
            <w:r w:rsidRPr="009361EA">
              <w:rPr>
                <w:sz w:val="22"/>
                <w:szCs w:val="22"/>
                <w:lang w:val="en-US"/>
              </w:rPr>
              <w:t>44%</w:t>
            </w:r>
          </w:p>
        </w:tc>
        <w:tc>
          <w:tcPr>
            <w:tcW w:w="960" w:type="dxa"/>
            <w:tcBorders>
              <w:top w:val="nil"/>
              <w:left w:val="nil"/>
              <w:bottom w:val="nil"/>
              <w:right w:val="nil"/>
            </w:tcBorders>
            <w:shd w:val="clear" w:color="auto" w:fill="auto"/>
            <w:noWrap/>
            <w:vAlign w:val="center"/>
          </w:tcPr>
          <w:p w14:paraId="3BF6AB42" w14:textId="77777777" w:rsidR="0084096B" w:rsidRPr="009361EA" w:rsidRDefault="0084096B" w:rsidP="00B849AD">
            <w:pPr>
              <w:jc w:val="center"/>
              <w:rPr>
                <w:sz w:val="22"/>
                <w:szCs w:val="22"/>
                <w:lang w:val="en-US"/>
              </w:rPr>
            </w:pPr>
            <w:r w:rsidRPr="009361EA">
              <w:rPr>
                <w:sz w:val="22"/>
                <w:szCs w:val="22"/>
                <w:lang w:val="en-US"/>
              </w:rPr>
              <w:t>38%</w:t>
            </w:r>
          </w:p>
        </w:tc>
        <w:tc>
          <w:tcPr>
            <w:tcW w:w="552" w:type="dxa"/>
            <w:tcBorders>
              <w:top w:val="nil"/>
              <w:left w:val="nil"/>
              <w:bottom w:val="nil"/>
              <w:right w:val="nil"/>
            </w:tcBorders>
            <w:shd w:val="clear" w:color="auto" w:fill="auto"/>
            <w:vAlign w:val="center"/>
          </w:tcPr>
          <w:p w14:paraId="0114E3CA" w14:textId="77777777" w:rsidR="0084096B" w:rsidRPr="009361EA" w:rsidRDefault="0084096B" w:rsidP="00B849AD">
            <w:pPr>
              <w:jc w:val="center"/>
              <w:rPr>
                <w:sz w:val="22"/>
                <w:szCs w:val="22"/>
                <w:lang w:val="en-US"/>
              </w:rPr>
            </w:pPr>
            <w:r w:rsidRPr="009361EA">
              <w:rPr>
                <w:sz w:val="22"/>
                <w:szCs w:val="22"/>
                <w:lang w:val="en-US"/>
              </w:rPr>
              <w:t>15%</w:t>
            </w:r>
          </w:p>
        </w:tc>
        <w:tc>
          <w:tcPr>
            <w:tcW w:w="654" w:type="dxa"/>
            <w:tcBorders>
              <w:top w:val="nil"/>
              <w:left w:val="nil"/>
              <w:bottom w:val="nil"/>
              <w:right w:val="nil"/>
            </w:tcBorders>
            <w:shd w:val="clear" w:color="auto" w:fill="auto"/>
            <w:vAlign w:val="center"/>
          </w:tcPr>
          <w:p w14:paraId="19736393" w14:textId="77777777" w:rsidR="0084096B" w:rsidRPr="009361EA" w:rsidRDefault="0084096B" w:rsidP="00B849AD">
            <w:pPr>
              <w:jc w:val="center"/>
              <w:rPr>
                <w:sz w:val="22"/>
                <w:szCs w:val="22"/>
                <w:lang w:val="en-US"/>
              </w:rPr>
            </w:pPr>
            <w:r w:rsidRPr="009361EA">
              <w:rPr>
                <w:sz w:val="22"/>
                <w:szCs w:val="22"/>
                <w:lang w:val="en-US"/>
              </w:rPr>
              <w:t>1%</w:t>
            </w:r>
          </w:p>
        </w:tc>
        <w:tc>
          <w:tcPr>
            <w:tcW w:w="654" w:type="dxa"/>
            <w:tcBorders>
              <w:top w:val="nil"/>
              <w:left w:val="nil"/>
              <w:bottom w:val="nil"/>
              <w:right w:val="nil"/>
            </w:tcBorders>
            <w:shd w:val="clear" w:color="auto" w:fill="auto"/>
            <w:vAlign w:val="center"/>
          </w:tcPr>
          <w:p w14:paraId="7ABFB1CD" w14:textId="77777777" w:rsidR="0084096B" w:rsidRPr="009361EA" w:rsidRDefault="0084096B" w:rsidP="00B849AD">
            <w:pPr>
              <w:jc w:val="center"/>
              <w:rPr>
                <w:sz w:val="22"/>
                <w:szCs w:val="22"/>
                <w:lang w:val="en-US"/>
              </w:rPr>
            </w:pPr>
            <w:r w:rsidRPr="009361EA">
              <w:rPr>
                <w:sz w:val="22"/>
                <w:szCs w:val="22"/>
                <w:lang w:val="en-US"/>
              </w:rPr>
              <w:t>15.7</w:t>
            </w:r>
          </w:p>
        </w:tc>
        <w:tc>
          <w:tcPr>
            <w:tcW w:w="654" w:type="dxa"/>
            <w:tcBorders>
              <w:top w:val="nil"/>
              <w:left w:val="nil"/>
              <w:bottom w:val="nil"/>
              <w:right w:val="nil"/>
            </w:tcBorders>
          </w:tcPr>
          <w:p w14:paraId="2715020B"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eZ9Wqojj","properties":{"formattedCitation":"[26]","plainCitation":"[26]","noteIndex":0},"citationItems":[{"id":887,"uris":["http://zotero.org/users/5217225/items/7V2EL4DK"],"uri":["http://zotero.org/users/5217225/items/7V2EL4DK"],"itemData":{"id":887,"type":"thesis","event-place":"Delft, the Netherlands","genre":"PDEng Thesis","publisher":"Delft University of Technology","publisher-place":"Delft, the Netherlands","title":"Techno-Economic and Environmental Analysis of Oil Crop and Forestry Residues Based Integrated Biorefineries in Brazil","author":[{"family":"Silva","given":"C.","non-dropping-particle":"da"}],"issued":{"date-parts":[["2016"]]}}}],"schema":"https://github.com/citation-style-language/schema/raw/master/csl-citation.json"} </w:instrText>
            </w:r>
            <w:r w:rsidRPr="009361EA">
              <w:rPr>
                <w:sz w:val="22"/>
                <w:szCs w:val="22"/>
                <w:lang w:val="en-US"/>
              </w:rPr>
              <w:fldChar w:fldCharType="separate"/>
            </w:r>
            <w:r w:rsidRPr="00DE1CA2">
              <w:rPr>
                <w:sz w:val="22"/>
              </w:rPr>
              <w:t>[26]</w:t>
            </w:r>
            <w:r w:rsidRPr="009361EA">
              <w:rPr>
                <w:sz w:val="22"/>
                <w:szCs w:val="22"/>
                <w:lang w:val="en-US"/>
              </w:rPr>
              <w:fldChar w:fldCharType="end"/>
            </w:r>
          </w:p>
        </w:tc>
      </w:tr>
      <w:tr w:rsidR="0084096B" w:rsidRPr="009361EA" w14:paraId="016665C5"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4346FAD1" w14:textId="77777777" w:rsidR="0084096B" w:rsidRPr="009361EA" w:rsidRDefault="0084096B" w:rsidP="00B849AD">
            <w:pPr>
              <w:autoSpaceDE/>
              <w:autoSpaceDN/>
              <w:jc w:val="left"/>
              <w:rPr>
                <w:sz w:val="22"/>
                <w:szCs w:val="22"/>
                <w:lang w:val="en-US" w:eastAsia="pt-BR"/>
              </w:rPr>
            </w:pPr>
            <w:r w:rsidRPr="009361EA">
              <w:rPr>
                <w:sz w:val="22"/>
                <w:szCs w:val="22"/>
                <w:lang w:val="en-US"/>
              </w:rPr>
              <w:t>Wheat</w:t>
            </w:r>
          </w:p>
        </w:tc>
        <w:tc>
          <w:tcPr>
            <w:tcW w:w="1065" w:type="dxa"/>
            <w:tcBorders>
              <w:top w:val="nil"/>
              <w:left w:val="nil"/>
              <w:bottom w:val="nil"/>
              <w:right w:val="nil"/>
            </w:tcBorders>
            <w:shd w:val="clear" w:color="auto" w:fill="auto"/>
            <w:noWrap/>
            <w:vAlign w:val="center"/>
          </w:tcPr>
          <w:p w14:paraId="1510ECFC" w14:textId="77777777" w:rsidR="0084096B" w:rsidRPr="009361EA" w:rsidRDefault="0084096B" w:rsidP="00B849AD">
            <w:pPr>
              <w:jc w:val="center"/>
              <w:rPr>
                <w:sz w:val="22"/>
                <w:szCs w:val="22"/>
                <w:lang w:val="en-US"/>
              </w:rPr>
            </w:pPr>
            <w:r w:rsidRPr="009361EA">
              <w:rPr>
                <w:sz w:val="22"/>
                <w:szCs w:val="22"/>
                <w:lang w:val="en-US"/>
              </w:rPr>
              <w:t>830</w:t>
            </w:r>
          </w:p>
        </w:tc>
        <w:tc>
          <w:tcPr>
            <w:tcW w:w="654" w:type="dxa"/>
            <w:tcBorders>
              <w:top w:val="nil"/>
              <w:left w:val="nil"/>
              <w:bottom w:val="nil"/>
              <w:right w:val="nil"/>
            </w:tcBorders>
            <w:shd w:val="clear" w:color="auto" w:fill="auto"/>
            <w:noWrap/>
            <w:vAlign w:val="center"/>
          </w:tcPr>
          <w:p w14:paraId="456036D8" w14:textId="77777777" w:rsidR="0084096B" w:rsidRPr="009361EA" w:rsidRDefault="0084096B" w:rsidP="00B849AD">
            <w:pPr>
              <w:jc w:val="center"/>
              <w:rPr>
                <w:sz w:val="22"/>
                <w:szCs w:val="22"/>
                <w:lang w:val="en-US"/>
              </w:rPr>
            </w:pPr>
            <w:r w:rsidRPr="009361EA">
              <w:rPr>
                <w:sz w:val="22"/>
                <w:szCs w:val="22"/>
                <w:lang w:val="en-US"/>
              </w:rPr>
              <w:t>54%</w:t>
            </w:r>
          </w:p>
        </w:tc>
        <w:tc>
          <w:tcPr>
            <w:tcW w:w="1200" w:type="dxa"/>
            <w:tcBorders>
              <w:top w:val="nil"/>
              <w:left w:val="nil"/>
              <w:bottom w:val="nil"/>
              <w:right w:val="nil"/>
            </w:tcBorders>
            <w:shd w:val="clear" w:color="auto" w:fill="auto"/>
            <w:noWrap/>
            <w:vAlign w:val="center"/>
          </w:tcPr>
          <w:p w14:paraId="1724D842" w14:textId="77777777" w:rsidR="0084096B" w:rsidRPr="009361EA" w:rsidRDefault="0084096B" w:rsidP="00B849AD">
            <w:pPr>
              <w:jc w:val="center"/>
              <w:rPr>
                <w:sz w:val="22"/>
                <w:szCs w:val="22"/>
                <w:lang w:val="en-US"/>
              </w:rPr>
            </w:pPr>
            <w:r w:rsidRPr="009361EA">
              <w:rPr>
                <w:sz w:val="22"/>
                <w:szCs w:val="22"/>
                <w:lang w:val="en-US"/>
              </w:rPr>
              <w:t>20%</w:t>
            </w:r>
          </w:p>
        </w:tc>
        <w:tc>
          <w:tcPr>
            <w:tcW w:w="960" w:type="dxa"/>
            <w:tcBorders>
              <w:top w:val="nil"/>
              <w:left w:val="nil"/>
              <w:bottom w:val="nil"/>
              <w:right w:val="nil"/>
            </w:tcBorders>
            <w:shd w:val="clear" w:color="auto" w:fill="auto"/>
            <w:noWrap/>
            <w:vAlign w:val="center"/>
          </w:tcPr>
          <w:p w14:paraId="7B892301" w14:textId="77777777" w:rsidR="0084096B" w:rsidRPr="009361EA" w:rsidRDefault="0084096B" w:rsidP="00B849AD">
            <w:pPr>
              <w:jc w:val="center"/>
              <w:rPr>
                <w:sz w:val="22"/>
                <w:szCs w:val="22"/>
                <w:lang w:val="en-US"/>
              </w:rPr>
            </w:pPr>
            <w:r w:rsidRPr="009361EA">
              <w:rPr>
                <w:sz w:val="22"/>
                <w:szCs w:val="22"/>
                <w:lang w:val="en-US"/>
              </w:rPr>
              <w:t>26%</w:t>
            </w:r>
          </w:p>
        </w:tc>
        <w:tc>
          <w:tcPr>
            <w:tcW w:w="700" w:type="dxa"/>
            <w:tcBorders>
              <w:top w:val="nil"/>
              <w:left w:val="nil"/>
              <w:bottom w:val="nil"/>
              <w:right w:val="nil"/>
            </w:tcBorders>
            <w:shd w:val="clear" w:color="auto" w:fill="auto"/>
            <w:noWrap/>
            <w:vAlign w:val="center"/>
          </w:tcPr>
          <w:p w14:paraId="5710E50F" w14:textId="77777777" w:rsidR="0084096B" w:rsidRPr="009361EA" w:rsidRDefault="0084096B" w:rsidP="00B849AD">
            <w:pPr>
              <w:jc w:val="center"/>
              <w:rPr>
                <w:sz w:val="22"/>
                <w:szCs w:val="22"/>
                <w:lang w:val="en-US"/>
              </w:rPr>
            </w:pPr>
            <w:r w:rsidRPr="009361EA">
              <w:rPr>
                <w:sz w:val="22"/>
                <w:szCs w:val="22"/>
                <w:lang w:val="en-US"/>
              </w:rPr>
              <w:t>2%</w:t>
            </w:r>
          </w:p>
        </w:tc>
        <w:tc>
          <w:tcPr>
            <w:tcW w:w="960" w:type="dxa"/>
            <w:tcBorders>
              <w:top w:val="nil"/>
              <w:left w:val="nil"/>
              <w:bottom w:val="nil"/>
              <w:right w:val="nil"/>
            </w:tcBorders>
            <w:shd w:val="clear" w:color="auto" w:fill="auto"/>
            <w:noWrap/>
            <w:vAlign w:val="center"/>
          </w:tcPr>
          <w:p w14:paraId="3E30487E" w14:textId="77777777" w:rsidR="0084096B" w:rsidRPr="009361EA" w:rsidRDefault="0084096B" w:rsidP="00B849AD">
            <w:pPr>
              <w:jc w:val="center"/>
              <w:rPr>
                <w:sz w:val="22"/>
                <w:szCs w:val="22"/>
                <w:lang w:val="en-US"/>
              </w:rPr>
            </w:pPr>
            <w:r w:rsidRPr="009361EA">
              <w:rPr>
                <w:sz w:val="22"/>
                <w:szCs w:val="22"/>
                <w:lang w:val="en-US"/>
              </w:rPr>
              <w:t>33%</w:t>
            </w:r>
          </w:p>
        </w:tc>
        <w:tc>
          <w:tcPr>
            <w:tcW w:w="960" w:type="dxa"/>
            <w:tcBorders>
              <w:top w:val="nil"/>
              <w:left w:val="nil"/>
              <w:bottom w:val="nil"/>
              <w:right w:val="nil"/>
            </w:tcBorders>
            <w:shd w:val="clear" w:color="auto" w:fill="auto"/>
            <w:noWrap/>
            <w:vAlign w:val="center"/>
          </w:tcPr>
          <w:p w14:paraId="5D59CDA8" w14:textId="77777777" w:rsidR="0084096B" w:rsidRPr="009361EA" w:rsidRDefault="0084096B" w:rsidP="00B849AD">
            <w:pPr>
              <w:jc w:val="center"/>
              <w:rPr>
                <w:sz w:val="22"/>
                <w:szCs w:val="22"/>
                <w:lang w:val="en-US"/>
              </w:rPr>
            </w:pPr>
            <w:r w:rsidRPr="009361EA">
              <w:rPr>
                <w:sz w:val="22"/>
                <w:szCs w:val="22"/>
                <w:lang w:val="en-US"/>
              </w:rPr>
              <w:t>42%</w:t>
            </w:r>
          </w:p>
        </w:tc>
        <w:tc>
          <w:tcPr>
            <w:tcW w:w="552" w:type="dxa"/>
            <w:tcBorders>
              <w:top w:val="nil"/>
              <w:left w:val="nil"/>
              <w:bottom w:val="nil"/>
              <w:right w:val="nil"/>
            </w:tcBorders>
            <w:shd w:val="clear" w:color="auto" w:fill="auto"/>
            <w:vAlign w:val="center"/>
          </w:tcPr>
          <w:p w14:paraId="59339599" w14:textId="77777777" w:rsidR="0084096B" w:rsidRPr="009361EA" w:rsidRDefault="0084096B" w:rsidP="00B849AD">
            <w:pPr>
              <w:jc w:val="center"/>
              <w:rPr>
                <w:sz w:val="22"/>
                <w:szCs w:val="22"/>
                <w:lang w:val="en-US"/>
              </w:rPr>
            </w:pPr>
            <w:r w:rsidRPr="009361EA">
              <w:rPr>
                <w:sz w:val="22"/>
                <w:szCs w:val="22"/>
                <w:lang w:val="en-US"/>
              </w:rPr>
              <w:t>11%</w:t>
            </w:r>
          </w:p>
        </w:tc>
        <w:tc>
          <w:tcPr>
            <w:tcW w:w="654" w:type="dxa"/>
            <w:tcBorders>
              <w:top w:val="nil"/>
              <w:left w:val="nil"/>
              <w:bottom w:val="nil"/>
              <w:right w:val="nil"/>
            </w:tcBorders>
            <w:shd w:val="clear" w:color="auto" w:fill="auto"/>
            <w:vAlign w:val="center"/>
          </w:tcPr>
          <w:p w14:paraId="2AFEFA2E" w14:textId="77777777" w:rsidR="0084096B" w:rsidRPr="009361EA" w:rsidRDefault="0084096B" w:rsidP="00B849AD">
            <w:pPr>
              <w:jc w:val="center"/>
              <w:rPr>
                <w:sz w:val="22"/>
                <w:szCs w:val="22"/>
                <w:lang w:val="en-US"/>
              </w:rPr>
            </w:pPr>
            <w:r w:rsidRPr="009361EA">
              <w:rPr>
                <w:sz w:val="22"/>
                <w:szCs w:val="22"/>
                <w:lang w:val="en-US"/>
              </w:rPr>
              <w:t>11%</w:t>
            </w:r>
          </w:p>
        </w:tc>
        <w:tc>
          <w:tcPr>
            <w:tcW w:w="654" w:type="dxa"/>
            <w:tcBorders>
              <w:top w:val="nil"/>
              <w:left w:val="nil"/>
              <w:bottom w:val="nil"/>
              <w:right w:val="nil"/>
            </w:tcBorders>
            <w:shd w:val="clear" w:color="auto" w:fill="auto"/>
            <w:vAlign w:val="center"/>
          </w:tcPr>
          <w:p w14:paraId="12D08A42" w14:textId="77777777" w:rsidR="0084096B" w:rsidRPr="009361EA" w:rsidRDefault="0084096B" w:rsidP="00B849AD">
            <w:pPr>
              <w:jc w:val="center"/>
              <w:rPr>
                <w:sz w:val="22"/>
                <w:szCs w:val="22"/>
                <w:lang w:val="en-US"/>
              </w:rPr>
            </w:pPr>
            <w:r w:rsidRPr="009361EA">
              <w:rPr>
                <w:sz w:val="22"/>
                <w:szCs w:val="22"/>
                <w:lang w:val="en-US"/>
              </w:rPr>
              <w:t>15</w:t>
            </w:r>
          </w:p>
        </w:tc>
        <w:tc>
          <w:tcPr>
            <w:tcW w:w="654" w:type="dxa"/>
            <w:tcBorders>
              <w:top w:val="nil"/>
              <w:left w:val="nil"/>
              <w:bottom w:val="nil"/>
              <w:right w:val="nil"/>
            </w:tcBorders>
          </w:tcPr>
          <w:p w14:paraId="6554CDC2"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3deRalDZ","properties":{"formattedCitation":"[34]","plainCitation":"[34]","noteIndex":0},"citationItems":[{"id":894,"uris":["http://zotero.org/users/5217225/items/NIGACME3"],"uri":["http://zotero.org/users/5217225/items/NIGACME3"],"itemData":{"id":894,"type":"article-journal","abstract":"A parametric study of the gasification of four feedstocks (corn stover, switchgrass, wheat straw, and wood) has been performed on an experimental, pilot-scale (0.5 ton/day) gasification facility. A comparison was made of the performance of the gasifier as a function of feedstock, in terms of the syngas production and composition. In these experiments, pelletized feedstock was used, so that the shapes and sizes of the materials did not influence the results. A total of 22 statistically designed experimental conditions were examined for each feedstock, including the effects of varying the temperature of the fluidized bed, the temperature of the secondary thermal cracker, and the steam-to-biomass ratio. For each experimental condition, the permanent-gas composition was measured continuously by gas chromatography (GC). Tars were measured continuously using a molecular-beam mass spectrometer (MBMS). Sulfur analysis by GC was also conducted for three of the feedstocks studied. The results from this study show that there were significant differences between the feedstocks studied in terms of light gases formed, but less apparent variation in tar formation. In general, the variations in products were smaller at higher temperatures. A preliminary analysis of gasifier efficiency was performed using an Aspen Plus process model for selected gasification conditions. Finally, a comparison was made between the results of this work and other similar biomass gasification studies.","container-title":"Industrial &amp; Engineering Chemistry Research","DOI":"10.1021/ie900595m","ISSN":"0888-5885","issue":"4","journalAbbreviation":"Ind. Eng. Chem. Res.","note":"publisher: American Chemical Society","page":"1859-1871","source":"ACS Publications","title":"Pilot-Scale Gasification of Corn Stover, Switchgrass, Wheat Straw, and Wood: 1. Parametric Study and Comparison with Literature","title-short":"Pilot-Scale Gasification of Corn Stover, Switchgrass, Wheat Straw, and Wood","volume":"49","author":[{"family":"Carpenter","given":"Daniel L."},{"family":"Bain","given":"Richard L."},{"family":"Davis","given":"Ryan E."},{"family":"Dutta","given":"Abhijit"},{"family":"Feik","given":"Calvin J."},{"family":"Gaston","given":"Katherine R."},{"family":"Jablonski","given":"Whitney"},{"family":"Phillips","given":"Steven D."},{"family":"Nimlos","given":"Mark R."}],"issued":{"date-parts":[["2010",2,17]]}}}],"schema":"https://github.com/citation-style-language/schema/raw/master/csl-citation.json"} </w:instrText>
            </w:r>
            <w:r w:rsidRPr="009361EA">
              <w:rPr>
                <w:sz w:val="22"/>
                <w:szCs w:val="22"/>
                <w:lang w:val="en-US"/>
              </w:rPr>
              <w:fldChar w:fldCharType="separate"/>
            </w:r>
            <w:r w:rsidRPr="00DE1CA2">
              <w:rPr>
                <w:sz w:val="22"/>
              </w:rPr>
              <w:t>[34]</w:t>
            </w:r>
            <w:r w:rsidRPr="009361EA">
              <w:rPr>
                <w:sz w:val="22"/>
                <w:szCs w:val="22"/>
                <w:lang w:val="en-US"/>
              </w:rPr>
              <w:fldChar w:fldCharType="end"/>
            </w:r>
          </w:p>
        </w:tc>
      </w:tr>
      <w:tr w:rsidR="0084096B" w:rsidRPr="009361EA" w14:paraId="4E89EB45" w14:textId="77777777" w:rsidTr="00B849AD">
        <w:trPr>
          <w:trHeight w:val="300"/>
          <w:jc w:val="center"/>
        </w:trPr>
        <w:tc>
          <w:tcPr>
            <w:tcW w:w="1228" w:type="dxa"/>
            <w:tcBorders>
              <w:top w:val="nil"/>
              <w:left w:val="nil"/>
              <w:right w:val="nil"/>
            </w:tcBorders>
            <w:shd w:val="clear" w:color="auto" w:fill="auto"/>
            <w:noWrap/>
            <w:vAlign w:val="center"/>
          </w:tcPr>
          <w:p w14:paraId="505AE552" w14:textId="77777777" w:rsidR="0084096B" w:rsidRPr="009361EA" w:rsidRDefault="0084096B" w:rsidP="00B849AD">
            <w:pPr>
              <w:autoSpaceDE/>
              <w:autoSpaceDN/>
              <w:jc w:val="left"/>
              <w:rPr>
                <w:sz w:val="22"/>
                <w:szCs w:val="22"/>
                <w:lang w:val="en-US" w:eastAsia="pt-BR"/>
              </w:rPr>
            </w:pPr>
            <w:r w:rsidRPr="009361EA">
              <w:rPr>
                <w:sz w:val="22"/>
                <w:szCs w:val="22"/>
                <w:lang w:val="en-US"/>
              </w:rPr>
              <w:t>Sugarcane</w:t>
            </w:r>
          </w:p>
        </w:tc>
        <w:tc>
          <w:tcPr>
            <w:tcW w:w="1065" w:type="dxa"/>
            <w:tcBorders>
              <w:top w:val="nil"/>
              <w:left w:val="nil"/>
              <w:bottom w:val="nil"/>
              <w:right w:val="nil"/>
            </w:tcBorders>
            <w:shd w:val="clear" w:color="auto" w:fill="auto"/>
            <w:noWrap/>
            <w:vAlign w:val="center"/>
          </w:tcPr>
          <w:p w14:paraId="4A1C61D1" w14:textId="77777777" w:rsidR="0084096B" w:rsidRPr="009361EA" w:rsidRDefault="0084096B" w:rsidP="00B849AD">
            <w:pPr>
              <w:jc w:val="center"/>
              <w:rPr>
                <w:sz w:val="22"/>
                <w:szCs w:val="22"/>
                <w:lang w:val="en-US"/>
              </w:rPr>
            </w:pPr>
            <w:r w:rsidRPr="009361EA">
              <w:rPr>
                <w:sz w:val="22"/>
                <w:szCs w:val="22"/>
                <w:lang w:val="en-US"/>
              </w:rPr>
              <w:t>800</w:t>
            </w:r>
          </w:p>
        </w:tc>
        <w:tc>
          <w:tcPr>
            <w:tcW w:w="654" w:type="dxa"/>
            <w:tcBorders>
              <w:top w:val="nil"/>
              <w:left w:val="nil"/>
              <w:bottom w:val="nil"/>
              <w:right w:val="nil"/>
            </w:tcBorders>
            <w:shd w:val="clear" w:color="auto" w:fill="auto"/>
            <w:noWrap/>
            <w:vAlign w:val="center"/>
          </w:tcPr>
          <w:p w14:paraId="3DE16ADD" w14:textId="77777777" w:rsidR="0084096B" w:rsidRPr="009361EA" w:rsidRDefault="0084096B" w:rsidP="00B849AD">
            <w:pPr>
              <w:jc w:val="center"/>
              <w:rPr>
                <w:sz w:val="22"/>
                <w:szCs w:val="22"/>
                <w:lang w:val="en-US"/>
              </w:rPr>
            </w:pPr>
            <w:r w:rsidRPr="009361EA">
              <w:rPr>
                <w:sz w:val="22"/>
                <w:szCs w:val="22"/>
                <w:lang w:val="en-US"/>
              </w:rPr>
              <w:t>93%</w:t>
            </w:r>
          </w:p>
        </w:tc>
        <w:tc>
          <w:tcPr>
            <w:tcW w:w="1200" w:type="dxa"/>
            <w:tcBorders>
              <w:top w:val="nil"/>
              <w:left w:val="nil"/>
              <w:bottom w:val="nil"/>
              <w:right w:val="nil"/>
            </w:tcBorders>
            <w:shd w:val="clear" w:color="auto" w:fill="auto"/>
            <w:noWrap/>
            <w:vAlign w:val="center"/>
          </w:tcPr>
          <w:p w14:paraId="0BCD7542" w14:textId="77777777" w:rsidR="0084096B" w:rsidRPr="009361EA" w:rsidRDefault="0084096B" w:rsidP="00B849AD">
            <w:pPr>
              <w:jc w:val="center"/>
              <w:rPr>
                <w:sz w:val="22"/>
                <w:szCs w:val="22"/>
                <w:lang w:val="en-US"/>
              </w:rPr>
            </w:pPr>
            <w:r w:rsidRPr="009361EA">
              <w:rPr>
                <w:sz w:val="22"/>
                <w:szCs w:val="22"/>
                <w:lang w:val="en-US"/>
              </w:rPr>
              <w:t>2%</w:t>
            </w:r>
          </w:p>
        </w:tc>
        <w:tc>
          <w:tcPr>
            <w:tcW w:w="960" w:type="dxa"/>
            <w:tcBorders>
              <w:top w:val="nil"/>
              <w:left w:val="nil"/>
              <w:bottom w:val="nil"/>
              <w:right w:val="nil"/>
            </w:tcBorders>
            <w:shd w:val="clear" w:color="auto" w:fill="auto"/>
            <w:noWrap/>
            <w:vAlign w:val="center"/>
          </w:tcPr>
          <w:p w14:paraId="641817B3" w14:textId="77777777" w:rsidR="0084096B" w:rsidRPr="009361EA" w:rsidRDefault="0084096B" w:rsidP="00B849AD">
            <w:pPr>
              <w:jc w:val="center"/>
              <w:rPr>
                <w:sz w:val="22"/>
                <w:szCs w:val="22"/>
                <w:lang w:val="en-US"/>
              </w:rPr>
            </w:pPr>
            <w:r w:rsidRPr="009361EA">
              <w:rPr>
                <w:sz w:val="22"/>
                <w:szCs w:val="22"/>
                <w:lang w:val="en-US"/>
              </w:rPr>
              <w:t>3%</w:t>
            </w:r>
          </w:p>
        </w:tc>
        <w:tc>
          <w:tcPr>
            <w:tcW w:w="700" w:type="dxa"/>
            <w:tcBorders>
              <w:top w:val="nil"/>
              <w:left w:val="nil"/>
              <w:bottom w:val="nil"/>
              <w:right w:val="nil"/>
            </w:tcBorders>
            <w:shd w:val="clear" w:color="auto" w:fill="auto"/>
            <w:noWrap/>
            <w:vAlign w:val="center"/>
          </w:tcPr>
          <w:p w14:paraId="0B522D1C" w14:textId="77777777" w:rsidR="0084096B" w:rsidRPr="009361EA" w:rsidRDefault="0084096B" w:rsidP="00B849AD">
            <w:pPr>
              <w:jc w:val="center"/>
              <w:rPr>
                <w:sz w:val="22"/>
                <w:szCs w:val="22"/>
                <w:lang w:val="en-US"/>
              </w:rPr>
            </w:pPr>
            <w:r w:rsidRPr="009361EA">
              <w:rPr>
                <w:sz w:val="22"/>
                <w:szCs w:val="22"/>
                <w:lang w:val="en-US"/>
              </w:rPr>
              <w:t>1%</w:t>
            </w:r>
          </w:p>
        </w:tc>
        <w:tc>
          <w:tcPr>
            <w:tcW w:w="960" w:type="dxa"/>
            <w:tcBorders>
              <w:top w:val="nil"/>
              <w:left w:val="nil"/>
              <w:bottom w:val="nil"/>
              <w:right w:val="nil"/>
            </w:tcBorders>
            <w:shd w:val="clear" w:color="auto" w:fill="auto"/>
            <w:noWrap/>
            <w:vAlign w:val="center"/>
          </w:tcPr>
          <w:p w14:paraId="6A99410B" w14:textId="77777777" w:rsidR="0084096B" w:rsidRPr="009361EA" w:rsidRDefault="0084096B" w:rsidP="00B849AD">
            <w:pPr>
              <w:jc w:val="center"/>
              <w:rPr>
                <w:sz w:val="22"/>
                <w:szCs w:val="22"/>
                <w:lang w:val="en-US"/>
              </w:rPr>
            </w:pPr>
            <w:r w:rsidRPr="009361EA">
              <w:rPr>
                <w:sz w:val="22"/>
                <w:szCs w:val="22"/>
                <w:lang w:val="en-US"/>
              </w:rPr>
              <w:t>30%</w:t>
            </w:r>
          </w:p>
        </w:tc>
        <w:tc>
          <w:tcPr>
            <w:tcW w:w="960" w:type="dxa"/>
            <w:tcBorders>
              <w:top w:val="nil"/>
              <w:left w:val="nil"/>
              <w:bottom w:val="nil"/>
              <w:right w:val="nil"/>
            </w:tcBorders>
            <w:shd w:val="clear" w:color="auto" w:fill="auto"/>
            <w:noWrap/>
            <w:vAlign w:val="center"/>
          </w:tcPr>
          <w:p w14:paraId="146133D7" w14:textId="77777777" w:rsidR="0084096B" w:rsidRPr="009361EA" w:rsidRDefault="0084096B" w:rsidP="00B849AD">
            <w:pPr>
              <w:jc w:val="center"/>
              <w:rPr>
                <w:sz w:val="22"/>
                <w:szCs w:val="22"/>
                <w:lang w:val="en-US"/>
              </w:rPr>
            </w:pPr>
            <w:r w:rsidRPr="009361EA">
              <w:rPr>
                <w:sz w:val="22"/>
                <w:szCs w:val="22"/>
                <w:lang w:val="en-US"/>
              </w:rPr>
              <w:t>60%</w:t>
            </w:r>
          </w:p>
        </w:tc>
        <w:tc>
          <w:tcPr>
            <w:tcW w:w="552" w:type="dxa"/>
            <w:tcBorders>
              <w:top w:val="nil"/>
              <w:left w:val="nil"/>
              <w:bottom w:val="nil"/>
              <w:right w:val="nil"/>
            </w:tcBorders>
            <w:shd w:val="clear" w:color="auto" w:fill="auto"/>
            <w:vAlign w:val="center"/>
          </w:tcPr>
          <w:p w14:paraId="700E87B5" w14:textId="77777777" w:rsidR="0084096B" w:rsidRPr="009361EA" w:rsidRDefault="0084096B" w:rsidP="00B849AD">
            <w:pPr>
              <w:jc w:val="center"/>
              <w:rPr>
                <w:sz w:val="22"/>
                <w:szCs w:val="22"/>
                <w:lang w:val="en-US"/>
              </w:rPr>
            </w:pPr>
            <w:r w:rsidRPr="009361EA">
              <w:rPr>
                <w:sz w:val="22"/>
                <w:szCs w:val="22"/>
                <w:lang w:val="en-US"/>
              </w:rPr>
              <w:t>4%</w:t>
            </w:r>
          </w:p>
        </w:tc>
        <w:tc>
          <w:tcPr>
            <w:tcW w:w="654" w:type="dxa"/>
            <w:tcBorders>
              <w:top w:val="nil"/>
              <w:left w:val="nil"/>
              <w:bottom w:val="nil"/>
              <w:right w:val="nil"/>
            </w:tcBorders>
            <w:shd w:val="clear" w:color="auto" w:fill="auto"/>
            <w:vAlign w:val="center"/>
          </w:tcPr>
          <w:p w14:paraId="78792B54" w14:textId="77777777" w:rsidR="0084096B" w:rsidRPr="009361EA" w:rsidRDefault="0084096B" w:rsidP="00B849AD">
            <w:pPr>
              <w:jc w:val="center"/>
              <w:rPr>
                <w:sz w:val="22"/>
                <w:szCs w:val="22"/>
                <w:lang w:val="en-US"/>
              </w:rPr>
            </w:pPr>
            <w:r w:rsidRPr="009361EA">
              <w:rPr>
                <w:sz w:val="22"/>
                <w:szCs w:val="22"/>
                <w:lang w:val="en-US"/>
              </w:rPr>
              <w:t>5%</w:t>
            </w:r>
          </w:p>
        </w:tc>
        <w:tc>
          <w:tcPr>
            <w:tcW w:w="654" w:type="dxa"/>
            <w:tcBorders>
              <w:top w:val="nil"/>
              <w:left w:val="nil"/>
              <w:bottom w:val="nil"/>
              <w:right w:val="nil"/>
            </w:tcBorders>
            <w:shd w:val="clear" w:color="auto" w:fill="auto"/>
            <w:vAlign w:val="center"/>
          </w:tcPr>
          <w:p w14:paraId="5B802A07" w14:textId="77777777" w:rsidR="0084096B" w:rsidRPr="009361EA" w:rsidRDefault="0084096B" w:rsidP="00B849AD">
            <w:pPr>
              <w:jc w:val="center"/>
              <w:rPr>
                <w:sz w:val="22"/>
                <w:szCs w:val="22"/>
                <w:lang w:val="en-US"/>
              </w:rPr>
            </w:pPr>
            <w:r w:rsidRPr="009361EA">
              <w:rPr>
                <w:sz w:val="22"/>
                <w:szCs w:val="22"/>
                <w:lang w:val="en-US"/>
              </w:rPr>
              <w:t>9.6</w:t>
            </w:r>
          </w:p>
        </w:tc>
        <w:tc>
          <w:tcPr>
            <w:tcW w:w="654" w:type="dxa"/>
            <w:tcBorders>
              <w:top w:val="nil"/>
              <w:left w:val="nil"/>
              <w:bottom w:val="nil"/>
              <w:right w:val="nil"/>
            </w:tcBorders>
          </w:tcPr>
          <w:p w14:paraId="5ED939C4"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Rx7AZ5gd","properties":{"formattedCitation":"[35]","plainCitation":"[35]","noteIndex":0},"citationItems":[{"id":895,"uris":["http://zotero.org/users/5217225/items/RESASR2D"],"uri":["http://zotero.org/users/5217225/items/RESASR2D"],"itemData":{"id":895,"type":"article-journal","abstract":"A fluidized bed reactor to gasify sugarcane bagasse was designed and built in order to produce syngas. A study of the effect of two variables-ER ratio (defined as the ratio between the air flow introduced into the gasifier and the air stoichiometric flow required for complete combustion of the bagasse) and reaction temperature-on the product distribution (syngas, bio-tar and char) and syngas composition have been analyzed. The ER ratio has a positive effect on gas production, increasing production when a higher ER is used. The char yield decreased at higher temperatures and yield of bio-tar remained almost invariant regardless the value of ER. The amount of bio-tar in the syngas was very small, but it was found that the bio-tar was almost water (&gt; 95 wt% of water). The highest ER promoted the production of larger quantities of hydrogen and carbon monoxide, while reducing the amount of carbon dioxide. Copyright © 2014,AIDIC Servizi S.r.l.","container-title":"Scopus","DOI":"10.3303/CET1437039","ISSN":"19749791","language":"en","note":"Accepted: 2015-06-25T17:55:26Z\npublisher: Italian Association of Chemical Engineering - AIDIC","source":"repositorio.unicamp.br","title":"Fluidized Bed Reactor For Gasification Of Sugarcane Bagasse: Distribution Of Syngas, Bio-tar And Char","title-short":"Fluidized Bed Reactor For Gasification Of Sugarcane Bagasse","URL":"http://repositorio.unicamp.br/jspui/handle/REPOSIP/86831","author":[{"family":"Figueroa","given":"J."},{"family":"Ardila","given":"Y."},{"family":"Maciel Filho","given":"R."},{"family":"Maciel","given":"M."}],"accessed":{"date-parts":[["2020",4,15]]},"issued":{"date-parts":[["2014"]]}}}],"schema":"https://github.com/citation-style-language/schema/raw/master/csl-citation.json"} </w:instrText>
            </w:r>
            <w:r w:rsidRPr="009361EA">
              <w:rPr>
                <w:sz w:val="22"/>
                <w:szCs w:val="22"/>
                <w:lang w:val="en-US"/>
              </w:rPr>
              <w:fldChar w:fldCharType="separate"/>
            </w:r>
            <w:r w:rsidRPr="00DE1CA2">
              <w:rPr>
                <w:sz w:val="22"/>
              </w:rPr>
              <w:t>[35]</w:t>
            </w:r>
            <w:r w:rsidRPr="009361EA">
              <w:rPr>
                <w:sz w:val="22"/>
                <w:szCs w:val="22"/>
                <w:lang w:val="en-US"/>
              </w:rPr>
              <w:fldChar w:fldCharType="end"/>
            </w:r>
          </w:p>
        </w:tc>
      </w:tr>
      <w:tr w:rsidR="0084096B" w:rsidRPr="009361EA" w14:paraId="42A918C0" w14:textId="77777777" w:rsidTr="00B849AD">
        <w:trPr>
          <w:trHeight w:val="300"/>
          <w:jc w:val="center"/>
        </w:trPr>
        <w:tc>
          <w:tcPr>
            <w:tcW w:w="1228" w:type="dxa"/>
            <w:tcBorders>
              <w:top w:val="nil"/>
              <w:left w:val="nil"/>
              <w:bottom w:val="single" w:sz="4" w:space="0" w:color="auto"/>
              <w:right w:val="nil"/>
            </w:tcBorders>
            <w:shd w:val="clear" w:color="auto" w:fill="auto"/>
            <w:noWrap/>
            <w:vAlign w:val="center"/>
            <w:hideMark/>
          </w:tcPr>
          <w:p w14:paraId="1C139275" w14:textId="77777777" w:rsidR="0084096B" w:rsidRPr="009361EA" w:rsidRDefault="0084096B" w:rsidP="00B849AD">
            <w:pPr>
              <w:autoSpaceDE/>
              <w:autoSpaceDN/>
              <w:jc w:val="left"/>
              <w:rPr>
                <w:sz w:val="22"/>
                <w:szCs w:val="22"/>
                <w:lang w:val="en-US" w:eastAsia="pt-BR"/>
              </w:rPr>
            </w:pPr>
            <w:r w:rsidRPr="009361EA">
              <w:rPr>
                <w:sz w:val="22"/>
                <w:szCs w:val="22"/>
                <w:lang w:val="en-US"/>
              </w:rPr>
              <w:t>Sorghum</w:t>
            </w:r>
          </w:p>
        </w:tc>
        <w:tc>
          <w:tcPr>
            <w:tcW w:w="1065" w:type="dxa"/>
            <w:tcBorders>
              <w:top w:val="nil"/>
              <w:left w:val="nil"/>
              <w:bottom w:val="single" w:sz="4" w:space="0" w:color="auto"/>
              <w:right w:val="nil"/>
            </w:tcBorders>
            <w:shd w:val="clear" w:color="auto" w:fill="auto"/>
            <w:noWrap/>
            <w:vAlign w:val="center"/>
          </w:tcPr>
          <w:p w14:paraId="35E6448F" w14:textId="77777777" w:rsidR="0084096B" w:rsidRPr="009361EA" w:rsidRDefault="0084096B" w:rsidP="00B849AD">
            <w:pPr>
              <w:jc w:val="center"/>
              <w:rPr>
                <w:sz w:val="22"/>
                <w:szCs w:val="22"/>
                <w:lang w:val="en-US"/>
              </w:rPr>
            </w:pPr>
            <w:r w:rsidRPr="009361EA">
              <w:rPr>
                <w:sz w:val="22"/>
                <w:szCs w:val="22"/>
                <w:lang w:val="en-US"/>
              </w:rPr>
              <w:t>700</w:t>
            </w:r>
          </w:p>
        </w:tc>
        <w:tc>
          <w:tcPr>
            <w:tcW w:w="654" w:type="dxa"/>
            <w:tcBorders>
              <w:top w:val="nil"/>
              <w:left w:val="nil"/>
              <w:bottom w:val="single" w:sz="4" w:space="0" w:color="auto"/>
              <w:right w:val="nil"/>
            </w:tcBorders>
            <w:shd w:val="clear" w:color="auto" w:fill="auto"/>
            <w:noWrap/>
            <w:vAlign w:val="center"/>
          </w:tcPr>
          <w:p w14:paraId="5DE0E250" w14:textId="77777777" w:rsidR="0084096B" w:rsidRPr="009361EA" w:rsidRDefault="0084096B" w:rsidP="00B849AD">
            <w:pPr>
              <w:jc w:val="center"/>
              <w:rPr>
                <w:sz w:val="22"/>
                <w:szCs w:val="22"/>
                <w:lang w:val="en-US"/>
              </w:rPr>
            </w:pPr>
            <w:r w:rsidRPr="009361EA">
              <w:rPr>
                <w:sz w:val="22"/>
                <w:szCs w:val="22"/>
                <w:lang w:val="en-US"/>
              </w:rPr>
              <w:t>76%</w:t>
            </w:r>
          </w:p>
        </w:tc>
        <w:tc>
          <w:tcPr>
            <w:tcW w:w="1200" w:type="dxa"/>
            <w:tcBorders>
              <w:top w:val="nil"/>
              <w:left w:val="nil"/>
              <w:bottom w:val="single" w:sz="4" w:space="0" w:color="auto"/>
              <w:right w:val="nil"/>
            </w:tcBorders>
            <w:shd w:val="clear" w:color="auto" w:fill="auto"/>
            <w:noWrap/>
            <w:vAlign w:val="center"/>
          </w:tcPr>
          <w:p w14:paraId="1756F207" w14:textId="77777777" w:rsidR="0084096B" w:rsidRPr="009361EA" w:rsidRDefault="0084096B" w:rsidP="00B849AD">
            <w:pPr>
              <w:jc w:val="center"/>
              <w:rPr>
                <w:sz w:val="22"/>
                <w:szCs w:val="22"/>
                <w:lang w:val="en-US"/>
              </w:rPr>
            </w:pPr>
            <w:r w:rsidRPr="009361EA">
              <w:rPr>
                <w:sz w:val="22"/>
                <w:szCs w:val="22"/>
                <w:lang w:val="en-US"/>
              </w:rPr>
              <w:t>9%</w:t>
            </w:r>
          </w:p>
        </w:tc>
        <w:tc>
          <w:tcPr>
            <w:tcW w:w="960" w:type="dxa"/>
            <w:tcBorders>
              <w:top w:val="nil"/>
              <w:left w:val="nil"/>
              <w:bottom w:val="single" w:sz="4" w:space="0" w:color="auto"/>
              <w:right w:val="nil"/>
            </w:tcBorders>
            <w:shd w:val="clear" w:color="auto" w:fill="auto"/>
            <w:noWrap/>
            <w:vAlign w:val="center"/>
          </w:tcPr>
          <w:p w14:paraId="7D8FBDA6" w14:textId="77777777" w:rsidR="0084096B" w:rsidRPr="009361EA" w:rsidRDefault="0084096B" w:rsidP="00B849AD">
            <w:pPr>
              <w:jc w:val="center"/>
              <w:rPr>
                <w:sz w:val="22"/>
                <w:szCs w:val="22"/>
                <w:lang w:val="en-US"/>
              </w:rPr>
            </w:pPr>
            <w:r w:rsidRPr="009361EA">
              <w:rPr>
                <w:sz w:val="22"/>
                <w:szCs w:val="22"/>
                <w:lang w:val="en-US"/>
              </w:rPr>
              <w:t>14%</w:t>
            </w:r>
          </w:p>
        </w:tc>
        <w:tc>
          <w:tcPr>
            <w:tcW w:w="700" w:type="dxa"/>
            <w:tcBorders>
              <w:top w:val="nil"/>
              <w:left w:val="nil"/>
              <w:bottom w:val="single" w:sz="4" w:space="0" w:color="auto"/>
              <w:right w:val="nil"/>
            </w:tcBorders>
            <w:shd w:val="clear" w:color="auto" w:fill="auto"/>
            <w:noWrap/>
            <w:vAlign w:val="center"/>
          </w:tcPr>
          <w:p w14:paraId="0E6B719C" w14:textId="77777777" w:rsidR="0084096B" w:rsidRPr="009361EA" w:rsidRDefault="0084096B" w:rsidP="00B849AD">
            <w:pPr>
              <w:jc w:val="center"/>
              <w:rPr>
                <w:sz w:val="22"/>
                <w:szCs w:val="22"/>
                <w:lang w:val="en-US"/>
              </w:rPr>
            </w:pPr>
            <w:r w:rsidRPr="009361EA">
              <w:rPr>
                <w:sz w:val="22"/>
                <w:szCs w:val="22"/>
                <w:lang w:val="en-US"/>
              </w:rPr>
              <w:t>1%</w:t>
            </w:r>
          </w:p>
        </w:tc>
        <w:tc>
          <w:tcPr>
            <w:tcW w:w="960" w:type="dxa"/>
            <w:tcBorders>
              <w:top w:val="nil"/>
              <w:left w:val="nil"/>
              <w:bottom w:val="single" w:sz="4" w:space="0" w:color="auto"/>
              <w:right w:val="nil"/>
            </w:tcBorders>
            <w:shd w:val="clear" w:color="auto" w:fill="auto"/>
            <w:noWrap/>
            <w:vAlign w:val="center"/>
          </w:tcPr>
          <w:p w14:paraId="4AF21B27" w14:textId="77777777" w:rsidR="0084096B" w:rsidRPr="009361EA" w:rsidRDefault="0084096B" w:rsidP="00B849AD">
            <w:pPr>
              <w:jc w:val="center"/>
              <w:rPr>
                <w:sz w:val="22"/>
                <w:szCs w:val="22"/>
                <w:lang w:val="en-US"/>
              </w:rPr>
            </w:pPr>
            <w:r w:rsidRPr="009361EA">
              <w:rPr>
                <w:sz w:val="22"/>
                <w:szCs w:val="22"/>
                <w:lang w:val="en-US"/>
              </w:rPr>
              <w:t>30%</w:t>
            </w:r>
          </w:p>
        </w:tc>
        <w:tc>
          <w:tcPr>
            <w:tcW w:w="960" w:type="dxa"/>
            <w:tcBorders>
              <w:top w:val="nil"/>
              <w:left w:val="nil"/>
              <w:bottom w:val="single" w:sz="4" w:space="0" w:color="auto"/>
              <w:right w:val="nil"/>
            </w:tcBorders>
            <w:shd w:val="clear" w:color="auto" w:fill="auto"/>
            <w:noWrap/>
            <w:vAlign w:val="center"/>
          </w:tcPr>
          <w:p w14:paraId="45088AD3" w14:textId="77777777" w:rsidR="0084096B" w:rsidRPr="009361EA" w:rsidRDefault="0084096B" w:rsidP="00B849AD">
            <w:pPr>
              <w:jc w:val="center"/>
              <w:rPr>
                <w:sz w:val="22"/>
                <w:szCs w:val="22"/>
                <w:lang w:val="en-US"/>
              </w:rPr>
            </w:pPr>
            <w:r w:rsidRPr="009361EA">
              <w:rPr>
                <w:sz w:val="22"/>
                <w:szCs w:val="22"/>
                <w:lang w:val="en-US"/>
              </w:rPr>
              <w:t>63%</w:t>
            </w:r>
          </w:p>
        </w:tc>
        <w:tc>
          <w:tcPr>
            <w:tcW w:w="552" w:type="dxa"/>
            <w:tcBorders>
              <w:top w:val="nil"/>
              <w:left w:val="nil"/>
              <w:bottom w:val="single" w:sz="4" w:space="0" w:color="auto"/>
              <w:right w:val="nil"/>
            </w:tcBorders>
            <w:shd w:val="clear" w:color="auto" w:fill="auto"/>
            <w:vAlign w:val="center"/>
          </w:tcPr>
          <w:p w14:paraId="73C28A74" w14:textId="77777777" w:rsidR="0084096B" w:rsidRPr="009361EA" w:rsidRDefault="0084096B" w:rsidP="00B849AD">
            <w:pPr>
              <w:jc w:val="center"/>
              <w:rPr>
                <w:sz w:val="22"/>
                <w:szCs w:val="22"/>
                <w:lang w:val="en-US"/>
              </w:rPr>
            </w:pPr>
            <w:r w:rsidRPr="009361EA">
              <w:rPr>
                <w:sz w:val="22"/>
                <w:szCs w:val="22"/>
                <w:lang w:val="en-US"/>
              </w:rPr>
              <w:t>6%</w:t>
            </w:r>
          </w:p>
        </w:tc>
        <w:tc>
          <w:tcPr>
            <w:tcW w:w="654" w:type="dxa"/>
            <w:tcBorders>
              <w:top w:val="nil"/>
              <w:left w:val="nil"/>
              <w:bottom w:val="single" w:sz="4" w:space="0" w:color="auto"/>
              <w:right w:val="nil"/>
            </w:tcBorders>
            <w:shd w:val="clear" w:color="auto" w:fill="auto"/>
            <w:vAlign w:val="center"/>
          </w:tcPr>
          <w:p w14:paraId="09468120" w14:textId="77777777" w:rsidR="0084096B" w:rsidRPr="009361EA" w:rsidRDefault="0084096B" w:rsidP="00B849AD">
            <w:pPr>
              <w:jc w:val="center"/>
              <w:rPr>
                <w:sz w:val="22"/>
                <w:szCs w:val="22"/>
                <w:lang w:val="en-US"/>
              </w:rPr>
            </w:pPr>
            <w:r w:rsidRPr="009361EA">
              <w:rPr>
                <w:sz w:val="22"/>
                <w:szCs w:val="22"/>
                <w:lang w:val="en-US"/>
              </w:rPr>
              <w:t>0%</w:t>
            </w:r>
          </w:p>
        </w:tc>
        <w:tc>
          <w:tcPr>
            <w:tcW w:w="654" w:type="dxa"/>
            <w:tcBorders>
              <w:top w:val="nil"/>
              <w:left w:val="nil"/>
              <w:bottom w:val="single" w:sz="4" w:space="0" w:color="auto"/>
              <w:right w:val="nil"/>
            </w:tcBorders>
            <w:shd w:val="clear" w:color="auto" w:fill="auto"/>
            <w:vAlign w:val="center"/>
          </w:tcPr>
          <w:p w14:paraId="70D45B33" w14:textId="77777777" w:rsidR="0084096B" w:rsidRPr="009361EA" w:rsidRDefault="0084096B" w:rsidP="00B849AD">
            <w:pPr>
              <w:jc w:val="center"/>
              <w:rPr>
                <w:sz w:val="22"/>
                <w:szCs w:val="22"/>
                <w:lang w:val="en-US"/>
              </w:rPr>
            </w:pPr>
            <w:r w:rsidRPr="009361EA">
              <w:rPr>
                <w:sz w:val="22"/>
                <w:szCs w:val="22"/>
                <w:lang w:val="en-US"/>
              </w:rPr>
              <w:t>8.3</w:t>
            </w:r>
          </w:p>
        </w:tc>
        <w:tc>
          <w:tcPr>
            <w:tcW w:w="654" w:type="dxa"/>
            <w:tcBorders>
              <w:top w:val="nil"/>
              <w:left w:val="nil"/>
              <w:bottom w:val="single" w:sz="4" w:space="0" w:color="auto"/>
              <w:right w:val="nil"/>
            </w:tcBorders>
          </w:tcPr>
          <w:p w14:paraId="1DBBA4AC" w14:textId="77777777" w:rsidR="0084096B" w:rsidRPr="009361EA" w:rsidRDefault="0084096B"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yLMaAIAY","properties":{"formattedCitation":"[36]","plainCitation":"[36]","noteIndex":0},"citationItems":[{"id":897,"uris":["http://zotero.org/users/5217225/items/DM8NGNJX"],"uri":["http://zotero.org/users/5217225/items/DM8NGNJX"],"itemData":{"id":897,"type":"article-journal","abstract":"Two promising biomass fuels from southern European regions were investigated for their application in thermochemical applications. The examination included analytical pyrolysis data, fuel and ash analyses, and experimental testing of gasification process with air in a lab-scale fluidised bed reactor (FB) with quartz or olivine as bed material. The fuels used were an agro-industrial residue (olive bagasse) and the bagasse of the energy crop sweet sorghum. Varying air ratios and temperatures were tested to study the impact on the product gas composition and tar load. Tars were higher in the case of olive bagasse, attributed to its higher lignin content compared to sorghum. The particular olivine material promoted the destruction of tars, but to a lesser level than other reported works; this was attributed to its limited iron content. Sweet sorghum presented higher thermochemical reactivity. However, the high percentage of potassium in its ash might create problems in thermal conversion facilities.","language":"English","source":"CiteSeer","title":"Experimental evaluation of thermochemical use of two promising biomass fuels","URL":"http://citeseerx.ist.psu.edu/viewdoc/summary?doi=10.1.1.463.2597","author":[{"family":"Panopoulos","given":"Kyriakos D."},{"family":"Vamvuka","given":"Despina"}],"issued":{"date-parts":[["2009"]]}}}],"schema":"https://github.com/citation-style-language/schema/raw/master/csl-citation.json"} </w:instrText>
            </w:r>
            <w:r w:rsidRPr="009361EA">
              <w:rPr>
                <w:sz w:val="22"/>
                <w:szCs w:val="22"/>
                <w:lang w:val="en-US"/>
              </w:rPr>
              <w:fldChar w:fldCharType="separate"/>
            </w:r>
            <w:r w:rsidRPr="00DE1CA2">
              <w:rPr>
                <w:sz w:val="22"/>
              </w:rPr>
              <w:t>[36]</w:t>
            </w:r>
            <w:r w:rsidRPr="009361EA">
              <w:rPr>
                <w:sz w:val="22"/>
                <w:szCs w:val="22"/>
                <w:lang w:val="en-US"/>
              </w:rPr>
              <w:fldChar w:fldCharType="end"/>
            </w:r>
          </w:p>
        </w:tc>
      </w:tr>
    </w:tbl>
    <w:p w14:paraId="6C27556A" w14:textId="77777777" w:rsidR="0084096B" w:rsidRPr="009361EA" w:rsidRDefault="0084096B" w:rsidP="0084096B">
      <w:pPr>
        <w:tabs>
          <w:tab w:val="left" w:pos="-437"/>
        </w:tabs>
        <w:suppressAutoHyphens/>
        <w:rPr>
          <w:i/>
          <w:spacing w:val="-3"/>
          <w:sz w:val="18"/>
          <w:lang w:val="en-US"/>
        </w:rPr>
      </w:pPr>
      <w:r w:rsidRPr="009361EA">
        <w:rPr>
          <w:i/>
          <w:spacing w:val="-3"/>
          <w:sz w:val="18"/>
          <w:lang w:val="en-US"/>
        </w:rPr>
        <w:t>C</w:t>
      </w:r>
      <w:r w:rsidRPr="009361EA">
        <w:rPr>
          <w:i/>
          <w:spacing w:val="-3"/>
          <w:sz w:val="18"/>
          <w:vertAlign w:val="subscript"/>
          <w:lang w:val="en-US"/>
        </w:rPr>
        <w:t>2</w:t>
      </w:r>
      <w:r w:rsidRPr="009361EA">
        <w:rPr>
          <w:i/>
          <w:spacing w:val="-3"/>
          <w:sz w:val="18"/>
          <w:lang w:val="en-US"/>
        </w:rPr>
        <w:t>-C</w:t>
      </w:r>
      <w:r w:rsidRPr="009361EA">
        <w:rPr>
          <w:i/>
          <w:spacing w:val="-3"/>
          <w:sz w:val="18"/>
          <w:vertAlign w:val="subscript"/>
          <w:lang w:val="en-US"/>
        </w:rPr>
        <w:t>4</w:t>
      </w:r>
      <w:r w:rsidRPr="009361EA">
        <w:rPr>
          <w:i/>
          <w:spacing w:val="-3"/>
          <w:sz w:val="18"/>
          <w:lang w:val="en-US"/>
        </w:rPr>
        <w:t xml:space="preserve"> refers to light hydrocarbons in the range of C</w:t>
      </w:r>
      <w:r w:rsidRPr="009361EA">
        <w:rPr>
          <w:i/>
          <w:spacing w:val="-3"/>
          <w:sz w:val="18"/>
          <w:vertAlign w:val="subscript"/>
          <w:lang w:val="en-US"/>
        </w:rPr>
        <w:t>2</w:t>
      </w:r>
      <w:r w:rsidRPr="009361EA">
        <w:rPr>
          <w:i/>
          <w:spacing w:val="-3"/>
          <w:sz w:val="18"/>
          <w:lang w:val="en-US"/>
        </w:rPr>
        <w:t>H</w:t>
      </w:r>
      <w:r w:rsidRPr="009361EA">
        <w:rPr>
          <w:i/>
          <w:spacing w:val="-3"/>
          <w:sz w:val="18"/>
          <w:vertAlign w:val="subscript"/>
          <w:lang w:val="en-US"/>
        </w:rPr>
        <w:t>n</w:t>
      </w:r>
      <w:r w:rsidRPr="009361EA">
        <w:rPr>
          <w:i/>
          <w:spacing w:val="-3"/>
          <w:sz w:val="18"/>
          <w:lang w:val="en-US"/>
        </w:rPr>
        <w:t xml:space="preserve"> and C</w:t>
      </w:r>
      <w:r w:rsidRPr="009361EA">
        <w:rPr>
          <w:i/>
          <w:spacing w:val="-3"/>
          <w:sz w:val="18"/>
          <w:vertAlign w:val="subscript"/>
          <w:lang w:val="en-US"/>
        </w:rPr>
        <w:t>4</w:t>
      </w:r>
      <w:r w:rsidRPr="009361EA">
        <w:rPr>
          <w:i/>
          <w:spacing w:val="-3"/>
          <w:sz w:val="18"/>
          <w:lang w:val="en-US"/>
        </w:rPr>
        <w:t>H</w:t>
      </w:r>
      <w:r w:rsidRPr="009361EA">
        <w:rPr>
          <w:i/>
          <w:spacing w:val="-3"/>
          <w:sz w:val="18"/>
          <w:vertAlign w:val="subscript"/>
          <w:lang w:val="en-US"/>
        </w:rPr>
        <w:t>n</w:t>
      </w:r>
    </w:p>
    <w:p w14:paraId="3C04B147" w14:textId="77777777" w:rsidR="0084096B" w:rsidRPr="009361EA" w:rsidRDefault="0084096B" w:rsidP="0084096B">
      <w:pPr>
        <w:tabs>
          <w:tab w:val="left" w:pos="-437"/>
        </w:tabs>
        <w:suppressAutoHyphens/>
        <w:rPr>
          <w:spacing w:val="-3"/>
          <w:lang w:val="en-US"/>
        </w:rPr>
      </w:pPr>
    </w:p>
    <w:p w14:paraId="2B2AA546" w14:textId="24E5A7A2" w:rsidR="00AE536D" w:rsidRDefault="00AE536D" w:rsidP="00AE536D">
      <w:pPr>
        <w:tabs>
          <w:tab w:val="left" w:pos="-720"/>
        </w:tabs>
        <w:suppressAutoHyphens/>
        <w:rPr>
          <w:spacing w:val="-3"/>
          <w:lang w:val="en-US"/>
        </w:rPr>
      </w:pPr>
    </w:p>
    <w:p w14:paraId="195CAE2C" w14:textId="139289EE" w:rsidR="00796482" w:rsidRDefault="00796482" w:rsidP="00AE536D">
      <w:pPr>
        <w:tabs>
          <w:tab w:val="left" w:pos="-720"/>
        </w:tabs>
        <w:suppressAutoHyphens/>
        <w:rPr>
          <w:spacing w:val="-3"/>
          <w:lang w:val="en-US"/>
        </w:rPr>
      </w:pPr>
    </w:p>
    <w:p w14:paraId="3FCFE02C" w14:textId="77777777" w:rsidR="00796482" w:rsidRDefault="00796482" w:rsidP="00796482">
      <w:pPr>
        <w:pStyle w:val="reference"/>
        <w:numPr>
          <w:ilvl w:val="0"/>
          <w:numId w:val="0"/>
        </w:numPr>
        <w:ind w:left="284" w:hanging="284"/>
        <w:rPr>
          <w:lang w:val="en-US"/>
        </w:rPr>
      </w:pPr>
      <w:proofErr w:type="spellStart"/>
      <w:r w:rsidRPr="00CB72C9">
        <w:rPr>
          <w:highlight w:val="cyan"/>
          <w:lang w:val="en-US"/>
        </w:rPr>
        <w:t>Sumatorias</w:t>
      </w:r>
      <w:proofErr w:type="spellEnd"/>
      <w:r w:rsidRPr="00CB72C9">
        <w:rPr>
          <w:highlight w:val="cyan"/>
          <w:lang w:val="en-US"/>
        </w:rPr>
        <w:t xml:space="preserve"> = 100</w:t>
      </w:r>
      <w:r>
        <w:rPr>
          <w:highlight w:val="cyan"/>
          <w:lang w:val="en-US"/>
        </w:rPr>
        <w:t>%</w:t>
      </w:r>
    </w:p>
    <w:p w14:paraId="77C22EEC" w14:textId="24D7D366" w:rsidR="00796482" w:rsidRDefault="00796482" w:rsidP="00AE536D">
      <w:pPr>
        <w:tabs>
          <w:tab w:val="left" w:pos="-720"/>
        </w:tabs>
        <w:suppressAutoHyphens/>
        <w:rPr>
          <w:spacing w:val="-3"/>
          <w:lang w:val="en-US"/>
        </w:rPr>
      </w:pPr>
    </w:p>
    <w:p w14:paraId="58F7B353" w14:textId="7393BF46" w:rsidR="00796482" w:rsidRDefault="00796482" w:rsidP="00AE536D">
      <w:pPr>
        <w:tabs>
          <w:tab w:val="left" w:pos="-720"/>
        </w:tabs>
        <w:suppressAutoHyphens/>
        <w:rPr>
          <w:spacing w:val="-3"/>
          <w:lang w:val="en-US"/>
        </w:rPr>
      </w:pPr>
      <w:r w:rsidRPr="00796482">
        <w:rPr>
          <w:sz w:val="18"/>
          <w:szCs w:val="22"/>
          <w:highlight w:val="cyan"/>
          <w:lang w:val="en-US"/>
        </w:rPr>
        <w:t>H</w:t>
      </w:r>
      <w:r w:rsidRPr="00796482">
        <w:rPr>
          <w:sz w:val="18"/>
          <w:szCs w:val="22"/>
          <w:highlight w:val="cyan"/>
          <w:vertAlign w:val="subscript"/>
          <w:lang w:val="en-US"/>
        </w:rPr>
        <w:t>2</w:t>
      </w:r>
      <w:r w:rsidRPr="00796482">
        <w:rPr>
          <w:sz w:val="18"/>
          <w:szCs w:val="22"/>
          <w:highlight w:val="cyan"/>
          <w:lang w:val="en-US"/>
        </w:rPr>
        <w:t>(%)</w:t>
      </w:r>
      <w:r w:rsidRPr="00796482">
        <w:rPr>
          <w:sz w:val="18"/>
          <w:szCs w:val="22"/>
          <w:highlight w:val="cyan"/>
          <w:lang w:val="en-US"/>
        </w:rPr>
        <w:t xml:space="preserve"> mole fraction or weight percent?</w:t>
      </w:r>
    </w:p>
    <w:p w14:paraId="5E1F59F7" w14:textId="76BD9AC2" w:rsidR="00796482" w:rsidRDefault="00796482" w:rsidP="00AE536D">
      <w:pPr>
        <w:tabs>
          <w:tab w:val="left" w:pos="-720"/>
        </w:tabs>
        <w:suppressAutoHyphens/>
        <w:rPr>
          <w:spacing w:val="-3"/>
          <w:lang w:val="en-US"/>
        </w:rPr>
      </w:pPr>
    </w:p>
    <w:p w14:paraId="62E70EF1" w14:textId="5535272A" w:rsidR="00796482" w:rsidRDefault="00796482" w:rsidP="00AE536D">
      <w:pPr>
        <w:tabs>
          <w:tab w:val="left" w:pos="-720"/>
        </w:tabs>
        <w:suppressAutoHyphens/>
        <w:rPr>
          <w:spacing w:val="-3"/>
          <w:lang w:val="en-US"/>
        </w:rPr>
      </w:pPr>
    </w:p>
    <w:p w14:paraId="732C5A82" w14:textId="77777777" w:rsidR="00796482" w:rsidRDefault="00796482" w:rsidP="00AE536D">
      <w:pPr>
        <w:tabs>
          <w:tab w:val="left" w:pos="-720"/>
        </w:tabs>
        <w:suppressAutoHyphens/>
        <w:rPr>
          <w:spacing w:val="-3"/>
          <w:lang w:val="en-US"/>
        </w:rPr>
      </w:pPr>
    </w:p>
    <w:p w14:paraId="7D73FBAC" w14:textId="658AE32D" w:rsidR="00AE536D" w:rsidRDefault="00AE536D">
      <w:pPr>
        <w:autoSpaceDE/>
        <w:autoSpaceDN/>
        <w:jc w:val="left"/>
        <w:rPr>
          <w:spacing w:val="-3"/>
          <w:lang w:val="en-US"/>
        </w:rPr>
      </w:pPr>
      <w:r>
        <w:rPr>
          <w:spacing w:val="-3"/>
          <w:lang w:val="en-US"/>
        </w:rPr>
        <w:br w:type="page"/>
      </w:r>
    </w:p>
    <w:p w14:paraId="1C3A328E" w14:textId="77777777" w:rsidR="00AE536D" w:rsidRDefault="00AE536D" w:rsidP="00AE536D">
      <w:pPr>
        <w:tabs>
          <w:tab w:val="left" w:pos="-720"/>
        </w:tabs>
        <w:suppressAutoHyphens/>
        <w:rPr>
          <w:spacing w:val="-3"/>
          <w:lang w:val="en-US"/>
        </w:rPr>
      </w:pPr>
    </w:p>
    <w:p w14:paraId="1E132D99" w14:textId="77777777" w:rsidR="00AE536D" w:rsidRPr="009361EA" w:rsidRDefault="00AE536D" w:rsidP="00AE536D">
      <w:pPr>
        <w:tabs>
          <w:tab w:val="left" w:pos="-720"/>
        </w:tabs>
        <w:suppressAutoHyphens/>
        <w:rPr>
          <w:spacing w:val="-3"/>
          <w:lang w:val="en-US"/>
        </w:rPr>
      </w:pPr>
    </w:p>
    <w:p w14:paraId="60C90A47" w14:textId="77777777" w:rsidR="00AE536D" w:rsidRPr="009361EA" w:rsidRDefault="00AE536D" w:rsidP="00AE536D">
      <w:pPr>
        <w:tabs>
          <w:tab w:val="left" w:pos="-437"/>
        </w:tabs>
        <w:suppressAutoHyphens/>
        <w:jc w:val="center"/>
        <w:rPr>
          <w:spacing w:val="-3"/>
          <w:lang w:val="en-US"/>
        </w:rPr>
      </w:pPr>
      <w:r w:rsidRPr="007257AA">
        <w:rPr>
          <w:spacing w:val="-3"/>
          <w:highlight w:val="cyan"/>
          <w:lang w:val="en-US"/>
        </w:rPr>
        <w:t>Table 4.</w:t>
      </w:r>
      <w:r w:rsidRPr="009361EA">
        <w:rPr>
          <w:spacing w:val="-3"/>
          <w:lang w:val="en-US"/>
        </w:rPr>
        <w:t xml:space="preserve"> Fast pyrolysis parameters</w:t>
      </w:r>
    </w:p>
    <w:p w14:paraId="1B9C3720" w14:textId="77777777" w:rsidR="00AE536D" w:rsidRPr="009361EA" w:rsidRDefault="00AE536D" w:rsidP="00AE536D">
      <w:pPr>
        <w:tabs>
          <w:tab w:val="left" w:pos="-437"/>
        </w:tabs>
        <w:suppressAutoHyphens/>
        <w:jc w:val="center"/>
        <w:rPr>
          <w:spacing w:val="-3"/>
          <w:lang w:val="en-US"/>
        </w:rPr>
      </w:pPr>
    </w:p>
    <w:tbl>
      <w:tblPr>
        <w:tblW w:w="9228" w:type="dxa"/>
        <w:jc w:val="center"/>
        <w:tblLayout w:type="fixed"/>
        <w:tblCellMar>
          <w:left w:w="70" w:type="dxa"/>
          <w:right w:w="70" w:type="dxa"/>
        </w:tblCellMar>
        <w:tblLook w:val="04A0" w:firstRow="1" w:lastRow="0" w:firstColumn="1" w:lastColumn="0" w:noHBand="0" w:noVBand="1"/>
      </w:tblPr>
      <w:tblGrid>
        <w:gridCol w:w="1228"/>
        <w:gridCol w:w="1065"/>
        <w:gridCol w:w="1195"/>
        <w:gridCol w:w="1200"/>
        <w:gridCol w:w="960"/>
        <w:gridCol w:w="700"/>
        <w:gridCol w:w="960"/>
        <w:gridCol w:w="960"/>
        <w:gridCol w:w="960"/>
      </w:tblGrid>
      <w:tr w:rsidR="00AE536D" w:rsidRPr="009361EA" w14:paraId="1D0C30F2" w14:textId="77777777" w:rsidTr="00B849AD">
        <w:trPr>
          <w:trHeight w:val="300"/>
          <w:jc w:val="center"/>
        </w:trPr>
        <w:tc>
          <w:tcPr>
            <w:tcW w:w="1228" w:type="dxa"/>
            <w:tcBorders>
              <w:top w:val="single" w:sz="4" w:space="0" w:color="auto"/>
              <w:left w:val="nil"/>
              <w:bottom w:val="single" w:sz="4" w:space="0" w:color="auto"/>
              <w:right w:val="nil"/>
            </w:tcBorders>
            <w:shd w:val="clear" w:color="auto" w:fill="auto"/>
            <w:noWrap/>
            <w:vAlign w:val="center"/>
          </w:tcPr>
          <w:p w14:paraId="52FB8304" w14:textId="77777777" w:rsidR="00AE536D" w:rsidRPr="00FA758C" w:rsidRDefault="00AE536D" w:rsidP="00B849AD">
            <w:pPr>
              <w:autoSpaceDE/>
              <w:autoSpaceDN/>
              <w:jc w:val="left"/>
              <w:rPr>
                <w:b/>
                <w:sz w:val="20"/>
                <w:szCs w:val="22"/>
                <w:lang w:val="en-US"/>
              </w:rPr>
            </w:pPr>
            <w:r w:rsidRPr="00FA758C">
              <w:rPr>
                <w:b/>
                <w:sz w:val="20"/>
                <w:szCs w:val="22"/>
                <w:lang w:val="en-US"/>
              </w:rPr>
              <w:t>Feedstock</w:t>
            </w:r>
          </w:p>
        </w:tc>
        <w:tc>
          <w:tcPr>
            <w:tcW w:w="1065" w:type="dxa"/>
            <w:tcBorders>
              <w:top w:val="single" w:sz="4" w:space="0" w:color="auto"/>
              <w:left w:val="nil"/>
              <w:bottom w:val="single" w:sz="4" w:space="0" w:color="auto"/>
              <w:right w:val="nil"/>
            </w:tcBorders>
            <w:shd w:val="clear" w:color="auto" w:fill="auto"/>
            <w:noWrap/>
            <w:vAlign w:val="center"/>
          </w:tcPr>
          <w:p w14:paraId="15DE19BB" w14:textId="77777777" w:rsidR="00AE536D" w:rsidRPr="00FA758C" w:rsidRDefault="00AE536D" w:rsidP="00B849AD">
            <w:pPr>
              <w:jc w:val="center"/>
              <w:rPr>
                <w:b/>
                <w:sz w:val="20"/>
                <w:szCs w:val="22"/>
                <w:lang w:val="en-US"/>
              </w:rPr>
            </w:pPr>
            <w:r w:rsidRPr="00FA758C">
              <w:rPr>
                <w:b/>
                <w:sz w:val="20"/>
                <w:szCs w:val="22"/>
                <w:lang w:val="en-US"/>
              </w:rPr>
              <w:t>Reactor temp.</w:t>
            </w:r>
          </w:p>
        </w:tc>
        <w:tc>
          <w:tcPr>
            <w:tcW w:w="3355" w:type="dxa"/>
            <w:gridSpan w:val="3"/>
            <w:tcBorders>
              <w:top w:val="single" w:sz="4" w:space="0" w:color="auto"/>
              <w:left w:val="nil"/>
              <w:bottom w:val="single" w:sz="4" w:space="0" w:color="auto"/>
              <w:right w:val="nil"/>
            </w:tcBorders>
            <w:shd w:val="clear" w:color="auto" w:fill="auto"/>
            <w:noWrap/>
            <w:vAlign w:val="center"/>
          </w:tcPr>
          <w:p w14:paraId="048DD648" w14:textId="77777777" w:rsidR="00AE536D" w:rsidRPr="00FA758C" w:rsidRDefault="00AE536D" w:rsidP="00B849AD">
            <w:pPr>
              <w:jc w:val="center"/>
              <w:rPr>
                <w:b/>
                <w:sz w:val="20"/>
                <w:szCs w:val="22"/>
                <w:lang w:val="en-US"/>
              </w:rPr>
            </w:pPr>
            <w:r w:rsidRPr="00FA758C">
              <w:rPr>
                <w:b/>
                <w:sz w:val="20"/>
                <w:szCs w:val="22"/>
                <w:lang w:val="en-US"/>
              </w:rPr>
              <w:t>R</w:t>
            </w:r>
            <w:r>
              <w:rPr>
                <w:b/>
                <w:sz w:val="20"/>
                <w:szCs w:val="22"/>
                <w:lang w:val="en-US"/>
              </w:rPr>
              <w:t>eactor yields</w:t>
            </w:r>
          </w:p>
        </w:tc>
        <w:tc>
          <w:tcPr>
            <w:tcW w:w="2620" w:type="dxa"/>
            <w:gridSpan w:val="3"/>
            <w:tcBorders>
              <w:top w:val="single" w:sz="4" w:space="0" w:color="auto"/>
              <w:left w:val="nil"/>
              <w:bottom w:val="single" w:sz="4" w:space="0" w:color="auto"/>
              <w:right w:val="nil"/>
            </w:tcBorders>
            <w:shd w:val="clear" w:color="auto" w:fill="auto"/>
            <w:noWrap/>
            <w:vAlign w:val="center"/>
          </w:tcPr>
          <w:p w14:paraId="5062363D" w14:textId="77777777" w:rsidR="00AE536D" w:rsidRPr="00FA758C" w:rsidRDefault="00AE536D" w:rsidP="00B849AD">
            <w:pPr>
              <w:jc w:val="center"/>
              <w:rPr>
                <w:b/>
                <w:sz w:val="20"/>
                <w:szCs w:val="22"/>
                <w:lang w:val="en-US"/>
              </w:rPr>
            </w:pPr>
            <w:r w:rsidRPr="00FA758C">
              <w:rPr>
                <w:b/>
                <w:sz w:val="20"/>
                <w:szCs w:val="22"/>
                <w:lang w:val="en-US"/>
              </w:rPr>
              <w:t>Product HHV</w:t>
            </w:r>
          </w:p>
        </w:tc>
        <w:tc>
          <w:tcPr>
            <w:tcW w:w="960" w:type="dxa"/>
            <w:tcBorders>
              <w:top w:val="single" w:sz="4" w:space="0" w:color="auto"/>
              <w:left w:val="nil"/>
              <w:bottom w:val="single" w:sz="4" w:space="0" w:color="auto"/>
              <w:right w:val="nil"/>
            </w:tcBorders>
            <w:vAlign w:val="center"/>
          </w:tcPr>
          <w:p w14:paraId="62C790D5" w14:textId="77777777" w:rsidR="00AE536D" w:rsidRPr="00FA758C" w:rsidRDefault="00AE536D" w:rsidP="00B849AD">
            <w:pPr>
              <w:jc w:val="center"/>
              <w:rPr>
                <w:b/>
                <w:sz w:val="20"/>
                <w:szCs w:val="22"/>
                <w:lang w:val="en-US"/>
              </w:rPr>
            </w:pPr>
            <w:r w:rsidRPr="00FA758C">
              <w:rPr>
                <w:b/>
                <w:sz w:val="20"/>
                <w:szCs w:val="22"/>
                <w:lang w:val="en-US"/>
              </w:rPr>
              <w:t>Ref.</w:t>
            </w:r>
          </w:p>
        </w:tc>
      </w:tr>
      <w:tr w:rsidR="00AE536D" w:rsidRPr="009361EA" w14:paraId="0BADC0C0" w14:textId="77777777" w:rsidTr="00B849AD">
        <w:trPr>
          <w:trHeight w:val="300"/>
          <w:jc w:val="center"/>
        </w:trPr>
        <w:tc>
          <w:tcPr>
            <w:tcW w:w="1228" w:type="dxa"/>
            <w:tcBorders>
              <w:top w:val="single" w:sz="4" w:space="0" w:color="auto"/>
              <w:left w:val="nil"/>
              <w:bottom w:val="single" w:sz="4" w:space="0" w:color="auto"/>
              <w:right w:val="nil"/>
            </w:tcBorders>
            <w:shd w:val="clear" w:color="auto" w:fill="auto"/>
            <w:noWrap/>
            <w:vAlign w:val="center"/>
          </w:tcPr>
          <w:p w14:paraId="77BE6729" w14:textId="77777777" w:rsidR="00AE536D" w:rsidRPr="009361EA" w:rsidRDefault="00AE536D" w:rsidP="00B849AD">
            <w:pPr>
              <w:autoSpaceDE/>
              <w:autoSpaceDN/>
              <w:jc w:val="left"/>
              <w:rPr>
                <w:sz w:val="22"/>
                <w:szCs w:val="22"/>
                <w:lang w:val="en-US"/>
              </w:rPr>
            </w:pPr>
          </w:p>
        </w:tc>
        <w:tc>
          <w:tcPr>
            <w:tcW w:w="1065" w:type="dxa"/>
            <w:tcBorders>
              <w:top w:val="single" w:sz="4" w:space="0" w:color="auto"/>
              <w:left w:val="nil"/>
              <w:bottom w:val="single" w:sz="4" w:space="0" w:color="auto"/>
              <w:right w:val="nil"/>
            </w:tcBorders>
            <w:shd w:val="clear" w:color="auto" w:fill="auto"/>
            <w:noWrap/>
            <w:vAlign w:val="center"/>
          </w:tcPr>
          <w:p w14:paraId="5E889963" w14:textId="77777777" w:rsidR="00AE536D" w:rsidRPr="00FA758C" w:rsidRDefault="00AE536D" w:rsidP="00B849AD">
            <w:pPr>
              <w:jc w:val="center"/>
              <w:rPr>
                <w:i/>
                <w:sz w:val="22"/>
                <w:szCs w:val="22"/>
                <w:lang w:val="en-US"/>
              </w:rPr>
            </w:pPr>
            <w:r w:rsidRPr="00FA758C">
              <w:rPr>
                <w:i/>
                <w:sz w:val="20"/>
                <w:szCs w:val="22"/>
                <w:lang w:val="en-US"/>
              </w:rPr>
              <w:t>(</w:t>
            </w:r>
            <w:proofErr w:type="spellStart"/>
            <w:r w:rsidRPr="00FA758C">
              <w:rPr>
                <w:i/>
                <w:sz w:val="20"/>
                <w:szCs w:val="22"/>
                <w:vertAlign w:val="superscript"/>
                <w:lang w:val="en-US"/>
              </w:rPr>
              <w:t>o</w:t>
            </w:r>
            <w:r w:rsidRPr="00FA758C">
              <w:rPr>
                <w:i/>
                <w:sz w:val="20"/>
                <w:szCs w:val="22"/>
                <w:lang w:val="en-US"/>
              </w:rPr>
              <w:t>C</w:t>
            </w:r>
            <w:proofErr w:type="spellEnd"/>
            <w:r w:rsidRPr="00FA758C">
              <w:rPr>
                <w:i/>
                <w:sz w:val="20"/>
                <w:szCs w:val="22"/>
                <w:lang w:val="en-US"/>
              </w:rPr>
              <w:t>)</w:t>
            </w:r>
          </w:p>
        </w:tc>
        <w:tc>
          <w:tcPr>
            <w:tcW w:w="3355" w:type="dxa"/>
            <w:gridSpan w:val="3"/>
            <w:tcBorders>
              <w:top w:val="single" w:sz="4" w:space="0" w:color="auto"/>
              <w:left w:val="nil"/>
              <w:bottom w:val="single" w:sz="4" w:space="0" w:color="auto"/>
              <w:right w:val="nil"/>
            </w:tcBorders>
            <w:shd w:val="clear" w:color="auto" w:fill="auto"/>
            <w:noWrap/>
            <w:vAlign w:val="center"/>
          </w:tcPr>
          <w:p w14:paraId="397150CB" w14:textId="77777777" w:rsidR="00AE536D" w:rsidRPr="00FA758C" w:rsidRDefault="00AE536D" w:rsidP="00B849AD">
            <w:pPr>
              <w:jc w:val="center"/>
              <w:rPr>
                <w:i/>
                <w:sz w:val="22"/>
                <w:szCs w:val="22"/>
                <w:lang w:val="en-US"/>
              </w:rPr>
            </w:pPr>
            <w:r w:rsidRPr="00FA758C">
              <w:rPr>
                <w:i/>
                <w:sz w:val="22"/>
                <w:szCs w:val="22"/>
                <w:lang w:val="en-US"/>
              </w:rPr>
              <w:t>% ash-free biomass</w:t>
            </w:r>
          </w:p>
        </w:tc>
        <w:tc>
          <w:tcPr>
            <w:tcW w:w="700" w:type="dxa"/>
            <w:tcBorders>
              <w:top w:val="single" w:sz="4" w:space="0" w:color="auto"/>
              <w:left w:val="nil"/>
              <w:bottom w:val="single" w:sz="4" w:space="0" w:color="auto"/>
              <w:right w:val="nil"/>
            </w:tcBorders>
            <w:shd w:val="clear" w:color="auto" w:fill="auto"/>
            <w:noWrap/>
            <w:vAlign w:val="center"/>
          </w:tcPr>
          <w:p w14:paraId="4B354FD1" w14:textId="77777777" w:rsidR="00AE536D" w:rsidRPr="00FA758C" w:rsidRDefault="00AE536D" w:rsidP="00B849AD">
            <w:pPr>
              <w:jc w:val="center"/>
              <w:rPr>
                <w:i/>
                <w:sz w:val="22"/>
                <w:szCs w:val="22"/>
                <w:lang w:val="en-US"/>
              </w:rPr>
            </w:pPr>
          </w:p>
        </w:tc>
        <w:tc>
          <w:tcPr>
            <w:tcW w:w="960" w:type="dxa"/>
            <w:tcBorders>
              <w:top w:val="single" w:sz="4" w:space="0" w:color="auto"/>
              <w:left w:val="nil"/>
              <w:bottom w:val="single" w:sz="4" w:space="0" w:color="auto"/>
              <w:right w:val="nil"/>
            </w:tcBorders>
            <w:shd w:val="clear" w:color="auto" w:fill="auto"/>
            <w:noWrap/>
            <w:vAlign w:val="center"/>
          </w:tcPr>
          <w:p w14:paraId="5743D71F" w14:textId="77777777" w:rsidR="00AE536D" w:rsidRPr="00FA758C" w:rsidRDefault="00AE536D" w:rsidP="00B849AD">
            <w:pPr>
              <w:jc w:val="center"/>
              <w:rPr>
                <w:i/>
                <w:sz w:val="22"/>
                <w:szCs w:val="22"/>
                <w:lang w:val="en-US"/>
              </w:rPr>
            </w:pPr>
            <w:r w:rsidRPr="00FA758C">
              <w:rPr>
                <w:i/>
                <w:sz w:val="20"/>
                <w:szCs w:val="22"/>
                <w:lang w:val="en-US"/>
              </w:rPr>
              <w:t>(MJ/kg)</w:t>
            </w:r>
          </w:p>
        </w:tc>
        <w:tc>
          <w:tcPr>
            <w:tcW w:w="960" w:type="dxa"/>
            <w:tcBorders>
              <w:top w:val="single" w:sz="4" w:space="0" w:color="auto"/>
              <w:left w:val="nil"/>
              <w:bottom w:val="single" w:sz="4" w:space="0" w:color="auto"/>
              <w:right w:val="nil"/>
            </w:tcBorders>
            <w:shd w:val="clear" w:color="auto" w:fill="auto"/>
            <w:noWrap/>
            <w:vAlign w:val="center"/>
          </w:tcPr>
          <w:p w14:paraId="60A0A411" w14:textId="77777777" w:rsidR="00AE536D" w:rsidRPr="009361EA" w:rsidRDefault="00AE536D" w:rsidP="00B849AD">
            <w:pPr>
              <w:jc w:val="center"/>
              <w:rPr>
                <w:sz w:val="22"/>
                <w:szCs w:val="22"/>
                <w:lang w:val="en-US"/>
              </w:rPr>
            </w:pPr>
          </w:p>
        </w:tc>
        <w:tc>
          <w:tcPr>
            <w:tcW w:w="960" w:type="dxa"/>
            <w:tcBorders>
              <w:top w:val="single" w:sz="4" w:space="0" w:color="auto"/>
              <w:left w:val="nil"/>
              <w:bottom w:val="single" w:sz="4" w:space="0" w:color="auto"/>
              <w:right w:val="nil"/>
            </w:tcBorders>
          </w:tcPr>
          <w:p w14:paraId="0DC2F7EC" w14:textId="77777777" w:rsidR="00AE536D" w:rsidRPr="009361EA" w:rsidRDefault="00AE536D" w:rsidP="00B849AD">
            <w:pPr>
              <w:jc w:val="center"/>
              <w:rPr>
                <w:sz w:val="22"/>
                <w:szCs w:val="22"/>
                <w:lang w:val="en-US"/>
              </w:rPr>
            </w:pPr>
          </w:p>
        </w:tc>
      </w:tr>
      <w:tr w:rsidR="00AE536D" w:rsidRPr="009361EA" w14:paraId="3A1E1F9D" w14:textId="77777777" w:rsidTr="00B849AD">
        <w:trPr>
          <w:trHeight w:val="300"/>
          <w:jc w:val="center"/>
        </w:trPr>
        <w:tc>
          <w:tcPr>
            <w:tcW w:w="1228" w:type="dxa"/>
            <w:tcBorders>
              <w:top w:val="single" w:sz="4" w:space="0" w:color="auto"/>
              <w:left w:val="nil"/>
              <w:bottom w:val="single" w:sz="4" w:space="0" w:color="auto"/>
              <w:right w:val="nil"/>
            </w:tcBorders>
            <w:shd w:val="clear" w:color="auto" w:fill="auto"/>
            <w:noWrap/>
            <w:vAlign w:val="center"/>
          </w:tcPr>
          <w:p w14:paraId="23C83914" w14:textId="77777777" w:rsidR="00AE536D" w:rsidRPr="009361EA" w:rsidRDefault="00AE536D" w:rsidP="00B849AD">
            <w:pPr>
              <w:autoSpaceDE/>
              <w:autoSpaceDN/>
              <w:jc w:val="left"/>
              <w:rPr>
                <w:sz w:val="20"/>
                <w:szCs w:val="22"/>
                <w:lang w:val="en-US"/>
              </w:rPr>
            </w:pPr>
          </w:p>
        </w:tc>
        <w:tc>
          <w:tcPr>
            <w:tcW w:w="1065" w:type="dxa"/>
            <w:tcBorders>
              <w:top w:val="single" w:sz="4" w:space="0" w:color="auto"/>
              <w:left w:val="nil"/>
              <w:bottom w:val="single" w:sz="4" w:space="0" w:color="auto"/>
              <w:right w:val="nil"/>
            </w:tcBorders>
            <w:shd w:val="clear" w:color="auto" w:fill="auto"/>
            <w:noWrap/>
            <w:vAlign w:val="center"/>
          </w:tcPr>
          <w:p w14:paraId="53427800" w14:textId="77777777" w:rsidR="00AE536D" w:rsidRPr="009361EA" w:rsidRDefault="00AE536D" w:rsidP="00B849AD">
            <w:pPr>
              <w:rPr>
                <w:sz w:val="20"/>
                <w:szCs w:val="22"/>
                <w:lang w:val="en-US"/>
              </w:rPr>
            </w:pPr>
          </w:p>
        </w:tc>
        <w:tc>
          <w:tcPr>
            <w:tcW w:w="1195" w:type="dxa"/>
            <w:tcBorders>
              <w:top w:val="single" w:sz="4" w:space="0" w:color="auto"/>
              <w:left w:val="nil"/>
              <w:bottom w:val="single" w:sz="4" w:space="0" w:color="auto"/>
              <w:right w:val="nil"/>
            </w:tcBorders>
            <w:shd w:val="clear" w:color="auto" w:fill="auto"/>
            <w:noWrap/>
            <w:vAlign w:val="center"/>
          </w:tcPr>
          <w:p w14:paraId="380279A2" w14:textId="77777777" w:rsidR="00AE536D" w:rsidRPr="009361EA" w:rsidRDefault="00AE536D" w:rsidP="00B849AD">
            <w:pPr>
              <w:jc w:val="center"/>
              <w:rPr>
                <w:sz w:val="20"/>
                <w:szCs w:val="22"/>
                <w:lang w:val="en-US"/>
              </w:rPr>
            </w:pPr>
            <w:r w:rsidRPr="009361EA">
              <w:rPr>
                <w:sz w:val="20"/>
                <w:szCs w:val="22"/>
                <w:lang w:val="en-US"/>
              </w:rPr>
              <w:t>Pyrolysis Oil</w:t>
            </w:r>
          </w:p>
          <w:p w14:paraId="52010954" w14:textId="77777777" w:rsidR="00AE536D" w:rsidRPr="009361EA" w:rsidRDefault="00AE536D" w:rsidP="00B849AD">
            <w:pPr>
              <w:jc w:val="center"/>
              <w:rPr>
                <w:sz w:val="20"/>
                <w:szCs w:val="22"/>
                <w:lang w:val="en-US"/>
              </w:rPr>
            </w:pPr>
            <w:r w:rsidRPr="009361EA">
              <w:rPr>
                <w:sz w:val="20"/>
                <w:szCs w:val="22"/>
                <w:lang w:val="en-US"/>
              </w:rPr>
              <w:t>(% H</w:t>
            </w:r>
            <w:r w:rsidRPr="009361EA">
              <w:rPr>
                <w:sz w:val="20"/>
                <w:szCs w:val="22"/>
                <w:vertAlign w:val="subscript"/>
                <w:lang w:val="en-US"/>
              </w:rPr>
              <w:t>2</w:t>
            </w:r>
            <w:r w:rsidRPr="009361EA">
              <w:rPr>
                <w:sz w:val="20"/>
                <w:szCs w:val="22"/>
                <w:lang w:val="en-US"/>
              </w:rPr>
              <w:t>O)</w:t>
            </w:r>
          </w:p>
        </w:tc>
        <w:tc>
          <w:tcPr>
            <w:tcW w:w="1200" w:type="dxa"/>
            <w:tcBorders>
              <w:top w:val="single" w:sz="4" w:space="0" w:color="auto"/>
              <w:left w:val="nil"/>
              <w:bottom w:val="single" w:sz="4" w:space="0" w:color="auto"/>
              <w:right w:val="nil"/>
            </w:tcBorders>
            <w:shd w:val="clear" w:color="auto" w:fill="auto"/>
            <w:noWrap/>
            <w:vAlign w:val="center"/>
          </w:tcPr>
          <w:p w14:paraId="0CCFAE51" w14:textId="77777777" w:rsidR="00AE536D" w:rsidRPr="009361EA" w:rsidRDefault="00AE536D" w:rsidP="00B849AD">
            <w:pPr>
              <w:jc w:val="center"/>
              <w:rPr>
                <w:sz w:val="20"/>
                <w:szCs w:val="22"/>
                <w:lang w:val="en-US"/>
              </w:rPr>
            </w:pPr>
            <w:r w:rsidRPr="009361EA">
              <w:rPr>
                <w:sz w:val="20"/>
                <w:szCs w:val="22"/>
                <w:lang w:val="en-US"/>
              </w:rPr>
              <w:t>Char</w:t>
            </w:r>
          </w:p>
        </w:tc>
        <w:tc>
          <w:tcPr>
            <w:tcW w:w="960" w:type="dxa"/>
            <w:tcBorders>
              <w:top w:val="single" w:sz="4" w:space="0" w:color="auto"/>
              <w:left w:val="nil"/>
              <w:bottom w:val="single" w:sz="4" w:space="0" w:color="auto"/>
              <w:right w:val="nil"/>
            </w:tcBorders>
            <w:shd w:val="clear" w:color="auto" w:fill="auto"/>
            <w:noWrap/>
            <w:vAlign w:val="center"/>
          </w:tcPr>
          <w:p w14:paraId="165F01E4" w14:textId="77777777" w:rsidR="00AE536D" w:rsidRPr="009361EA" w:rsidRDefault="00AE536D" w:rsidP="00B849AD">
            <w:pPr>
              <w:jc w:val="center"/>
              <w:rPr>
                <w:sz w:val="20"/>
                <w:szCs w:val="22"/>
                <w:lang w:val="en-US"/>
              </w:rPr>
            </w:pPr>
            <w:r w:rsidRPr="009361EA">
              <w:rPr>
                <w:sz w:val="20"/>
                <w:szCs w:val="22"/>
                <w:lang w:val="en-US"/>
              </w:rPr>
              <w:t>Gas</w:t>
            </w:r>
          </w:p>
        </w:tc>
        <w:tc>
          <w:tcPr>
            <w:tcW w:w="700" w:type="dxa"/>
            <w:tcBorders>
              <w:top w:val="single" w:sz="4" w:space="0" w:color="auto"/>
              <w:left w:val="nil"/>
              <w:bottom w:val="single" w:sz="4" w:space="0" w:color="auto"/>
              <w:right w:val="nil"/>
            </w:tcBorders>
            <w:shd w:val="clear" w:color="auto" w:fill="auto"/>
            <w:noWrap/>
            <w:vAlign w:val="center"/>
          </w:tcPr>
          <w:p w14:paraId="55D83E9A" w14:textId="77777777" w:rsidR="00AE536D" w:rsidRPr="009361EA" w:rsidRDefault="00AE536D" w:rsidP="00B849AD">
            <w:pPr>
              <w:jc w:val="center"/>
              <w:rPr>
                <w:sz w:val="20"/>
                <w:szCs w:val="22"/>
                <w:lang w:val="en-US"/>
              </w:rPr>
            </w:pPr>
            <w:r w:rsidRPr="009361EA">
              <w:rPr>
                <w:sz w:val="20"/>
                <w:szCs w:val="22"/>
                <w:lang w:val="en-US"/>
              </w:rPr>
              <w:t>Oil</w:t>
            </w:r>
          </w:p>
        </w:tc>
        <w:tc>
          <w:tcPr>
            <w:tcW w:w="960" w:type="dxa"/>
            <w:tcBorders>
              <w:top w:val="single" w:sz="4" w:space="0" w:color="auto"/>
              <w:left w:val="nil"/>
              <w:bottom w:val="single" w:sz="4" w:space="0" w:color="auto"/>
              <w:right w:val="nil"/>
            </w:tcBorders>
            <w:shd w:val="clear" w:color="auto" w:fill="auto"/>
            <w:noWrap/>
            <w:vAlign w:val="center"/>
          </w:tcPr>
          <w:p w14:paraId="63E66B51" w14:textId="77777777" w:rsidR="00AE536D" w:rsidRPr="009361EA" w:rsidRDefault="00AE536D" w:rsidP="00B849AD">
            <w:pPr>
              <w:jc w:val="center"/>
              <w:rPr>
                <w:sz w:val="20"/>
                <w:szCs w:val="22"/>
                <w:lang w:val="en-US"/>
              </w:rPr>
            </w:pPr>
            <w:r w:rsidRPr="009361EA">
              <w:rPr>
                <w:sz w:val="20"/>
                <w:szCs w:val="22"/>
                <w:lang w:val="en-US"/>
              </w:rPr>
              <w:t>Char</w:t>
            </w:r>
          </w:p>
        </w:tc>
        <w:tc>
          <w:tcPr>
            <w:tcW w:w="960" w:type="dxa"/>
            <w:tcBorders>
              <w:top w:val="single" w:sz="4" w:space="0" w:color="auto"/>
              <w:left w:val="nil"/>
              <w:bottom w:val="single" w:sz="4" w:space="0" w:color="auto"/>
              <w:right w:val="nil"/>
            </w:tcBorders>
            <w:shd w:val="clear" w:color="auto" w:fill="auto"/>
            <w:noWrap/>
            <w:vAlign w:val="center"/>
          </w:tcPr>
          <w:p w14:paraId="19AFE64F" w14:textId="77777777" w:rsidR="00AE536D" w:rsidRPr="009361EA" w:rsidRDefault="00AE536D" w:rsidP="00B849AD">
            <w:pPr>
              <w:jc w:val="center"/>
              <w:rPr>
                <w:sz w:val="20"/>
                <w:szCs w:val="22"/>
                <w:lang w:val="en-US"/>
              </w:rPr>
            </w:pPr>
            <w:r w:rsidRPr="009361EA">
              <w:rPr>
                <w:sz w:val="20"/>
                <w:szCs w:val="22"/>
                <w:lang w:val="en-US"/>
              </w:rPr>
              <w:t>Gas</w:t>
            </w:r>
          </w:p>
        </w:tc>
        <w:tc>
          <w:tcPr>
            <w:tcW w:w="960" w:type="dxa"/>
            <w:tcBorders>
              <w:top w:val="single" w:sz="4" w:space="0" w:color="auto"/>
              <w:left w:val="nil"/>
              <w:bottom w:val="single" w:sz="4" w:space="0" w:color="auto"/>
              <w:right w:val="nil"/>
            </w:tcBorders>
            <w:vAlign w:val="center"/>
          </w:tcPr>
          <w:p w14:paraId="0C231D0C" w14:textId="77777777" w:rsidR="00AE536D" w:rsidRPr="009361EA" w:rsidRDefault="00AE536D" w:rsidP="00B849AD">
            <w:pPr>
              <w:jc w:val="center"/>
              <w:rPr>
                <w:sz w:val="20"/>
                <w:szCs w:val="22"/>
                <w:lang w:val="en-US"/>
              </w:rPr>
            </w:pPr>
          </w:p>
        </w:tc>
      </w:tr>
      <w:tr w:rsidR="00AE536D" w:rsidRPr="009361EA" w14:paraId="7B61BE79" w14:textId="77777777" w:rsidTr="00B849AD">
        <w:trPr>
          <w:trHeight w:val="300"/>
          <w:jc w:val="center"/>
        </w:trPr>
        <w:tc>
          <w:tcPr>
            <w:tcW w:w="1228" w:type="dxa"/>
            <w:tcBorders>
              <w:top w:val="single" w:sz="4" w:space="0" w:color="auto"/>
              <w:left w:val="nil"/>
              <w:bottom w:val="nil"/>
              <w:right w:val="nil"/>
            </w:tcBorders>
            <w:shd w:val="clear" w:color="auto" w:fill="auto"/>
            <w:noWrap/>
            <w:vAlign w:val="center"/>
            <w:hideMark/>
          </w:tcPr>
          <w:p w14:paraId="30AFA41A" w14:textId="77777777" w:rsidR="00AE536D" w:rsidRPr="009361EA" w:rsidRDefault="00AE536D" w:rsidP="00B849AD">
            <w:pPr>
              <w:autoSpaceDE/>
              <w:autoSpaceDN/>
              <w:jc w:val="left"/>
              <w:rPr>
                <w:sz w:val="22"/>
                <w:szCs w:val="22"/>
                <w:lang w:val="en-US" w:eastAsia="pt-BR"/>
              </w:rPr>
            </w:pPr>
            <w:r w:rsidRPr="009361EA">
              <w:rPr>
                <w:sz w:val="22"/>
                <w:szCs w:val="22"/>
                <w:lang w:val="en-US"/>
              </w:rPr>
              <w:t>Eucalyptus</w:t>
            </w:r>
          </w:p>
        </w:tc>
        <w:tc>
          <w:tcPr>
            <w:tcW w:w="1065" w:type="dxa"/>
            <w:tcBorders>
              <w:top w:val="single" w:sz="4" w:space="0" w:color="auto"/>
              <w:left w:val="nil"/>
              <w:bottom w:val="nil"/>
              <w:right w:val="nil"/>
            </w:tcBorders>
            <w:shd w:val="clear" w:color="auto" w:fill="auto"/>
            <w:noWrap/>
            <w:vAlign w:val="center"/>
            <w:hideMark/>
          </w:tcPr>
          <w:p w14:paraId="5D3739A8" w14:textId="77777777" w:rsidR="00AE536D" w:rsidRPr="009361EA" w:rsidRDefault="00AE536D" w:rsidP="00B849AD">
            <w:pPr>
              <w:rPr>
                <w:sz w:val="22"/>
                <w:szCs w:val="22"/>
                <w:lang w:val="en-US"/>
              </w:rPr>
            </w:pPr>
            <w:r w:rsidRPr="009361EA">
              <w:rPr>
                <w:sz w:val="22"/>
                <w:szCs w:val="22"/>
                <w:lang w:val="en-US"/>
              </w:rPr>
              <w:t>500</w:t>
            </w:r>
          </w:p>
        </w:tc>
        <w:tc>
          <w:tcPr>
            <w:tcW w:w="1195" w:type="dxa"/>
            <w:tcBorders>
              <w:top w:val="single" w:sz="4" w:space="0" w:color="auto"/>
              <w:left w:val="nil"/>
              <w:bottom w:val="nil"/>
              <w:right w:val="nil"/>
            </w:tcBorders>
            <w:shd w:val="clear" w:color="auto" w:fill="auto"/>
            <w:noWrap/>
            <w:vAlign w:val="center"/>
            <w:hideMark/>
          </w:tcPr>
          <w:p w14:paraId="2AABD56C" w14:textId="77777777" w:rsidR="00AE536D" w:rsidRPr="009361EA" w:rsidRDefault="00AE536D" w:rsidP="00B849AD">
            <w:pPr>
              <w:jc w:val="center"/>
              <w:rPr>
                <w:sz w:val="22"/>
                <w:szCs w:val="22"/>
                <w:lang w:val="en-US"/>
              </w:rPr>
            </w:pPr>
            <w:r w:rsidRPr="009361EA">
              <w:rPr>
                <w:sz w:val="22"/>
                <w:szCs w:val="22"/>
                <w:lang w:val="en-US"/>
              </w:rPr>
              <w:t>59% (26%)</w:t>
            </w:r>
          </w:p>
        </w:tc>
        <w:tc>
          <w:tcPr>
            <w:tcW w:w="1200" w:type="dxa"/>
            <w:tcBorders>
              <w:top w:val="single" w:sz="4" w:space="0" w:color="auto"/>
              <w:left w:val="nil"/>
              <w:bottom w:val="nil"/>
              <w:right w:val="nil"/>
            </w:tcBorders>
            <w:shd w:val="clear" w:color="auto" w:fill="auto"/>
            <w:noWrap/>
            <w:vAlign w:val="center"/>
            <w:hideMark/>
          </w:tcPr>
          <w:p w14:paraId="1D275F96" w14:textId="77777777" w:rsidR="00AE536D" w:rsidRPr="009361EA" w:rsidRDefault="00AE536D" w:rsidP="00B849AD">
            <w:pPr>
              <w:jc w:val="center"/>
              <w:rPr>
                <w:sz w:val="22"/>
                <w:szCs w:val="22"/>
                <w:lang w:val="en-US"/>
              </w:rPr>
            </w:pPr>
            <w:r w:rsidRPr="009361EA">
              <w:rPr>
                <w:sz w:val="22"/>
                <w:szCs w:val="22"/>
                <w:lang w:val="en-US"/>
              </w:rPr>
              <w:t>22%</w:t>
            </w:r>
          </w:p>
        </w:tc>
        <w:tc>
          <w:tcPr>
            <w:tcW w:w="960" w:type="dxa"/>
            <w:tcBorders>
              <w:top w:val="single" w:sz="4" w:space="0" w:color="auto"/>
              <w:left w:val="nil"/>
              <w:bottom w:val="nil"/>
              <w:right w:val="nil"/>
            </w:tcBorders>
            <w:shd w:val="clear" w:color="auto" w:fill="auto"/>
            <w:noWrap/>
            <w:vAlign w:val="center"/>
            <w:hideMark/>
          </w:tcPr>
          <w:p w14:paraId="0A8ABEAF" w14:textId="77777777" w:rsidR="00AE536D" w:rsidRPr="009361EA" w:rsidRDefault="00AE536D" w:rsidP="00B849AD">
            <w:pPr>
              <w:jc w:val="center"/>
              <w:rPr>
                <w:sz w:val="22"/>
                <w:szCs w:val="22"/>
                <w:lang w:val="en-US"/>
              </w:rPr>
            </w:pPr>
            <w:r w:rsidRPr="009361EA">
              <w:rPr>
                <w:sz w:val="22"/>
                <w:szCs w:val="22"/>
                <w:lang w:val="en-US"/>
              </w:rPr>
              <w:t>13%</w:t>
            </w:r>
          </w:p>
        </w:tc>
        <w:tc>
          <w:tcPr>
            <w:tcW w:w="700" w:type="dxa"/>
            <w:tcBorders>
              <w:top w:val="single" w:sz="4" w:space="0" w:color="auto"/>
              <w:left w:val="nil"/>
              <w:bottom w:val="nil"/>
              <w:right w:val="nil"/>
            </w:tcBorders>
            <w:shd w:val="clear" w:color="auto" w:fill="auto"/>
            <w:noWrap/>
            <w:vAlign w:val="center"/>
            <w:hideMark/>
          </w:tcPr>
          <w:p w14:paraId="07C1F41A" w14:textId="77777777" w:rsidR="00AE536D" w:rsidRPr="009361EA" w:rsidRDefault="00AE536D" w:rsidP="00B849AD">
            <w:pPr>
              <w:jc w:val="center"/>
              <w:rPr>
                <w:sz w:val="22"/>
                <w:szCs w:val="22"/>
                <w:lang w:val="en-US"/>
              </w:rPr>
            </w:pPr>
            <w:r w:rsidRPr="009361EA">
              <w:rPr>
                <w:sz w:val="22"/>
                <w:szCs w:val="22"/>
                <w:lang w:val="en-US"/>
              </w:rPr>
              <w:t>17</w:t>
            </w:r>
          </w:p>
        </w:tc>
        <w:tc>
          <w:tcPr>
            <w:tcW w:w="960" w:type="dxa"/>
            <w:tcBorders>
              <w:top w:val="single" w:sz="4" w:space="0" w:color="auto"/>
              <w:left w:val="nil"/>
              <w:bottom w:val="nil"/>
              <w:right w:val="nil"/>
            </w:tcBorders>
            <w:shd w:val="clear" w:color="auto" w:fill="auto"/>
            <w:noWrap/>
            <w:vAlign w:val="center"/>
            <w:hideMark/>
          </w:tcPr>
          <w:p w14:paraId="36BE4996" w14:textId="77777777" w:rsidR="00AE536D" w:rsidRPr="009361EA" w:rsidRDefault="00AE536D" w:rsidP="00B849AD">
            <w:pPr>
              <w:jc w:val="center"/>
              <w:rPr>
                <w:sz w:val="22"/>
                <w:szCs w:val="22"/>
                <w:lang w:val="en-US"/>
              </w:rPr>
            </w:pPr>
            <w:r w:rsidRPr="009361EA">
              <w:rPr>
                <w:sz w:val="22"/>
                <w:szCs w:val="22"/>
                <w:lang w:val="en-US"/>
              </w:rPr>
              <w:t>31</w:t>
            </w:r>
          </w:p>
        </w:tc>
        <w:tc>
          <w:tcPr>
            <w:tcW w:w="960" w:type="dxa"/>
            <w:tcBorders>
              <w:top w:val="single" w:sz="4" w:space="0" w:color="auto"/>
              <w:left w:val="nil"/>
              <w:bottom w:val="nil"/>
              <w:right w:val="nil"/>
            </w:tcBorders>
            <w:shd w:val="clear" w:color="auto" w:fill="auto"/>
            <w:noWrap/>
            <w:vAlign w:val="center"/>
            <w:hideMark/>
          </w:tcPr>
          <w:p w14:paraId="3D19C58D" w14:textId="77777777" w:rsidR="00AE536D" w:rsidRPr="009361EA" w:rsidRDefault="00AE536D" w:rsidP="00B849AD">
            <w:pPr>
              <w:jc w:val="center"/>
              <w:rPr>
                <w:sz w:val="22"/>
                <w:szCs w:val="22"/>
                <w:lang w:val="en-US"/>
              </w:rPr>
            </w:pPr>
            <w:r w:rsidRPr="009361EA">
              <w:rPr>
                <w:sz w:val="22"/>
                <w:szCs w:val="22"/>
                <w:lang w:val="en-US"/>
              </w:rPr>
              <w:t>10</w:t>
            </w:r>
          </w:p>
        </w:tc>
        <w:tc>
          <w:tcPr>
            <w:tcW w:w="960" w:type="dxa"/>
            <w:tcBorders>
              <w:top w:val="single" w:sz="4" w:space="0" w:color="auto"/>
              <w:left w:val="nil"/>
              <w:bottom w:val="nil"/>
              <w:right w:val="nil"/>
            </w:tcBorders>
          </w:tcPr>
          <w:p w14:paraId="20BC85B2" w14:textId="77777777" w:rsidR="00AE536D" w:rsidRPr="009361EA" w:rsidRDefault="00AE536D"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YuW1VGVB","properties":{"formattedCitation":"[37]","plainCitation":"[37]","noteIndex":0},"citationItems":[{"id":880,"uris":["http://zotero.org/users/5217225/items/YNW6ZQGK"],"uri":["http://zotero.org/users/5217225/items/YNW6ZQGK"],"itemData":{"id":880,"type":"article-journal","abstract":"Eucalyptus wood powder was first subjected to hydrothermal pretreatment in a high-pressure reactor at 160–190°C, and subsequently fast pyrolyzed in a fluidized bed reactor at 500°C to obtain high quality bio-oil. This study focused on investigating effect of hydrothermal pretreatment on bio-oil properties. Hemicellulose and some metals were effectively removed from eucalyptus wood, while cellulose content was enhanced. No significant charring and carbonization of constituents was observed during hydrothermal pretreatment. Thus pretreated eucalyptus wood gave higher bio-oil yield than original eucalyptus wood. Chemical composition of bio-oil was examined by GC/MS and 13C NMR analyses. Bio-oil produced from pretreated eucalyptus wood exhibited lower contents of ketones and acids, while much higher levoglucosan content than bio-oil produced from original eucalyptus wood, which would help to improve thermal stability of bio-oil and extract levoglucosan from bio-oil. Hydrothermal pretreatment also improved bio-oil fuel quality through lowering water content and enhancing heating value.","container-title":"Bioresource Technology","DOI":"10.1016/j.biortech.2013.03.170","ISSN":"0960-8524","journalAbbreviation":"Bioresource Technology","language":"en","page":"321-328","source":"ScienceDirect","title":"Effect of hydrothermal pretreatment on properties of bio-oil produced from fast pyrolysis of eucalyptus wood in a fluidized bed reactor","volume":"138","author":[{"family":"Chang","given":"Sheng"},{"family":"Zhao","given":"Zengli"},{"family":"Zheng","given":"Anqing"},{"family":"Li","given":"Xiaoming"},{"family":"Wang","given":"Xiaobo"},{"family":"Huang","given":"Zhen"},{"family":"He","given":"Fang"},{"family":"Li","given":"Haibin"}],"issued":{"date-parts":[["2013",6,1]]}}}],"schema":"https://github.com/citation-style-language/schema/raw/master/csl-citation.json"} </w:instrText>
            </w:r>
            <w:r w:rsidRPr="009361EA">
              <w:rPr>
                <w:sz w:val="22"/>
                <w:szCs w:val="22"/>
                <w:lang w:val="en-US"/>
              </w:rPr>
              <w:fldChar w:fldCharType="separate"/>
            </w:r>
            <w:r w:rsidRPr="00DE1CA2">
              <w:rPr>
                <w:sz w:val="22"/>
              </w:rPr>
              <w:t>[37]</w:t>
            </w:r>
            <w:r w:rsidRPr="009361EA">
              <w:rPr>
                <w:sz w:val="22"/>
                <w:szCs w:val="22"/>
                <w:lang w:val="en-US"/>
              </w:rPr>
              <w:fldChar w:fldCharType="end"/>
            </w:r>
          </w:p>
        </w:tc>
      </w:tr>
      <w:tr w:rsidR="00AE536D" w:rsidRPr="009361EA" w14:paraId="28FDAE9F"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6FD52CBA" w14:textId="77777777" w:rsidR="00AE536D" w:rsidRPr="009361EA" w:rsidRDefault="00AE536D" w:rsidP="00B849AD">
            <w:pPr>
              <w:autoSpaceDE/>
              <w:autoSpaceDN/>
              <w:jc w:val="left"/>
              <w:rPr>
                <w:sz w:val="22"/>
                <w:szCs w:val="22"/>
                <w:lang w:val="en-US" w:eastAsia="pt-BR"/>
              </w:rPr>
            </w:pPr>
            <w:r w:rsidRPr="009361EA">
              <w:rPr>
                <w:sz w:val="22"/>
                <w:szCs w:val="22"/>
                <w:lang w:val="en-US"/>
              </w:rPr>
              <w:t>Pine</w:t>
            </w:r>
          </w:p>
        </w:tc>
        <w:tc>
          <w:tcPr>
            <w:tcW w:w="1065" w:type="dxa"/>
            <w:tcBorders>
              <w:top w:val="nil"/>
              <w:left w:val="nil"/>
              <w:bottom w:val="nil"/>
              <w:right w:val="nil"/>
            </w:tcBorders>
            <w:shd w:val="clear" w:color="auto" w:fill="auto"/>
            <w:noWrap/>
            <w:vAlign w:val="center"/>
            <w:hideMark/>
          </w:tcPr>
          <w:p w14:paraId="6021D6AD" w14:textId="77777777" w:rsidR="00AE536D" w:rsidRPr="009361EA" w:rsidRDefault="00AE536D" w:rsidP="00B849AD">
            <w:pPr>
              <w:rPr>
                <w:sz w:val="22"/>
                <w:szCs w:val="22"/>
                <w:lang w:val="en-US"/>
              </w:rPr>
            </w:pPr>
            <w:r w:rsidRPr="009361EA">
              <w:rPr>
                <w:sz w:val="22"/>
                <w:szCs w:val="22"/>
                <w:lang w:val="en-US"/>
              </w:rPr>
              <w:t>520</w:t>
            </w:r>
          </w:p>
        </w:tc>
        <w:tc>
          <w:tcPr>
            <w:tcW w:w="1195" w:type="dxa"/>
            <w:tcBorders>
              <w:top w:val="nil"/>
              <w:left w:val="nil"/>
              <w:bottom w:val="nil"/>
              <w:right w:val="nil"/>
            </w:tcBorders>
            <w:shd w:val="clear" w:color="auto" w:fill="auto"/>
            <w:noWrap/>
            <w:vAlign w:val="center"/>
            <w:hideMark/>
          </w:tcPr>
          <w:p w14:paraId="0D359579" w14:textId="77777777" w:rsidR="00AE536D" w:rsidRPr="009361EA" w:rsidRDefault="00AE536D" w:rsidP="00B849AD">
            <w:pPr>
              <w:jc w:val="center"/>
              <w:rPr>
                <w:sz w:val="22"/>
                <w:szCs w:val="22"/>
                <w:lang w:val="en-US"/>
              </w:rPr>
            </w:pPr>
            <w:r w:rsidRPr="009361EA">
              <w:rPr>
                <w:sz w:val="22"/>
                <w:szCs w:val="22"/>
                <w:lang w:val="en-US"/>
              </w:rPr>
              <w:t>64% (24%)</w:t>
            </w:r>
          </w:p>
        </w:tc>
        <w:tc>
          <w:tcPr>
            <w:tcW w:w="1200" w:type="dxa"/>
            <w:tcBorders>
              <w:top w:val="nil"/>
              <w:left w:val="nil"/>
              <w:bottom w:val="nil"/>
              <w:right w:val="nil"/>
            </w:tcBorders>
            <w:shd w:val="clear" w:color="auto" w:fill="auto"/>
            <w:noWrap/>
            <w:vAlign w:val="center"/>
            <w:hideMark/>
          </w:tcPr>
          <w:p w14:paraId="5BB408A4" w14:textId="77777777" w:rsidR="00AE536D" w:rsidRPr="009361EA" w:rsidRDefault="00AE536D" w:rsidP="00B849AD">
            <w:pPr>
              <w:jc w:val="center"/>
              <w:rPr>
                <w:sz w:val="22"/>
                <w:szCs w:val="22"/>
                <w:lang w:val="en-US"/>
              </w:rPr>
            </w:pPr>
            <w:r w:rsidRPr="009361EA">
              <w:rPr>
                <w:sz w:val="22"/>
                <w:szCs w:val="22"/>
                <w:lang w:val="en-US"/>
              </w:rPr>
              <w:t>17%</w:t>
            </w:r>
          </w:p>
        </w:tc>
        <w:tc>
          <w:tcPr>
            <w:tcW w:w="960" w:type="dxa"/>
            <w:tcBorders>
              <w:top w:val="nil"/>
              <w:left w:val="nil"/>
              <w:bottom w:val="nil"/>
              <w:right w:val="nil"/>
            </w:tcBorders>
            <w:shd w:val="clear" w:color="auto" w:fill="auto"/>
            <w:noWrap/>
            <w:vAlign w:val="center"/>
            <w:hideMark/>
          </w:tcPr>
          <w:p w14:paraId="24BC5292" w14:textId="77777777" w:rsidR="00AE536D" w:rsidRPr="009361EA" w:rsidRDefault="00AE536D" w:rsidP="00B849AD">
            <w:pPr>
              <w:jc w:val="center"/>
              <w:rPr>
                <w:sz w:val="22"/>
                <w:szCs w:val="22"/>
                <w:lang w:val="en-US"/>
              </w:rPr>
            </w:pPr>
            <w:r w:rsidRPr="009361EA">
              <w:rPr>
                <w:sz w:val="22"/>
                <w:szCs w:val="22"/>
                <w:lang w:val="en-US"/>
              </w:rPr>
              <w:t>18%</w:t>
            </w:r>
          </w:p>
        </w:tc>
        <w:tc>
          <w:tcPr>
            <w:tcW w:w="700" w:type="dxa"/>
            <w:tcBorders>
              <w:top w:val="nil"/>
              <w:left w:val="nil"/>
              <w:bottom w:val="nil"/>
              <w:right w:val="nil"/>
            </w:tcBorders>
            <w:shd w:val="clear" w:color="auto" w:fill="auto"/>
            <w:noWrap/>
            <w:vAlign w:val="center"/>
            <w:hideMark/>
          </w:tcPr>
          <w:p w14:paraId="67B88075" w14:textId="77777777" w:rsidR="00AE536D" w:rsidRPr="009361EA" w:rsidRDefault="00AE536D" w:rsidP="00B849AD">
            <w:pPr>
              <w:jc w:val="center"/>
              <w:rPr>
                <w:sz w:val="22"/>
                <w:szCs w:val="22"/>
                <w:lang w:val="en-US"/>
              </w:rPr>
            </w:pPr>
            <w:r w:rsidRPr="009361EA">
              <w:rPr>
                <w:sz w:val="22"/>
                <w:szCs w:val="22"/>
                <w:lang w:val="en-US"/>
              </w:rPr>
              <w:t>17</w:t>
            </w:r>
          </w:p>
        </w:tc>
        <w:tc>
          <w:tcPr>
            <w:tcW w:w="960" w:type="dxa"/>
            <w:tcBorders>
              <w:top w:val="nil"/>
              <w:left w:val="nil"/>
              <w:bottom w:val="nil"/>
              <w:right w:val="nil"/>
            </w:tcBorders>
            <w:shd w:val="clear" w:color="auto" w:fill="auto"/>
            <w:noWrap/>
            <w:vAlign w:val="center"/>
            <w:hideMark/>
          </w:tcPr>
          <w:p w14:paraId="2C24E50B" w14:textId="77777777" w:rsidR="00AE536D" w:rsidRPr="009361EA" w:rsidRDefault="00AE536D" w:rsidP="00B849AD">
            <w:pPr>
              <w:jc w:val="center"/>
              <w:rPr>
                <w:sz w:val="22"/>
                <w:szCs w:val="22"/>
                <w:lang w:val="en-US"/>
              </w:rPr>
            </w:pPr>
            <w:r w:rsidRPr="009361EA">
              <w:rPr>
                <w:sz w:val="22"/>
                <w:szCs w:val="22"/>
                <w:lang w:val="en-US"/>
              </w:rPr>
              <w:t>27</w:t>
            </w:r>
          </w:p>
        </w:tc>
        <w:tc>
          <w:tcPr>
            <w:tcW w:w="960" w:type="dxa"/>
            <w:tcBorders>
              <w:top w:val="nil"/>
              <w:left w:val="nil"/>
              <w:bottom w:val="nil"/>
              <w:right w:val="nil"/>
            </w:tcBorders>
            <w:shd w:val="clear" w:color="auto" w:fill="auto"/>
            <w:noWrap/>
            <w:vAlign w:val="center"/>
            <w:hideMark/>
          </w:tcPr>
          <w:p w14:paraId="1E7396FD" w14:textId="77777777" w:rsidR="00AE536D" w:rsidRPr="009361EA" w:rsidRDefault="00AE536D" w:rsidP="00B849AD">
            <w:pPr>
              <w:jc w:val="center"/>
              <w:rPr>
                <w:sz w:val="22"/>
                <w:szCs w:val="22"/>
                <w:lang w:val="en-US"/>
              </w:rPr>
            </w:pPr>
            <w:r w:rsidRPr="009361EA">
              <w:rPr>
                <w:sz w:val="22"/>
                <w:szCs w:val="22"/>
                <w:lang w:val="en-US"/>
              </w:rPr>
              <w:t>10</w:t>
            </w:r>
          </w:p>
        </w:tc>
        <w:tc>
          <w:tcPr>
            <w:tcW w:w="960" w:type="dxa"/>
            <w:tcBorders>
              <w:top w:val="nil"/>
              <w:left w:val="nil"/>
              <w:bottom w:val="nil"/>
              <w:right w:val="nil"/>
            </w:tcBorders>
          </w:tcPr>
          <w:p w14:paraId="53742008" w14:textId="77777777" w:rsidR="00AE536D" w:rsidRPr="009361EA" w:rsidRDefault="00AE536D"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tSgZOohz","properties":{"formattedCitation":"[24]","plainCitation":"[24]","noteIndex":0},"citationItems":[{"id":883,"uris":["http://zotero.org/users/5217225/items/VAAT6VRZ"],"uri":["http://zotero.org/users/5217225/items/VAAT6VRZ"],"itemData":{"id":883,"type":"report","abstract":"The U.S. Department of Energy's Office of Scientific and Technical Information","language":"English","note":"DOI: 10.2172/1227072","number":"PNNL-23591","publisher":"Pacific Northwest National Lab. (PNNL), Richland, WA (United States)","source":"www.osti.gov","title":"Low-Severity Hydroprocessing to Stabilize Bio-oil: TechnoEconomic Assessment","title-short":"Low-Severity Hydroprocessing to Stabilize Bio-oil","URL":"https://www.osti.gov/biblio/1227072-low-severity-hydroprocessing-stabilize-bio-oil-technoeconomic-assessment","author":[{"family":"Tews","given":"Iva J."},{"family":"Elliott","given":"Douglas C."}],"accessed":{"date-parts":[["2020",4,15]]},"issued":{"date-parts":[["2014",8,31]]}}}],"schema":"https://github.com/citation-style-language/schema/raw/master/csl-citation.json"} </w:instrText>
            </w:r>
            <w:r w:rsidRPr="009361EA">
              <w:rPr>
                <w:sz w:val="22"/>
                <w:szCs w:val="22"/>
                <w:lang w:val="en-US"/>
              </w:rPr>
              <w:fldChar w:fldCharType="separate"/>
            </w:r>
            <w:r w:rsidRPr="00DE1CA2">
              <w:rPr>
                <w:sz w:val="22"/>
              </w:rPr>
              <w:t>[24]</w:t>
            </w:r>
            <w:r w:rsidRPr="009361EA">
              <w:rPr>
                <w:sz w:val="22"/>
                <w:szCs w:val="22"/>
                <w:lang w:val="en-US"/>
              </w:rPr>
              <w:fldChar w:fldCharType="end"/>
            </w:r>
          </w:p>
        </w:tc>
      </w:tr>
      <w:tr w:rsidR="00AE536D" w:rsidRPr="009361EA" w14:paraId="66142354"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2720C9D4" w14:textId="77777777" w:rsidR="00AE536D" w:rsidRPr="009361EA" w:rsidRDefault="00AE536D" w:rsidP="00B849AD">
            <w:pPr>
              <w:autoSpaceDE/>
              <w:autoSpaceDN/>
              <w:jc w:val="left"/>
              <w:rPr>
                <w:sz w:val="22"/>
                <w:szCs w:val="22"/>
                <w:lang w:val="en-US" w:eastAsia="pt-BR"/>
              </w:rPr>
            </w:pPr>
            <w:r w:rsidRPr="009361EA">
              <w:rPr>
                <w:sz w:val="22"/>
                <w:szCs w:val="22"/>
                <w:lang w:val="en-US"/>
              </w:rPr>
              <w:t>Corn</w:t>
            </w:r>
          </w:p>
        </w:tc>
        <w:tc>
          <w:tcPr>
            <w:tcW w:w="1065" w:type="dxa"/>
            <w:tcBorders>
              <w:top w:val="nil"/>
              <w:left w:val="nil"/>
              <w:bottom w:val="nil"/>
              <w:right w:val="nil"/>
            </w:tcBorders>
            <w:shd w:val="clear" w:color="auto" w:fill="auto"/>
            <w:noWrap/>
            <w:vAlign w:val="center"/>
            <w:hideMark/>
          </w:tcPr>
          <w:p w14:paraId="2FEB891B" w14:textId="77777777" w:rsidR="00AE536D" w:rsidRPr="009361EA" w:rsidRDefault="00AE536D" w:rsidP="00B849AD">
            <w:pPr>
              <w:rPr>
                <w:sz w:val="22"/>
                <w:szCs w:val="22"/>
                <w:lang w:val="en-US"/>
              </w:rPr>
            </w:pPr>
            <w:r w:rsidRPr="009361EA">
              <w:rPr>
                <w:sz w:val="22"/>
                <w:szCs w:val="22"/>
                <w:lang w:val="en-US"/>
              </w:rPr>
              <w:t>500</w:t>
            </w:r>
          </w:p>
        </w:tc>
        <w:tc>
          <w:tcPr>
            <w:tcW w:w="1195" w:type="dxa"/>
            <w:tcBorders>
              <w:top w:val="nil"/>
              <w:left w:val="nil"/>
              <w:bottom w:val="nil"/>
              <w:right w:val="nil"/>
            </w:tcBorders>
            <w:shd w:val="clear" w:color="auto" w:fill="auto"/>
            <w:noWrap/>
            <w:vAlign w:val="center"/>
            <w:hideMark/>
          </w:tcPr>
          <w:p w14:paraId="79F7A866" w14:textId="77777777" w:rsidR="00AE536D" w:rsidRPr="009361EA" w:rsidRDefault="00AE536D" w:rsidP="00B849AD">
            <w:pPr>
              <w:jc w:val="center"/>
              <w:rPr>
                <w:sz w:val="22"/>
                <w:szCs w:val="22"/>
                <w:lang w:val="en-US"/>
              </w:rPr>
            </w:pPr>
            <w:r w:rsidRPr="009361EA">
              <w:rPr>
                <w:sz w:val="22"/>
                <w:szCs w:val="22"/>
                <w:lang w:val="en-US"/>
              </w:rPr>
              <w:t>65% (9%)</w:t>
            </w:r>
          </w:p>
        </w:tc>
        <w:tc>
          <w:tcPr>
            <w:tcW w:w="1200" w:type="dxa"/>
            <w:tcBorders>
              <w:top w:val="nil"/>
              <w:left w:val="nil"/>
              <w:bottom w:val="nil"/>
              <w:right w:val="nil"/>
            </w:tcBorders>
            <w:shd w:val="clear" w:color="auto" w:fill="auto"/>
            <w:noWrap/>
            <w:vAlign w:val="center"/>
            <w:hideMark/>
          </w:tcPr>
          <w:p w14:paraId="2D0437DC" w14:textId="77777777" w:rsidR="00AE536D" w:rsidRPr="009361EA" w:rsidRDefault="00AE536D" w:rsidP="00B849AD">
            <w:pPr>
              <w:jc w:val="center"/>
              <w:rPr>
                <w:sz w:val="22"/>
                <w:szCs w:val="22"/>
                <w:lang w:val="en-US"/>
              </w:rPr>
            </w:pPr>
            <w:r w:rsidRPr="009361EA">
              <w:rPr>
                <w:sz w:val="22"/>
                <w:szCs w:val="22"/>
                <w:lang w:val="en-US"/>
              </w:rPr>
              <w:t>17%</w:t>
            </w:r>
          </w:p>
        </w:tc>
        <w:tc>
          <w:tcPr>
            <w:tcW w:w="960" w:type="dxa"/>
            <w:tcBorders>
              <w:top w:val="nil"/>
              <w:left w:val="nil"/>
              <w:bottom w:val="nil"/>
              <w:right w:val="nil"/>
            </w:tcBorders>
            <w:shd w:val="clear" w:color="auto" w:fill="auto"/>
            <w:noWrap/>
            <w:vAlign w:val="center"/>
            <w:hideMark/>
          </w:tcPr>
          <w:p w14:paraId="15DFAE7E" w14:textId="77777777" w:rsidR="00AE536D" w:rsidRPr="009361EA" w:rsidRDefault="00AE536D" w:rsidP="00B849AD">
            <w:pPr>
              <w:jc w:val="center"/>
              <w:rPr>
                <w:sz w:val="22"/>
                <w:szCs w:val="22"/>
                <w:lang w:val="en-US"/>
              </w:rPr>
            </w:pPr>
            <w:r w:rsidRPr="009361EA">
              <w:rPr>
                <w:sz w:val="22"/>
                <w:szCs w:val="22"/>
                <w:lang w:val="en-US"/>
              </w:rPr>
              <w:t>21%</w:t>
            </w:r>
          </w:p>
        </w:tc>
        <w:tc>
          <w:tcPr>
            <w:tcW w:w="700" w:type="dxa"/>
            <w:tcBorders>
              <w:top w:val="nil"/>
              <w:left w:val="nil"/>
              <w:bottom w:val="nil"/>
              <w:right w:val="nil"/>
            </w:tcBorders>
            <w:shd w:val="clear" w:color="auto" w:fill="auto"/>
            <w:noWrap/>
            <w:vAlign w:val="center"/>
            <w:hideMark/>
          </w:tcPr>
          <w:p w14:paraId="4135DAC2" w14:textId="77777777" w:rsidR="00AE536D" w:rsidRPr="009361EA" w:rsidRDefault="00AE536D" w:rsidP="00B849AD">
            <w:pPr>
              <w:jc w:val="center"/>
              <w:rPr>
                <w:sz w:val="22"/>
                <w:szCs w:val="22"/>
                <w:lang w:val="en-US"/>
              </w:rPr>
            </w:pPr>
            <w:r w:rsidRPr="009361EA">
              <w:rPr>
                <w:sz w:val="22"/>
                <w:szCs w:val="22"/>
                <w:lang w:val="en-US"/>
              </w:rPr>
              <w:t>22</w:t>
            </w:r>
          </w:p>
        </w:tc>
        <w:tc>
          <w:tcPr>
            <w:tcW w:w="960" w:type="dxa"/>
            <w:tcBorders>
              <w:top w:val="nil"/>
              <w:left w:val="nil"/>
              <w:bottom w:val="nil"/>
              <w:right w:val="nil"/>
            </w:tcBorders>
            <w:shd w:val="clear" w:color="auto" w:fill="auto"/>
            <w:noWrap/>
            <w:vAlign w:val="center"/>
            <w:hideMark/>
          </w:tcPr>
          <w:p w14:paraId="4A162D27" w14:textId="77777777" w:rsidR="00AE536D" w:rsidRPr="009361EA" w:rsidRDefault="00AE536D" w:rsidP="00B849AD">
            <w:pPr>
              <w:jc w:val="center"/>
              <w:rPr>
                <w:sz w:val="22"/>
                <w:szCs w:val="22"/>
                <w:lang w:val="en-US"/>
              </w:rPr>
            </w:pPr>
            <w:r w:rsidRPr="009361EA">
              <w:rPr>
                <w:sz w:val="22"/>
                <w:szCs w:val="22"/>
                <w:lang w:val="en-US"/>
              </w:rPr>
              <w:t>22</w:t>
            </w:r>
          </w:p>
        </w:tc>
        <w:tc>
          <w:tcPr>
            <w:tcW w:w="960" w:type="dxa"/>
            <w:tcBorders>
              <w:top w:val="nil"/>
              <w:left w:val="nil"/>
              <w:bottom w:val="nil"/>
              <w:right w:val="nil"/>
            </w:tcBorders>
            <w:shd w:val="clear" w:color="auto" w:fill="auto"/>
            <w:noWrap/>
            <w:vAlign w:val="center"/>
            <w:hideMark/>
          </w:tcPr>
          <w:p w14:paraId="4FCF017E" w14:textId="77777777" w:rsidR="00AE536D" w:rsidRPr="009361EA" w:rsidRDefault="00AE536D" w:rsidP="00B849AD">
            <w:pPr>
              <w:jc w:val="center"/>
              <w:rPr>
                <w:sz w:val="22"/>
                <w:szCs w:val="22"/>
                <w:lang w:val="en-US"/>
              </w:rPr>
            </w:pPr>
            <w:r w:rsidRPr="009361EA">
              <w:rPr>
                <w:sz w:val="22"/>
                <w:szCs w:val="22"/>
                <w:lang w:val="en-US"/>
              </w:rPr>
              <w:t>6</w:t>
            </w:r>
          </w:p>
        </w:tc>
        <w:tc>
          <w:tcPr>
            <w:tcW w:w="960" w:type="dxa"/>
            <w:tcBorders>
              <w:top w:val="nil"/>
              <w:left w:val="nil"/>
              <w:bottom w:val="nil"/>
              <w:right w:val="nil"/>
            </w:tcBorders>
          </w:tcPr>
          <w:p w14:paraId="53790DD2" w14:textId="77777777" w:rsidR="00AE536D" w:rsidRPr="009361EA" w:rsidRDefault="00AE536D"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QeqK2d7d","properties":{"formattedCitation":"[38]","plainCitation":"[38]","noteIndex":0},"citationItems":[{"id":908,"uris":["http://zotero.org/users/5217225/items/ZFCJBJZH"],"uri":["http://zotero.org/users/5217225/items/ZFCJBJZH"],"itemData":{"id":908,"type":"article-journal","abstract":"Bio-oil and bio-char were produced from corn cobs and corn stover (stalks, leaves and husks) by fast pyrolysis using a pilot scale fluidized bed reactor. Yields of 60% (mass/mass) bio-oil (high heating values are </w:instrText>
            </w:r>
            <w:r>
              <w:rPr>
                <w:rFonts w:ascii="Cambria Math" w:hAnsi="Cambria Math" w:cs="Cambria Math"/>
                <w:sz w:val="22"/>
                <w:szCs w:val="22"/>
                <w:lang w:val="en-US"/>
              </w:rPr>
              <w:instrText>∼</w:instrText>
            </w:r>
            <w:r>
              <w:rPr>
                <w:sz w:val="22"/>
                <w:szCs w:val="22"/>
                <w:lang w:val="en-US"/>
              </w:rPr>
              <w:instrText xml:space="preserve">20MJkg−1, and densities &gt;1.0Mgm−3) were realized from both corn cobs and from corn stover. The high energy density of bio-oil, </w:instrText>
            </w:r>
            <w:r>
              <w:rPr>
                <w:rFonts w:ascii="Cambria Math" w:hAnsi="Cambria Math" w:cs="Cambria Math"/>
                <w:sz w:val="22"/>
                <w:szCs w:val="22"/>
                <w:lang w:val="en-US"/>
              </w:rPr>
              <w:instrText>∼</w:instrText>
            </w:r>
            <w:r>
              <w:rPr>
                <w:sz w:val="22"/>
                <w:szCs w:val="22"/>
                <w:lang w:val="en-US"/>
              </w:rPr>
              <w:instrText xml:space="preserve">20–32 times on a per unit volume basis over the raw corn residues, offers potentially significant savings in transportation costs particularly for a distributed “farm scale” bio-refinery system. Bio-char yield was 18.9% and 17.0% (mass/mass) from corn cobs and corn stover, respectively. Deploying the bio-char co-product, which contains most of the nutrient minerals from the corn residues, as well as a significant amount of carbon, to the land can enhance soil quality, sequester carbon, and alleviate environmental problems associated with removal of crop residues from fields.","container-title":"Biomass and Bioenergy","DOI":"10.1016/j.biombioe.2009.09.012","ISSN":"0961-9534","issue":"1","journalAbbreviation":"Biomass and Bioenergy","language":"en","page":"67-74","source":"ScienceDirect","title":"Bio-oil and bio-char production from corn cobs and stover by fast pyrolysis","volume":"34","author":[{"family":"Mullen","given":"Charles A."},{"family":"Boateng","given":"Akwasi A."},{"family":"Goldberg","given":"Neil M."},{"family":"Lima","given":"Isabel M."},{"family":"Laird","given":"David A."},{"family":"Hicks","given":"Kevin B."}],"issued":{"date-parts":[["2010",1,1]]}}}],"schema":"https://github.com/citation-style-language/schema/raw/master/csl-citation.json"} </w:instrText>
            </w:r>
            <w:r w:rsidRPr="009361EA">
              <w:rPr>
                <w:sz w:val="22"/>
                <w:szCs w:val="22"/>
                <w:lang w:val="en-US"/>
              </w:rPr>
              <w:fldChar w:fldCharType="separate"/>
            </w:r>
            <w:r w:rsidRPr="00DE1CA2">
              <w:rPr>
                <w:sz w:val="22"/>
              </w:rPr>
              <w:t>[38]</w:t>
            </w:r>
            <w:r w:rsidRPr="009361EA">
              <w:rPr>
                <w:sz w:val="22"/>
                <w:szCs w:val="22"/>
                <w:lang w:val="en-US"/>
              </w:rPr>
              <w:fldChar w:fldCharType="end"/>
            </w:r>
          </w:p>
        </w:tc>
      </w:tr>
      <w:tr w:rsidR="00AE536D" w:rsidRPr="009361EA" w14:paraId="70713298"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2D9C38E4" w14:textId="77777777" w:rsidR="00AE536D" w:rsidRPr="009361EA" w:rsidRDefault="00AE536D" w:rsidP="00B849AD">
            <w:pPr>
              <w:autoSpaceDE/>
              <w:autoSpaceDN/>
              <w:jc w:val="left"/>
              <w:rPr>
                <w:sz w:val="22"/>
                <w:szCs w:val="22"/>
                <w:lang w:val="en-US" w:eastAsia="pt-BR"/>
              </w:rPr>
            </w:pPr>
            <w:r w:rsidRPr="009361EA">
              <w:rPr>
                <w:sz w:val="22"/>
                <w:szCs w:val="22"/>
                <w:lang w:val="en-US"/>
              </w:rPr>
              <w:t>Rice</w:t>
            </w:r>
          </w:p>
        </w:tc>
        <w:tc>
          <w:tcPr>
            <w:tcW w:w="1065" w:type="dxa"/>
            <w:tcBorders>
              <w:top w:val="nil"/>
              <w:left w:val="nil"/>
              <w:bottom w:val="nil"/>
              <w:right w:val="nil"/>
            </w:tcBorders>
            <w:shd w:val="clear" w:color="auto" w:fill="auto"/>
            <w:noWrap/>
            <w:vAlign w:val="center"/>
            <w:hideMark/>
          </w:tcPr>
          <w:p w14:paraId="5D3F4177" w14:textId="77777777" w:rsidR="00AE536D" w:rsidRPr="009361EA" w:rsidRDefault="00AE536D" w:rsidP="00B849AD">
            <w:pPr>
              <w:rPr>
                <w:sz w:val="22"/>
                <w:szCs w:val="22"/>
                <w:lang w:val="en-US"/>
              </w:rPr>
            </w:pPr>
            <w:r w:rsidRPr="009361EA">
              <w:rPr>
                <w:sz w:val="22"/>
                <w:szCs w:val="22"/>
                <w:lang w:val="en-US"/>
              </w:rPr>
              <w:t>491</w:t>
            </w:r>
          </w:p>
        </w:tc>
        <w:tc>
          <w:tcPr>
            <w:tcW w:w="1195" w:type="dxa"/>
            <w:tcBorders>
              <w:top w:val="nil"/>
              <w:left w:val="nil"/>
              <w:bottom w:val="nil"/>
              <w:right w:val="nil"/>
            </w:tcBorders>
            <w:shd w:val="clear" w:color="auto" w:fill="auto"/>
            <w:noWrap/>
            <w:vAlign w:val="center"/>
            <w:hideMark/>
          </w:tcPr>
          <w:p w14:paraId="5EBF6CBD" w14:textId="77777777" w:rsidR="00AE536D" w:rsidRPr="009361EA" w:rsidRDefault="00AE536D" w:rsidP="00B849AD">
            <w:pPr>
              <w:jc w:val="center"/>
              <w:rPr>
                <w:sz w:val="22"/>
                <w:szCs w:val="22"/>
                <w:lang w:val="en-US"/>
              </w:rPr>
            </w:pPr>
            <w:r w:rsidRPr="009361EA">
              <w:rPr>
                <w:sz w:val="22"/>
                <w:szCs w:val="22"/>
                <w:lang w:val="en-US"/>
              </w:rPr>
              <w:t>75% (25%)</w:t>
            </w:r>
          </w:p>
        </w:tc>
        <w:tc>
          <w:tcPr>
            <w:tcW w:w="1200" w:type="dxa"/>
            <w:tcBorders>
              <w:top w:val="nil"/>
              <w:left w:val="nil"/>
              <w:bottom w:val="nil"/>
              <w:right w:val="nil"/>
            </w:tcBorders>
            <w:shd w:val="clear" w:color="auto" w:fill="auto"/>
            <w:noWrap/>
            <w:vAlign w:val="center"/>
            <w:hideMark/>
          </w:tcPr>
          <w:p w14:paraId="70BB67D2" w14:textId="77777777" w:rsidR="00AE536D" w:rsidRPr="009361EA" w:rsidRDefault="00AE536D" w:rsidP="00B849AD">
            <w:pPr>
              <w:jc w:val="center"/>
              <w:rPr>
                <w:sz w:val="22"/>
                <w:szCs w:val="22"/>
                <w:lang w:val="en-US"/>
              </w:rPr>
            </w:pPr>
            <w:r w:rsidRPr="009361EA">
              <w:rPr>
                <w:sz w:val="22"/>
                <w:szCs w:val="22"/>
                <w:lang w:val="en-US"/>
              </w:rPr>
              <w:t>18%</w:t>
            </w:r>
          </w:p>
        </w:tc>
        <w:tc>
          <w:tcPr>
            <w:tcW w:w="960" w:type="dxa"/>
            <w:tcBorders>
              <w:top w:val="nil"/>
              <w:left w:val="nil"/>
              <w:bottom w:val="nil"/>
              <w:right w:val="nil"/>
            </w:tcBorders>
            <w:shd w:val="clear" w:color="auto" w:fill="auto"/>
            <w:noWrap/>
            <w:vAlign w:val="center"/>
            <w:hideMark/>
          </w:tcPr>
          <w:p w14:paraId="608AE956" w14:textId="77777777" w:rsidR="00AE536D" w:rsidRPr="009361EA" w:rsidRDefault="00AE536D" w:rsidP="00B849AD">
            <w:pPr>
              <w:jc w:val="center"/>
              <w:rPr>
                <w:sz w:val="22"/>
                <w:szCs w:val="22"/>
                <w:lang w:val="en-US"/>
              </w:rPr>
            </w:pPr>
            <w:r w:rsidRPr="009361EA">
              <w:rPr>
                <w:sz w:val="22"/>
                <w:szCs w:val="22"/>
                <w:lang w:val="en-US"/>
              </w:rPr>
              <w:t>17%</w:t>
            </w:r>
          </w:p>
        </w:tc>
        <w:tc>
          <w:tcPr>
            <w:tcW w:w="700" w:type="dxa"/>
            <w:tcBorders>
              <w:top w:val="nil"/>
              <w:left w:val="nil"/>
              <w:bottom w:val="nil"/>
              <w:right w:val="nil"/>
            </w:tcBorders>
            <w:shd w:val="clear" w:color="auto" w:fill="auto"/>
            <w:noWrap/>
            <w:vAlign w:val="center"/>
            <w:hideMark/>
          </w:tcPr>
          <w:p w14:paraId="4C26606F" w14:textId="77777777" w:rsidR="00AE536D" w:rsidRPr="009361EA" w:rsidRDefault="00AE536D" w:rsidP="00B849AD">
            <w:pPr>
              <w:jc w:val="center"/>
              <w:rPr>
                <w:sz w:val="22"/>
                <w:szCs w:val="22"/>
                <w:lang w:val="en-US"/>
              </w:rPr>
            </w:pPr>
            <w:r w:rsidRPr="009361EA">
              <w:rPr>
                <w:sz w:val="22"/>
                <w:szCs w:val="22"/>
                <w:lang w:val="en-US"/>
              </w:rPr>
              <w:t>19</w:t>
            </w:r>
          </w:p>
        </w:tc>
        <w:tc>
          <w:tcPr>
            <w:tcW w:w="960" w:type="dxa"/>
            <w:tcBorders>
              <w:top w:val="nil"/>
              <w:left w:val="nil"/>
              <w:bottom w:val="nil"/>
              <w:right w:val="nil"/>
            </w:tcBorders>
            <w:shd w:val="clear" w:color="auto" w:fill="auto"/>
            <w:noWrap/>
            <w:vAlign w:val="center"/>
            <w:hideMark/>
          </w:tcPr>
          <w:p w14:paraId="774E5425" w14:textId="77777777" w:rsidR="00AE536D" w:rsidRPr="009361EA" w:rsidRDefault="00AE536D" w:rsidP="00B849AD">
            <w:pPr>
              <w:jc w:val="center"/>
              <w:rPr>
                <w:sz w:val="22"/>
                <w:szCs w:val="22"/>
                <w:lang w:val="en-US"/>
              </w:rPr>
            </w:pPr>
            <w:r w:rsidRPr="009361EA">
              <w:rPr>
                <w:sz w:val="22"/>
                <w:szCs w:val="22"/>
                <w:lang w:val="en-US"/>
              </w:rPr>
              <w:t>22</w:t>
            </w:r>
          </w:p>
        </w:tc>
        <w:tc>
          <w:tcPr>
            <w:tcW w:w="960" w:type="dxa"/>
            <w:tcBorders>
              <w:top w:val="nil"/>
              <w:left w:val="nil"/>
              <w:bottom w:val="nil"/>
              <w:right w:val="nil"/>
            </w:tcBorders>
            <w:shd w:val="clear" w:color="auto" w:fill="auto"/>
            <w:noWrap/>
            <w:vAlign w:val="center"/>
            <w:hideMark/>
          </w:tcPr>
          <w:p w14:paraId="12FEF6C5" w14:textId="77777777" w:rsidR="00AE536D" w:rsidRPr="009361EA" w:rsidRDefault="00AE536D" w:rsidP="00B849AD">
            <w:pPr>
              <w:jc w:val="center"/>
              <w:rPr>
                <w:sz w:val="22"/>
                <w:szCs w:val="22"/>
                <w:lang w:val="en-US"/>
              </w:rPr>
            </w:pPr>
            <w:r w:rsidRPr="009361EA">
              <w:rPr>
                <w:sz w:val="22"/>
                <w:szCs w:val="22"/>
                <w:lang w:val="en-US"/>
              </w:rPr>
              <w:t>9</w:t>
            </w:r>
          </w:p>
        </w:tc>
        <w:tc>
          <w:tcPr>
            <w:tcW w:w="960" w:type="dxa"/>
            <w:tcBorders>
              <w:top w:val="nil"/>
              <w:left w:val="nil"/>
              <w:bottom w:val="nil"/>
              <w:right w:val="nil"/>
            </w:tcBorders>
          </w:tcPr>
          <w:p w14:paraId="5A4DA9A0" w14:textId="77777777" w:rsidR="00AE536D" w:rsidRPr="009361EA" w:rsidRDefault="00AE536D"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3lPQsHl2","properties":{"formattedCitation":"[39]","plainCitation":"[39]","noteIndex":0},"citationItems":[{"id":910,"uris":["http://zotero.org/users/5217225/items/SH6BY2G8"],"uri":["http://zotero.org/users/5217225/items/SH6BY2G8"],"itemData":{"id":910,"type":"article-journal","abstract":"Rice straw and bamboo sawdust were pyrolyzed in a bubbling fluidized bed equipped with a char separation system. The effects of the reaction conditions on the production of bio-oil, and the efficiency of a char removal system, were investigated. In each experiment, the mass balance was established and the products’ chemical and physical characteristics were examined. To elucidate how the reaction temperature affects the production of bio-oil, experiments were conducted at a temperature range of 415–540°C in the case of the rice straw and 350–510°C in the case of the bamboo sawdust. In addition, the influence of the feed size, the feed rate, and the kind of fluidizing medium on the production of bio-oil with each feed was investigated. The optimal reaction temperature for the production of bio-oil was between 440 and 500°C in the case of the rice straw and 405–450°C in the case of the bamboo sawdust. With respect to the bamboo sawdust, the maximum bio-oil yield was above 70wt.% of the product. In the study of the influence of the feed rate and the feed size on the production of bio-oil, a higher feed rate and a smaller feed size were found to be more effective in the production of bio-oil. Finally, the use of product gas as a fluidizing medium enhanced the production of bio-oil. The main compounds of bio-oil were phenolics, furfural, acetic acid, levoglucosan, guaiacol, and alkyl guaiacol. In addition, high-quality bio-oils, which contained low concentrations of alkali and alkaline earth metals, were produced due to the excellent performance of the char separation system.","container-title":"Journal of Analytical and Applied Pyrolysis","DOI":"10.1016/j.jaap.2008.04.001","ISSN":"0165-2370","issue":"2","journalAbbreviation":"Journal of Analytical and Applied Pyrolysis","language":"en","page":"240-247","source":"ScienceDirect","title":"Production of bio-oil from rice straw and bamboo sawdust under various reaction conditions in a fast pyrolysis plant equipped with a fluidized bed and a char separation system","volume":"82","author":[{"family":"Jung","given":"Su-Hwa"},{"family":"Kang","given":"Bo-Sung"},{"family":"Kim","given":"Joo-Sik"}],"issued":{"date-parts":[["2008",7,1]]}}}],"schema":"https://github.com/citation-style-language/schema/raw/master/csl-citation.json"} </w:instrText>
            </w:r>
            <w:r w:rsidRPr="009361EA">
              <w:rPr>
                <w:sz w:val="22"/>
                <w:szCs w:val="22"/>
                <w:lang w:val="en-US"/>
              </w:rPr>
              <w:fldChar w:fldCharType="separate"/>
            </w:r>
            <w:r w:rsidRPr="00DE1CA2">
              <w:rPr>
                <w:sz w:val="22"/>
              </w:rPr>
              <w:t>[39]</w:t>
            </w:r>
            <w:r w:rsidRPr="009361EA">
              <w:rPr>
                <w:sz w:val="22"/>
                <w:szCs w:val="22"/>
                <w:lang w:val="en-US"/>
              </w:rPr>
              <w:fldChar w:fldCharType="end"/>
            </w:r>
          </w:p>
        </w:tc>
      </w:tr>
      <w:tr w:rsidR="00AE536D" w:rsidRPr="009361EA" w14:paraId="3B258FB2" w14:textId="77777777" w:rsidTr="00B849AD">
        <w:trPr>
          <w:trHeight w:val="300"/>
          <w:jc w:val="center"/>
        </w:trPr>
        <w:tc>
          <w:tcPr>
            <w:tcW w:w="1228" w:type="dxa"/>
            <w:tcBorders>
              <w:top w:val="nil"/>
              <w:left w:val="nil"/>
              <w:bottom w:val="nil"/>
              <w:right w:val="nil"/>
            </w:tcBorders>
            <w:shd w:val="clear" w:color="auto" w:fill="auto"/>
            <w:noWrap/>
            <w:vAlign w:val="center"/>
            <w:hideMark/>
          </w:tcPr>
          <w:p w14:paraId="41AED865" w14:textId="77777777" w:rsidR="00AE536D" w:rsidRPr="009361EA" w:rsidRDefault="00AE536D" w:rsidP="00B849AD">
            <w:pPr>
              <w:autoSpaceDE/>
              <w:autoSpaceDN/>
              <w:jc w:val="left"/>
              <w:rPr>
                <w:sz w:val="22"/>
                <w:szCs w:val="22"/>
                <w:lang w:val="en-US" w:eastAsia="pt-BR"/>
              </w:rPr>
            </w:pPr>
            <w:r w:rsidRPr="009361EA">
              <w:rPr>
                <w:sz w:val="22"/>
                <w:szCs w:val="22"/>
                <w:lang w:val="en-US"/>
              </w:rPr>
              <w:t>Wheat</w:t>
            </w:r>
          </w:p>
        </w:tc>
        <w:tc>
          <w:tcPr>
            <w:tcW w:w="1065" w:type="dxa"/>
            <w:tcBorders>
              <w:top w:val="nil"/>
              <w:left w:val="nil"/>
              <w:bottom w:val="nil"/>
              <w:right w:val="nil"/>
            </w:tcBorders>
            <w:shd w:val="clear" w:color="auto" w:fill="auto"/>
            <w:noWrap/>
            <w:vAlign w:val="center"/>
            <w:hideMark/>
          </w:tcPr>
          <w:p w14:paraId="6BB0792C" w14:textId="77777777" w:rsidR="00AE536D" w:rsidRPr="009361EA" w:rsidRDefault="00AE536D" w:rsidP="00B849AD">
            <w:pPr>
              <w:rPr>
                <w:sz w:val="22"/>
                <w:szCs w:val="22"/>
                <w:lang w:val="en-US"/>
              </w:rPr>
            </w:pPr>
            <w:r w:rsidRPr="009361EA">
              <w:rPr>
                <w:sz w:val="22"/>
                <w:szCs w:val="22"/>
                <w:lang w:val="en-US"/>
              </w:rPr>
              <w:t>500</w:t>
            </w:r>
          </w:p>
        </w:tc>
        <w:tc>
          <w:tcPr>
            <w:tcW w:w="1195" w:type="dxa"/>
            <w:tcBorders>
              <w:top w:val="nil"/>
              <w:left w:val="nil"/>
              <w:bottom w:val="nil"/>
              <w:right w:val="nil"/>
            </w:tcBorders>
            <w:shd w:val="clear" w:color="auto" w:fill="auto"/>
            <w:noWrap/>
            <w:vAlign w:val="center"/>
            <w:hideMark/>
          </w:tcPr>
          <w:p w14:paraId="6C258F0F" w14:textId="77777777" w:rsidR="00AE536D" w:rsidRPr="009361EA" w:rsidRDefault="00AE536D" w:rsidP="00B849AD">
            <w:pPr>
              <w:jc w:val="center"/>
              <w:rPr>
                <w:sz w:val="22"/>
                <w:szCs w:val="22"/>
                <w:lang w:val="en-US"/>
              </w:rPr>
            </w:pPr>
            <w:r w:rsidRPr="009361EA">
              <w:rPr>
                <w:sz w:val="22"/>
                <w:szCs w:val="22"/>
                <w:lang w:val="en-US"/>
              </w:rPr>
              <w:t>54% (46%)</w:t>
            </w:r>
          </w:p>
        </w:tc>
        <w:tc>
          <w:tcPr>
            <w:tcW w:w="1200" w:type="dxa"/>
            <w:tcBorders>
              <w:top w:val="nil"/>
              <w:left w:val="nil"/>
              <w:bottom w:val="nil"/>
              <w:right w:val="nil"/>
            </w:tcBorders>
            <w:shd w:val="clear" w:color="auto" w:fill="auto"/>
            <w:noWrap/>
            <w:vAlign w:val="center"/>
            <w:hideMark/>
          </w:tcPr>
          <w:p w14:paraId="77EE18E0" w14:textId="77777777" w:rsidR="00AE536D" w:rsidRPr="009361EA" w:rsidRDefault="00AE536D" w:rsidP="00B849AD">
            <w:pPr>
              <w:jc w:val="center"/>
              <w:rPr>
                <w:sz w:val="22"/>
                <w:szCs w:val="22"/>
                <w:lang w:val="en-US"/>
              </w:rPr>
            </w:pPr>
            <w:r w:rsidRPr="009361EA">
              <w:rPr>
                <w:sz w:val="22"/>
                <w:szCs w:val="22"/>
                <w:lang w:val="en-US"/>
              </w:rPr>
              <w:t>32%</w:t>
            </w:r>
          </w:p>
        </w:tc>
        <w:tc>
          <w:tcPr>
            <w:tcW w:w="960" w:type="dxa"/>
            <w:tcBorders>
              <w:top w:val="nil"/>
              <w:left w:val="nil"/>
              <w:bottom w:val="nil"/>
              <w:right w:val="nil"/>
            </w:tcBorders>
            <w:shd w:val="clear" w:color="auto" w:fill="auto"/>
            <w:noWrap/>
            <w:vAlign w:val="center"/>
            <w:hideMark/>
          </w:tcPr>
          <w:p w14:paraId="043D2EE8" w14:textId="77777777" w:rsidR="00AE536D" w:rsidRPr="009361EA" w:rsidRDefault="00AE536D" w:rsidP="00B849AD">
            <w:pPr>
              <w:jc w:val="center"/>
              <w:rPr>
                <w:sz w:val="22"/>
                <w:szCs w:val="22"/>
                <w:lang w:val="en-US"/>
              </w:rPr>
            </w:pPr>
            <w:r w:rsidRPr="009361EA">
              <w:rPr>
                <w:sz w:val="22"/>
                <w:szCs w:val="22"/>
                <w:lang w:val="en-US"/>
              </w:rPr>
              <w:t>14%</w:t>
            </w:r>
          </w:p>
        </w:tc>
        <w:tc>
          <w:tcPr>
            <w:tcW w:w="700" w:type="dxa"/>
            <w:tcBorders>
              <w:top w:val="nil"/>
              <w:left w:val="nil"/>
              <w:bottom w:val="nil"/>
              <w:right w:val="nil"/>
            </w:tcBorders>
            <w:shd w:val="clear" w:color="auto" w:fill="auto"/>
            <w:noWrap/>
            <w:vAlign w:val="center"/>
            <w:hideMark/>
          </w:tcPr>
          <w:p w14:paraId="3A3D328E" w14:textId="77777777" w:rsidR="00AE536D" w:rsidRPr="009361EA" w:rsidRDefault="00AE536D" w:rsidP="00B849AD">
            <w:pPr>
              <w:jc w:val="center"/>
              <w:rPr>
                <w:sz w:val="22"/>
                <w:szCs w:val="22"/>
                <w:lang w:val="en-US"/>
              </w:rPr>
            </w:pPr>
            <w:r w:rsidRPr="009361EA">
              <w:rPr>
                <w:sz w:val="22"/>
                <w:szCs w:val="22"/>
                <w:lang w:val="en-US"/>
              </w:rPr>
              <w:t>15</w:t>
            </w:r>
          </w:p>
        </w:tc>
        <w:tc>
          <w:tcPr>
            <w:tcW w:w="960" w:type="dxa"/>
            <w:tcBorders>
              <w:top w:val="nil"/>
              <w:left w:val="nil"/>
              <w:bottom w:val="nil"/>
              <w:right w:val="nil"/>
            </w:tcBorders>
            <w:shd w:val="clear" w:color="auto" w:fill="auto"/>
            <w:noWrap/>
            <w:vAlign w:val="center"/>
            <w:hideMark/>
          </w:tcPr>
          <w:p w14:paraId="58C934DF" w14:textId="77777777" w:rsidR="00AE536D" w:rsidRPr="009361EA" w:rsidRDefault="00AE536D" w:rsidP="00B849AD">
            <w:pPr>
              <w:jc w:val="center"/>
              <w:rPr>
                <w:sz w:val="22"/>
                <w:szCs w:val="22"/>
                <w:lang w:val="en-US"/>
              </w:rPr>
            </w:pPr>
            <w:r w:rsidRPr="009361EA">
              <w:rPr>
                <w:sz w:val="22"/>
                <w:szCs w:val="22"/>
                <w:lang w:val="en-US"/>
              </w:rPr>
              <w:t>28</w:t>
            </w:r>
          </w:p>
        </w:tc>
        <w:tc>
          <w:tcPr>
            <w:tcW w:w="960" w:type="dxa"/>
            <w:tcBorders>
              <w:top w:val="nil"/>
              <w:left w:val="nil"/>
              <w:bottom w:val="nil"/>
              <w:right w:val="nil"/>
            </w:tcBorders>
            <w:shd w:val="clear" w:color="auto" w:fill="auto"/>
            <w:noWrap/>
            <w:vAlign w:val="center"/>
            <w:hideMark/>
          </w:tcPr>
          <w:p w14:paraId="39FE2D33" w14:textId="77777777" w:rsidR="00AE536D" w:rsidRPr="009361EA" w:rsidRDefault="00AE536D" w:rsidP="00B849AD">
            <w:pPr>
              <w:jc w:val="center"/>
              <w:rPr>
                <w:sz w:val="22"/>
                <w:szCs w:val="22"/>
                <w:lang w:val="en-US"/>
              </w:rPr>
            </w:pPr>
            <w:r w:rsidRPr="009361EA">
              <w:rPr>
                <w:sz w:val="22"/>
                <w:szCs w:val="22"/>
                <w:lang w:val="en-US"/>
              </w:rPr>
              <w:t>5</w:t>
            </w:r>
          </w:p>
        </w:tc>
        <w:tc>
          <w:tcPr>
            <w:tcW w:w="960" w:type="dxa"/>
            <w:tcBorders>
              <w:top w:val="nil"/>
              <w:left w:val="nil"/>
              <w:bottom w:val="nil"/>
              <w:right w:val="nil"/>
            </w:tcBorders>
          </w:tcPr>
          <w:p w14:paraId="6718BD5D" w14:textId="77777777" w:rsidR="00AE536D" w:rsidRPr="009361EA" w:rsidRDefault="00AE536D"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fv9FaSXT","properties":{"formattedCitation":"[40]","plainCitation":"[40]","noteIndex":0},"citationItems":[{"id":912,"uris":["http://zotero.org/users/5217225/items/IDRZ4NNP"],"uri":["http://zotero.org/users/5217225/items/IDRZ4NNP"],"itemData":{"id":912,"type":"article-journal","abstract":"The pyrolysis behavior of wheat straw and mallee residue and resulting gases, liquids, and chars were examined. The specific heat and thermal conductivity of both species were measured using computer-aided thermal analysis at heating rates of 10 and 100 °C/min to a temperature of 1000 °C. The sample decomposition was also measured by thermogravimetry. Gas chromatography detected evolved gases, and the bio-oils were characterized using GC-MS. Chars were examined using FTIR, proximate, and ultimate analysis. Both species initially displayed endothermic behavior, followed by rapid decomposition and fluctuating specific heat and thermal conductivity between 250 and 500 °C. Oxides of carbon were the primary gases evolved, with small amounts of hydrocarbons and hydrogen. The bio-oils predominantly contained oxygenated aromatics and organic acids, and the chars had high fixed carbon and low sulfur. In all instances approximately half of the product output was liquid. Straw produced 14% gas and 32% solid at 500 °C, whereas mallee produced 13% gas and 36% solid. At 1000 °C the proportions of solid decreased and gas increased. The efficiency of pyrolysis to 500 °C, assuming no losses, was around 96% for both species. At 1000 °C the efficiency decreased, with pyrolysis of mallee slightly more efficient than for straw.","archive_location":"world","container-title":"Energy and Fuels","DOI":"10.1021/ef9004797","language":"English","note":"publisher: American Chemical Society","source":"pubs.acs.org","title":"Thermal Decomposition of Wheat Straw and Mallee Residue Under Pyrolysis Conditions†","URL":"https://pubs.acs.org/doi/pdf/10.1021/ef9004797","author":[{"family":"Mulligan","given":"Cara J."},{"family":"Strezov","given":"Les"},{"family":"Strezov","given":"Vladimir"}],"accessed":{"date-parts":[["2020",4,15]]},"issued":{"date-parts":[["2009",8,6]]}}}],"schema":"https://github.com/citation-style-language/schema/raw/master/csl-citation.json"} </w:instrText>
            </w:r>
            <w:r w:rsidRPr="009361EA">
              <w:rPr>
                <w:sz w:val="22"/>
                <w:szCs w:val="22"/>
                <w:lang w:val="en-US"/>
              </w:rPr>
              <w:fldChar w:fldCharType="separate"/>
            </w:r>
            <w:r w:rsidRPr="00DE1CA2">
              <w:rPr>
                <w:sz w:val="22"/>
              </w:rPr>
              <w:t>[40]</w:t>
            </w:r>
            <w:r w:rsidRPr="009361EA">
              <w:rPr>
                <w:sz w:val="22"/>
                <w:szCs w:val="22"/>
                <w:lang w:val="en-US"/>
              </w:rPr>
              <w:fldChar w:fldCharType="end"/>
            </w:r>
          </w:p>
        </w:tc>
      </w:tr>
      <w:tr w:rsidR="00AE536D" w:rsidRPr="009361EA" w14:paraId="03A2F4B8" w14:textId="77777777" w:rsidTr="00B849AD">
        <w:trPr>
          <w:trHeight w:val="300"/>
          <w:jc w:val="center"/>
        </w:trPr>
        <w:tc>
          <w:tcPr>
            <w:tcW w:w="1228" w:type="dxa"/>
            <w:tcBorders>
              <w:top w:val="nil"/>
              <w:left w:val="nil"/>
              <w:right w:val="nil"/>
            </w:tcBorders>
            <w:shd w:val="clear" w:color="auto" w:fill="auto"/>
            <w:noWrap/>
            <w:vAlign w:val="center"/>
          </w:tcPr>
          <w:p w14:paraId="2B06839F" w14:textId="77777777" w:rsidR="00AE536D" w:rsidRPr="009361EA" w:rsidRDefault="00AE536D" w:rsidP="00B849AD">
            <w:pPr>
              <w:autoSpaceDE/>
              <w:autoSpaceDN/>
              <w:jc w:val="left"/>
              <w:rPr>
                <w:sz w:val="22"/>
                <w:szCs w:val="22"/>
                <w:lang w:val="en-US" w:eastAsia="pt-BR"/>
              </w:rPr>
            </w:pPr>
            <w:r w:rsidRPr="009361EA">
              <w:rPr>
                <w:sz w:val="22"/>
                <w:szCs w:val="22"/>
                <w:lang w:val="en-US"/>
              </w:rPr>
              <w:t>Sugarcane</w:t>
            </w:r>
          </w:p>
        </w:tc>
        <w:tc>
          <w:tcPr>
            <w:tcW w:w="1065" w:type="dxa"/>
            <w:tcBorders>
              <w:top w:val="nil"/>
              <w:left w:val="nil"/>
              <w:right w:val="nil"/>
            </w:tcBorders>
            <w:shd w:val="clear" w:color="auto" w:fill="auto"/>
            <w:noWrap/>
            <w:vAlign w:val="center"/>
          </w:tcPr>
          <w:p w14:paraId="33F42A14" w14:textId="77777777" w:rsidR="00AE536D" w:rsidRPr="009361EA" w:rsidRDefault="00AE536D" w:rsidP="00B849AD">
            <w:pPr>
              <w:rPr>
                <w:sz w:val="22"/>
                <w:szCs w:val="22"/>
                <w:lang w:val="en-US"/>
              </w:rPr>
            </w:pPr>
            <w:r w:rsidRPr="009361EA">
              <w:rPr>
                <w:sz w:val="22"/>
                <w:szCs w:val="22"/>
                <w:lang w:val="en-US"/>
              </w:rPr>
              <w:t>495</w:t>
            </w:r>
          </w:p>
        </w:tc>
        <w:tc>
          <w:tcPr>
            <w:tcW w:w="1195" w:type="dxa"/>
            <w:tcBorders>
              <w:top w:val="nil"/>
              <w:left w:val="nil"/>
              <w:right w:val="nil"/>
            </w:tcBorders>
            <w:shd w:val="clear" w:color="auto" w:fill="auto"/>
            <w:noWrap/>
            <w:vAlign w:val="center"/>
          </w:tcPr>
          <w:p w14:paraId="38FF0766" w14:textId="77777777" w:rsidR="00AE536D" w:rsidRPr="009361EA" w:rsidRDefault="00AE536D" w:rsidP="00B849AD">
            <w:pPr>
              <w:jc w:val="center"/>
              <w:rPr>
                <w:sz w:val="22"/>
                <w:szCs w:val="22"/>
                <w:lang w:val="en-US"/>
              </w:rPr>
            </w:pPr>
            <w:r w:rsidRPr="009361EA">
              <w:rPr>
                <w:sz w:val="22"/>
                <w:szCs w:val="22"/>
                <w:lang w:val="en-US"/>
              </w:rPr>
              <w:t>70% (26%)</w:t>
            </w:r>
          </w:p>
        </w:tc>
        <w:tc>
          <w:tcPr>
            <w:tcW w:w="1200" w:type="dxa"/>
            <w:tcBorders>
              <w:top w:val="nil"/>
              <w:left w:val="nil"/>
              <w:right w:val="nil"/>
            </w:tcBorders>
            <w:shd w:val="clear" w:color="auto" w:fill="auto"/>
            <w:noWrap/>
            <w:vAlign w:val="center"/>
          </w:tcPr>
          <w:p w14:paraId="2ACBAE7F" w14:textId="77777777" w:rsidR="00AE536D" w:rsidRPr="009361EA" w:rsidRDefault="00AE536D" w:rsidP="00B849AD">
            <w:pPr>
              <w:jc w:val="center"/>
              <w:rPr>
                <w:sz w:val="22"/>
                <w:szCs w:val="22"/>
                <w:lang w:val="en-US"/>
              </w:rPr>
            </w:pPr>
            <w:r w:rsidRPr="009361EA">
              <w:rPr>
                <w:sz w:val="22"/>
                <w:szCs w:val="22"/>
                <w:lang w:val="en-US"/>
              </w:rPr>
              <w:t>17%</w:t>
            </w:r>
          </w:p>
        </w:tc>
        <w:tc>
          <w:tcPr>
            <w:tcW w:w="960" w:type="dxa"/>
            <w:tcBorders>
              <w:top w:val="nil"/>
              <w:left w:val="nil"/>
              <w:right w:val="nil"/>
            </w:tcBorders>
            <w:shd w:val="clear" w:color="auto" w:fill="auto"/>
            <w:noWrap/>
            <w:vAlign w:val="center"/>
          </w:tcPr>
          <w:p w14:paraId="62F1FAD4" w14:textId="77777777" w:rsidR="00AE536D" w:rsidRPr="009361EA" w:rsidRDefault="00AE536D" w:rsidP="00B849AD">
            <w:pPr>
              <w:jc w:val="center"/>
              <w:rPr>
                <w:sz w:val="22"/>
                <w:szCs w:val="22"/>
                <w:lang w:val="en-US"/>
              </w:rPr>
            </w:pPr>
            <w:r w:rsidRPr="009361EA">
              <w:rPr>
                <w:sz w:val="22"/>
                <w:szCs w:val="22"/>
                <w:lang w:val="en-US"/>
              </w:rPr>
              <w:t>13%</w:t>
            </w:r>
          </w:p>
        </w:tc>
        <w:tc>
          <w:tcPr>
            <w:tcW w:w="700" w:type="dxa"/>
            <w:tcBorders>
              <w:top w:val="nil"/>
              <w:left w:val="nil"/>
              <w:right w:val="nil"/>
            </w:tcBorders>
            <w:shd w:val="clear" w:color="auto" w:fill="auto"/>
            <w:noWrap/>
            <w:vAlign w:val="center"/>
          </w:tcPr>
          <w:p w14:paraId="783075CC" w14:textId="77777777" w:rsidR="00AE536D" w:rsidRPr="009361EA" w:rsidRDefault="00AE536D" w:rsidP="00B849AD">
            <w:pPr>
              <w:jc w:val="center"/>
              <w:rPr>
                <w:sz w:val="22"/>
                <w:szCs w:val="22"/>
                <w:lang w:val="en-US"/>
              </w:rPr>
            </w:pPr>
            <w:r w:rsidRPr="009361EA">
              <w:rPr>
                <w:sz w:val="22"/>
                <w:szCs w:val="22"/>
                <w:lang w:val="en-US"/>
              </w:rPr>
              <w:t>18</w:t>
            </w:r>
          </w:p>
        </w:tc>
        <w:tc>
          <w:tcPr>
            <w:tcW w:w="960" w:type="dxa"/>
            <w:tcBorders>
              <w:top w:val="nil"/>
              <w:left w:val="nil"/>
              <w:right w:val="nil"/>
            </w:tcBorders>
            <w:shd w:val="clear" w:color="auto" w:fill="auto"/>
            <w:noWrap/>
            <w:vAlign w:val="center"/>
          </w:tcPr>
          <w:p w14:paraId="76240AB1" w14:textId="77777777" w:rsidR="00AE536D" w:rsidRPr="009361EA" w:rsidRDefault="00AE536D" w:rsidP="00B849AD">
            <w:pPr>
              <w:jc w:val="center"/>
              <w:rPr>
                <w:sz w:val="22"/>
                <w:szCs w:val="22"/>
                <w:lang w:val="en-US"/>
              </w:rPr>
            </w:pPr>
            <w:r w:rsidRPr="009361EA">
              <w:rPr>
                <w:sz w:val="22"/>
                <w:szCs w:val="22"/>
                <w:lang w:val="en-US"/>
              </w:rPr>
              <w:t>25</w:t>
            </w:r>
          </w:p>
        </w:tc>
        <w:tc>
          <w:tcPr>
            <w:tcW w:w="960" w:type="dxa"/>
            <w:tcBorders>
              <w:top w:val="nil"/>
              <w:left w:val="nil"/>
              <w:right w:val="nil"/>
            </w:tcBorders>
            <w:shd w:val="clear" w:color="auto" w:fill="auto"/>
            <w:noWrap/>
            <w:vAlign w:val="center"/>
          </w:tcPr>
          <w:p w14:paraId="5FBB249B" w14:textId="77777777" w:rsidR="00AE536D" w:rsidRPr="009361EA" w:rsidRDefault="00AE536D" w:rsidP="00B849AD">
            <w:pPr>
              <w:jc w:val="center"/>
              <w:rPr>
                <w:sz w:val="22"/>
                <w:szCs w:val="22"/>
                <w:lang w:val="en-US"/>
              </w:rPr>
            </w:pPr>
            <w:r w:rsidRPr="009361EA">
              <w:rPr>
                <w:sz w:val="22"/>
                <w:szCs w:val="22"/>
                <w:lang w:val="en-US"/>
              </w:rPr>
              <w:t>11</w:t>
            </w:r>
          </w:p>
        </w:tc>
        <w:tc>
          <w:tcPr>
            <w:tcW w:w="960" w:type="dxa"/>
            <w:tcBorders>
              <w:top w:val="nil"/>
              <w:left w:val="nil"/>
              <w:right w:val="nil"/>
            </w:tcBorders>
          </w:tcPr>
          <w:p w14:paraId="29783556" w14:textId="77777777" w:rsidR="00AE536D" w:rsidRPr="009361EA" w:rsidRDefault="00AE536D"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CdFMwSL8","properties":{"formattedCitation":"[41]","plainCitation":"[41]","noteIndex":0},"citationItems":[{"id":913,"uris":["http://zotero.org/users/5217225/items/LP4VS8IR"],"uri":["http://zotero.org/users/5217225/items/LP4VS8IR"],"itemData":{"id":913,"type":"thesis","event-place":"South Africa","genre":"Thesis (MScEng, Process Engineering)","language":"English","publisher":"University of Stellenbosch","publisher-place":"South Africa","title":"Pyrolysis of Sugarcane Bagasse","title-short":"https://scholar.sun.ac.za/handle/10019.1/5238","author":[{"family":"Hugo","given":"T."}],"issued":{"date-parts":[["2008"]]}}}],"schema":"https://github.com/citation-style-language/schema/raw/master/csl-citation.json"} </w:instrText>
            </w:r>
            <w:r w:rsidRPr="009361EA">
              <w:rPr>
                <w:sz w:val="22"/>
                <w:szCs w:val="22"/>
                <w:lang w:val="en-US"/>
              </w:rPr>
              <w:fldChar w:fldCharType="separate"/>
            </w:r>
            <w:r w:rsidRPr="00DE1CA2">
              <w:rPr>
                <w:sz w:val="22"/>
              </w:rPr>
              <w:t>[41]</w:t>
            </w:r>
            <w:r w:rsidRPr="009361EA">
              <w:rPr>
                <w:sz w:val="22"/>
                <w:szCs w:val="22"/>
                <w:lang w:val="en-US"/>
              </w:rPr>
              <w:fldChar w:fldCharType="end"/>
            </w:r>
          </w:p>
        </w:tc>
      </w:tr>
      <w:tr w:rsidR="00AE536D" w:rsidRPr="009361EA" w14:paraId="4D10FAAE" w14:textId="77777777" w:rsidTr="00B849AD">
        <w:trPr>
          <w:trHeight w:val="300"/>
          <w:jc w:val="center"/>
        </w:trPr>
        <w:tc>
          <w:tcPr>
            <w:tcW w:w="1228" w:type="dxa"/>
            <w:tcBorders>
              <w:top w:val="nil"/>
              <w:left w:val="nil"/>
              <w:bottom w:val="single" w:sz="4" w:space="0" w:color="auto"/>
              <w:right w:val="nil"/>
            </w:tcBorders>
            <w:shd w:val="clear" w:color="auto" w:fill="auto"/>
            <w:noWrap/>
            <w:vAlign w:val="center"/>
            <w:hideMark/>
          </w:tcPr>
          <w:p w14:paraId="1D92ED78" w14:textId="77777777" w:rsidR="00AE536D" w:rsidRPr="009361EA" w:rsidRDefault="00AE536D" w:rsidP="00B849AD">
            <w:pPr>
              <w:autoSpaceDE/>
              <w:autoSpaceDN/>
              <w:jc w:val="left"/>
              <w:rPr>
                <w:sz w:val="22"/>
                <w:szCs w:val="22"/>
                <w:lang w:val="en-US" w:eastAsia="pt-BR"/>
              </w:rPr>
            </w:pPr>
            <w:r w:rsidRPr="009361EA">
              <w:rPr>
                <w:sz w:val="22"/>
                <w:szCs w:val="22"/>
                <w:lang w:val="en-US"/>
              </w:rPr>
              <w:t>Sorghum</w:t>
            </w:r>
          </w:p>
        </w:tc>
        <w:tc>
          <w:tcPr>
            <w:tcW w:w="1065" w:type="dxa"/>
            <w:tcBorders>
              <w:top w:val="nil"/>
              <w:left w:val="nil"/>
              <w:bottom w:val="single" w:sz="4" w:space="0" w:color="auto"/>
              <w:right w:val="nil"/>
            </w:tcBorders>
            <w:shd w:val="clear" w:color="auto" w:fill="auto"/>
            <w:noWrap/>
            <w:vAlign w:val="center"/>
            <w:hideMark/>
          </w:tcPr>
          <w:p w14:paraId="28ACD808" w14:textId="77777777" w:rsidR="00AE536D" w:rsidRPr="009361EA" w:rsidRDefault="00AE536D" w:rsidP="00B849AD">
            <w:pPr>
              <w:rPr>
                <w:sz w:val="22"/>
                <w:szCs w:val="22"/>
                <w:lang w:val="en-US"/>
              </w:rPr>
            </w:pPr>
            <w:r w:rsidRPr="009361EA">
              <w:rPr>
                <w:sz w:val="22"/>
                <w:szCs w:val="22"/>
                <w:lang w:val="en-US"/>
              </w:rPr>
              <w:t>510</w:t>
            </w:r>
          </w:p>
        </w:tc>
        <w:tc>
          <w:tcPr>
            <w:tcW w:w="1195" w:type="dxa"/>
            <w:tcBorders>
              <w:top w:val="nil"/>
              <w:left w:val="nil"/>
              <w:bottom w:val="single" w:sz="4" w:space="0" w:color="auto"/>
              <w:right w:val="nil"/>
            </w:tcBorders>
            <w:shd w:val="clear" w:color="auto" w:fill="auto"/>
            <w:noWrap/>
            <w:vAlign w:val="center"/>
            <w:hideMark/>
          </w:tcPr>
          <w:p w14:paraId="09E870AB" w14:textId="77777777" w:rsidR="00AE536D" w:rsidRPr="009361EA" w:rsidRDefault="00AE536D" w:rsidP="00B849AD">
            <w:pPr>
              <w:jc w:val="center"/>
              <w:rPr>
                <w:sz w:val="22"/>
                <w:szCs w:val="22"/>
                <w:lang w:val="en-US"/>
              </w:rPr>
            </w:pPr>
            <w:r w:rsidRPr="009361EA">
              <w:rPr>
                <w:sz w:val="22"/>
                <w:szCs w:val="22"/>
                <w:lang w:val="en-US"/>
              </w:rPr>
              <w:t>69% (15%)</w:t>
            </w:r>
          </w:p>
        </w:tc>
        <w:tc>
          <w:tcPr>
            <w:tcW w:w="1200" w:type="dxa"/>
            <w:tcBorders>
              <w:top w:val="nil"/>
              <w:left w:val="nil"/>
              <w:bottom w:val="single" w:sz="4" w:space="0" w:color="auto"/>
              <w:right w:val="nil"/>
            </w:tcBorders>
            <w:shd w:val="clear" w:color="auto" w:fill="auto"/>
            <w:noWrap/>
            <w:vAlign w:val="center"/>
            <w:hideMark/>
          </w:tcPr>
          <w:p w14:paraId="353707B8" w14:textId="77777777" w:rsidR="00AE536D" w:rsidRPr="009361EA" w:rsidRDefault="00AE536D" w:rsidP="00B849AD">
            <w:pPr>
              <w:jc w:val="center"/>
              <w:rPr>
                <w:sz w:val="22"/>
                <w:szCs w:val="22"/>
                <w:lang w:val="en-US"/>
              </w:rPr>
            </w:pPr>
            <w:r w:rsidRPr="009361EA">
              <w:rPr>
                <w:sz w:val="22"/>
                <w:szCs w:val="22"/>
                <w:lang w:val="en-US"/>
              </w:rPr>
              <w:t>13%</w:t>
            </w:r>
          </w:p>
        </w:tc>
        <w:tc>
          <w:tcPr>
            <w:tcW w:w="960" w:type="dxa"/>
            <w:tcBorders>
              <w:top w:val="nil"/>
              <w:left w:val="nil"/>
              <w:bottom w:val="single" w:sz="4" w:space="0" w:color="auto"/>
              <w:right w:val="nil"/>
            </w:tcBorders>
            <w:shd w:val="clear" w:color="auto" w:fill="auto"/>
            <w:noWrap/>
            <w:vAlign w:val="center"/>
            <w:hideMark/>
          </w:tcPr>
          <w:p w14:paraId="1B2FEF25" w14:textId="77777777" w:rsidR="00AE536D" w:rsidRPr="009361EA" w:rsidRDefault="00AE536D" w:rsidP="00B849AD">
            <w:pPr>
              <w:jc w:val="center"/>
              <w:rPr>
                <w:sz w:val="22"/>
                <w:szCs w:val="22"/>
                <w:lang w:val="en-US"/>
              </w:rPr>
            </w:pPr>
            <w:r w:rsidRPr="009361EA">
              <w:rPr>
                <w:sz w:val="22"/>
                <w:szCs w:val="22"/>
                <w:lang w:val="en-US"/>
              </w:rPr>
              <w:t>17%</w:t>
            </w:r>
          </w:p>
        </w:tc>
        <w:tc>
          <w:tcPr>
            <w:tcW w:w="700" w:type="dxa"/>
            <w:tcBorders>
              <w:top w:val="nil"/>
              <w:left w:val="nil"/>
              <w:bottom w:val="single" w:sz="4" w:space="0" w:color="auto"/>
              <w:right w:val="nil"/>
            </w:tcBorders>
            <w:shd w:val="clear" w:color="auto" w:fill="auto"/>
            <w:noWrap/>
            <w:vAlign w:val="center"/>
            <w:hideMark/>
          </w:tcPr>
          <w:p w14:paraId="18F614FE" w14:textId="77777777" w:rsidR="00AE536D" w:rsidRPr="009361EA" w:rsidRDefault="00AE536D" w:rsidP="00B849AD">
            <w:pPr>
              <w:jc w:val="center"/>
              <w:rPr>
                <w:sz w:val="22"/>
                <w:szCs w:val="22"/>
                <w:lang w:val="en-US"/>
              </w:rPr>
            </w:pPr>
            <w:r w:rsidRPr="009361EA">
              <w:rPr>
                <w:sz w:val="22"/>
                <w:szCs w:val="22"/>
                <w:lang w:val="en-US"/>
              </w:rPr>
              <w:t>16</w:t>
            </w:r>
          </w:p>
        </w:tc>
        <w:tc>
          <w:tcPr>
            <w:tcW w:w="960" w:type="dxa"/>
            <w:tcBorders>
              <w:top w:val="nil"/>
              <w:left w:val="nil"/>
              <w:bottom w:val="single" w:sz="4" w:space="0" w:color="auto"/>
              <w:right w:val="nil"/>
            </w:tcBorders>
            <w:shd w:val="clear" w:color="auto" w:fill="auto"/>
            <w:noWrap/>
            <w:vAlign w:val="center"/>
            <w:hideMark/>
          </w:tcPr>
          <w:p w14:paraId="339010BE" w14:textId="77777777" w:rsidR="00AE536D" w:rsidRPr="009361EA" w:rsidRDefault="00AE536D" w:rsidP="00B849AD">
            <w:pPr>
              <w:jc w:val="center"/>
              <w:rPr>
                <w:sz w:val="22"/>
                <w:szCs w:val="22"/>
                <w:lang w:val="en-US"/>
              </w:rPr>
            </w:pPr>
            <w:r w:rsidRPr="009361EA">
              <w:rPr>
                <w:sz w:val="22"/>
                <w:szCs w:val="22"/>
                <w:lang w:val="en-US"/>
              </w:rPr>
              <w:t>23</w:t>
            </w:r>
          </w:p>
        </w:tc>
        <w:tc>
          <w:tcPr>
            <w:tcW w:w="960" w:type="dxa"/>
            <w:tcBorders>
              <w:top w:val="nil"/>
              <w:left w:val="nil"/>
              <w:bottom w:val="single" w:sz="4" w:space="0" w:color="auto"/>
              <w:right w:val="nil"/>
            </w:tcBorders>
            <w:shd w:val="clear" w:color="auto" w:fill="auto"/>
            <w:noWrap/>
            <w:vAlign w:val="center"/>
            <w:hideMark/>
          </w:tcPr>
          <w:p w14:paraId="38DF12E7" w14:textId="77777777" w:rsidR="00AE536D" w:rsidRPr="009361EA" w:rsidRDefault="00AE536D" w:rsidP="00B849AD">
            <w:pPr>
              <w:jc w:val="center"/>
              <w:rPr>
                <w:sz w:val="22"/>
                <w:szCs w:val="22"/>
                <w:lang w:val="en-US"/>
              </w:rPr>
            </w:pPr>
            <w:r w:rsidRPr="009361EA">
              <w:rPr>
                <w:sz w:val="22"/>
                <w:szCs w:val="22"/>
                <w:lang w:val="en-US"/>
              </w:rPr>
              <w:t>6</w:t>
            </w:r>
          </w:p>
        </w:tc>
        <w:tc>
          <w:tcPr>
            <w:tcW w:w="960" w:type="dxa"/>
            <w:tcBorders>
              <w:top w:val="nil"/>
              <w:left w:val="nil"/>
              <w:bottom w:val="single" w:sz="4" w:space="0" w:color="auto"/>
              <w:right w:val="nil"/>
            </w:tcBorders>
          </w:tcPr>
          <w:p w14:paraId="60E50580" w14:textId="77777777" w:rsidR="00AE536D" w:rsidRPr="009361EA" w:rsidRDefault="00AE536D"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OVuWUZQM","properties":{"formattedCitation":"[42]","plainCitation":"[42]","noteIndex":0},"citationItems":[{"id":914,"uris":["http://zotero.org/users/5217225/items/4ZIUMZYD"],"uri":["http://zotero.org/users/5217225/items/4ZIUMZYD"],"itemData":{"id":914,"type":"article-journal","abstract":"The Waterloo Fast Pyrolysis methodology which employs a bed of fluidized sand at atmospheric pressure was used to evaluate the yields of pyrolytic liquids from Italian sweet sorghum and sweet sorghum bagasse. Reaction temperatures were varied from 400°C to 560°C, and apparent volatiles residence times from 222 to 703 ms. The sorghum bagasse gave results typical of similar grasses. A maximum liquid yield (dry basis) of 69.4% by weight was achieved at 510°C when the volatiles apparent residence time was held constant at 500 ms. However, at shorter residence times (255 ms), liquid yields were slightly higher at a constant temperature of 525°C. Because of the high ash content of the bagasse, the char obtained (about 13%) had an ash content of nearly 50%. The liquid product composition was similar to that obtained from fast pyrolysis of other grasses. Tests were also done with bagasse which had been deionized. A much higher conversion of the cellulose and hemicellulose content to anhydrosugars resulted, with a corresponding reduction in low molecular weight carbonyl compounds. Whole (raw) sweet sorghum was pyrolyzed similarly. The high sugar content (36%) of this biomass resulted in a more unusual pyrolysis behaviour. High yields of carbon dioxide were obtained, and liquid yields were somewhat lower (63%) than those from the bagasse, and were obtained at a lower temperature (450°C). Volatiles residence time in the range used had little effect on liquid yield amounts. Both raw sweet sorghum and sweet sorghum bagasse appear to be suitable feedstocks for the production of organic liquids by fast pyrolysis. However, better yields and a better quality liquid (for fuel purposes) are obtained from the bagasse.","container-title":"Journal of Analytical and Applied Pyrolysis","DOI":"10.1016/S0165-2370(98)00067-9","ISSN":"0165-2370","issue":"1","journalAbbreviation":"Journal of Analytical and Applied Pyrolysis","language":"en","page":"15-29","source":"ScienceDirect","title":"Fast pyrolysis of sweet sorghum and sweet sorghum bagasse","volume":"46","author":[{"family":"Piskorz","given":"Jan"},{"family":"Majerski","given":"Piotr"},{"family":"Radlein","given":"Desmond"},{"family":"Scott","given":"Donald S"},{"family":"Bridgwater","given":"A. V"}],"issued":{"date-parts":[["1998",6,1]]}}}],"schema":"https://github.com/citation-style-language/schema/raw/master/csl-citation.json"} </w:instrText>
            </w:r>
            <w:r w:rsidRPr="009361EA">
              <w:rPr>
                <w:sz w:val="22"/>
                <w:szCs w:val="22"/>
                <w:lang w:val="en-US"/>
              </w:rPr>
              <w:fldChar w:fldCharType="separate"/>
            </w:r>
            <w:r w:rsidRPr="00DE1CA2">
              <w:rPr>
                <w:sz w:val="22"/>
              </w:rPr>
              <w:t>[42]</w:t>
            </w:r>
            <w:r w:rsidRPr="009361EA">
              <w:rPr>
                <w:sz w:val="22"/>
                <w:szCs w:val="22"/>
                <w:lang w:val="en-US"/>
              </w:rPr>
              <w:fldChar w:fldCharType="end"/>
            </w:r>
          </w:p>
        </w:tc>
      </w:tr>
    </w:tbl>
    <w:p w14:paraId="1F6DD6BB" w14:textId="5C305D4C" w:rsidR="00AE536D" w:rsidRDefault="00AE536D" w:rsidP="00AE536D">
      <w:pPr>
        <w:tabs>
          <w:tab w:val="left" w:pos="-437"/>
        </w:tabs>
        <w:suppressAutoHyphens/>
        <w:rPr>
          <w:spacing w:val="-3"/>
          <w:lang w:val="en-US"/>
        </w:rPr>
      </w:pPr>
    </w:p>
    <w:p w14:paraId="46780327" w14:textId="051DC125" w:rsidR="007257AA" w:rsidRDefault="007257AA" w:rsidP="00AE536D">
      <w:pPr>
        <w:tabs>
          <w:tab w:val="left" w:pos="-437"/>
        </w:tabs>
        <w:suppressAutoHyphens/>
        <w:rPr>
          <w:spacing w:val="-3"/>
          <w:lang w:val="en-US"/>
        </w:rPr>
      </w:pPr>
    </w:p>
    <w:p w14:paraId="1F3A6AED" w14:textId="77777777" w:rsidR="007257AA" w:rsidRDefault="007257AA" w:rsidP="007257AA">
      <w:pPr>
        <w:pStyle w:val="reference"/>
        <w:numPr>
          <w:ilvl w:val="0"/>
          <w:numId w:val="0"/>
        </w:numPr>
        <w:ind w:left="284" w:hanging="284"/>
        <w:rPr>
          <w:lang w:val="en-US"/>
        </w:rPr>
      </w:pPr>
      <w:proofErr w:type="spellStart"/>
      <w:r w:rsidRPr="00CB72C9">
        <w:rPr>
          <w:highlight w:val="cyan"/>
          <w:lang w:val="en-US"/>
        </w:rPr>
        <w:t>Sumatorias</w:t>
      </w:r>
      <w:proofErr w:type="spellEnd"/>
      <w:r w:rsidRPr="00CB72C9">
        <w:rPr>
          <w:highlight w:val="cyan"/>
          <w:lang w:val="en-US"/>
        </w:rPr>
        <w:t xml:space="preserve"> = 100</w:t>
      </w:r>
      <w:r>
        <w:rPr>
          <w:highlight w:val="cyan"/>
          <w:lang w:val="en-US"/>
        </w:rPr>
        <w:t>%</w:t>
      </w:r>
    </w:p>
    <w:p w14:paraId="618750FA" w14:textId="1F24D35A" w:rsidR="007257AA" w:rsidRDefault="007257AA" w:rsidP="00AE536D">
      <w:pPr>
        <w:tabs>
          <w:tab w:val="left" w:pos="-437"/>
        </w:tabs>
        <w:suppressAutoHyphens/>
        <w:rPr>
          <w:spacing w:val="-3"/>
          <w:lang w:val="en-US"/>
        </w:rPr>
      </w:pPr>
    </w:p>
    <w:p w14:paraId="62CCE196" w14:textId="77777777" w:rsidR="007257AA" w:rsidRPr="009361EA" w:rsidRDefault="007257AA" w:rsidP="00AE536D">
      <w:pPr>
        <w:tabs>
          <w:tab w:val="left" w:pos="-437"/>
        </w:tabs>
        <w:suppressAutoHyphens/>
        <w:rPr>
          <w:spacing w:val="-3"/>
          <w:lang w:val="en-US"/>
        </w:rPr>
      </w:pPr>
    </w:p>
    <w:p w14:paraId="7089229B" w14:textId="56D2E90B" w:rsidR="00807F37" w:rsidRDefault="00807F37" w:rsidP="006D27B6">
      <w:pPr>
        <w:pStyle w:val="reference"/>
        <w:numPr>
          <w:ilvl w:val="0"/>
          <w:numId w:val="0"/>
        </w:numPr>
        <w:ind w:left="284" w:hanging="284"/>
        <w:rPr>
          <w:lang w:val="en-US"/>
        </w:rPr>
      </w:pPr>
    </w:p>
    <w:p w14:paraId="744321C3" w14:textId="4E731CB7" w:rsidR="00620753" w:rsidRDefault="00620753">
      <w:pPr>
        <w:autoSpaceDE/>
        <w:autoSpaceDN/>
        <w:jc w:val="left"/>
        <w:rPr>
          <w:spacing w:val="-3"/>
          <w:lang w:val="en-US"/>
        </w:rPr>
      </w:pPr>
      <w:r>
        <w:rPr>
          <w:lang w:val="en-US"/>
        </w:rPr>
        <w:br w:type="page"/>
      </w:r>
    </w:p>
    <w:p w14:paraId="1BEB6CF1" w14:textId="339DB2D2" w:rsidR="00BA779F" w:rsidRDefault="00BA779F" w:rsidP="006D27B6">
      <w:pPr>
        <w:pStyle w:val="reference"/>
        <w:numPr>
          <w:ilvl w:val="0"/>
          <w:numId w:val="0"/>
        </w:numPr>
        <w:ind w:left="284" w:hanging="284"/>
        <w:rPr>
          <w:lang w:val="en-US"/>
        </w:rPr>
      </w:pPr>
    </w:p>
    <w:p w14:paraId="2C2671DE" w14:textId="77777777" w:rsidR="00620753" w:rsidRPr="009361EA" w:rsidRDefault="00620753" w:rsidP="00620753">
      <w:pPr>
        <w:tabs>
          <w:tab w:val="left" w:pos="-720"/>
        </w:tabs>
        <w:suppressAutoHyphens/>
        <w:rPr>
          <w:spacing w:val="-3"/>
          <w:lang w:val="en-US"/>
        </w:rPr>
      </w:pPr>
    </w:p>
    <w:p w14:paraId="59EB2797" w14:textId="77777777" w:rsidR="00620753" w:rsidRPr="009361EA" w:rsidRDefault="00620753" w:rsidP="00620753">
      <w:pPr>
        <w:tabs>
          <w:tab w:val="left" w:pos="-437"/>
        </w:tabs>
        <w:suppressAutoHyphens/>
        <w:jc w:val="center"/>
        <w:rPr>
          <w:spacing w:val="-3"/>
          <w:lang w:val="en-US"/>
        </w:rPr>
      </w:pPr>
      <w:r w:rsidRPr="009361EA">
        <w:rPr>
          <w:spacing w:val="-3"/>
          <w:lang w:val="en-US"/>
        </w:rPr>
        <w:t>Table 5. Chemical exergies for several components</w:t>
      </w:r>
    </w:p>
    <w:p w14:paraId="2D5AB2CF" w14:textId="77777777" w:rsidR="00620753" w:rsidRPr="009361EA" w:rsidRDefault="00620753" w:rsidP="00620753">
      <w:pPr>
        <w:tabs>
          <w:tab w:val="left" w:pos="-437"/>
        </w:tabs>
        <w:suppressAutoHyphens/>
        <w:jc w:val="center"/>
        <w:rPr>
          <w:spacing w:val="-3"/>
          <w:lang w:val="en-US"/>
        </w:rPr>
      </w:pPr>
    </w:p>
    <w:tbl>
      <w:tblPr>
        <w:tblW w:w="5670" w:type="dxa"/>
        <w:jc w:val="center"/>
        <w:tblLayout w:type="fixed"/>
        <w:tblCellMar>
          <w:left w:w="70" w:type="dxa"/>
          <w:right w:w="70" w:type="dxa"/>
        </w:tblCellMar>
        <w:tblLook w:val="04A0" w:firstRow="1" w:lastRow="0" w:firstColumn="1" w:lastColumn="0" w:noHBand="0" w:noVBand="1"/>
      </w:tblPr>
      <w:tblGrid>
        <w:gridCol w:w="3402"/>
        <w:gridCol w:w="1701"/>
        <w:gridCol w:w="567"/>
      </w:tblGrid>
      <w:tr w:rsidR="00620753" w:rsidRPr="009361EA" w14:paraId="67336C97" w14:textId="77777777" w:rsidTr="00B849AD">
        <w:trPr>
          <w:trHeight w:val="300"/>
          <w:jc w:val="center"/>
        </w:trPr>
        <w:tc>
          <w:tcPr>
            <w:tcW w:w="3402" w:type="dxa"/>
            <w:tcBorders>
              <w:top w:val="single" w:sz="4" w:space="0" w:color="auto"/>
              <w:left w:val="nil"/>
              <w:bottom w:val="single" w:sz="4" w:space="0" w:color="auto"/>
              <w:right w:val="nil"/>
            </w:tcBorders>
            <w:shd w:val="clear" w:color="auto" w:fill="auto"/>
            <w:noWrap/>
            <w:vAlign w:val="center"/>
          </w:tcPr>
          <w:p w14:paraId="0B8A78B5" w14:textId="77777777" w:rsidR="00620753" w:rsidRPr="00FA758C" w:rsidRDefault="00620753" w:rsidP="00B849AD">
            <w:pPr>
              <w:autoSpaceDE/>
              <w:autoSpaceDN/>
              <w:jc w:val="left"/>
              <w:rPr>
                <w:b/>
                <w:sz w:val="22"/>
                <w:szCs w:val="22"/>
                <w:lang w:val="en-US"/>
              </w:rPr>
            </w:pPr>
            <w:r w:rsidRPr="00FA758C">
              <w:rPr>
                <w:b/>
                <w:sz w:val="22"/>
                <w:szCs w:val="22"/>
                <w:lang w:val="en-US"/>
              </w:rPr>
              <w:t>Compound</w:t>
            </w:r>
          </w:p>
        </w:tc>
        <w:tc>
          <w:tcPr>
            <w:tcW w:w="1701" w:type="dxa"/>
            <w:tcBorders>
              <w:top w:val="single" w:sz="4" w:space="0" w:color="auto"/>
              <w:left w:val="nil"/>
              <w:bottom w:val="single" w:sz="4" w:space="0" w:color="auto"/>
              <w:right w:val="nil"/>
            </w:tcBorders>
            <w:shd w:val="clear" w:color="auto" w:fill="auto"/>
            <w:noWrap/>
            <w:vAlign w:val="center"/>
          </w:tcPr>
          <w:p w14:paraId="5A45727F" w14:textId="77777777" w:rsidR="00620753" w:rsidRPr="00FA758C" w:rsidRDefault="00620753" w:rsidP="00B849AD">
            <w:pPr>
              <w:jc w:val="center"/>
              <w:rPr>
                <w:b/>
                <w:sz w:val="22"/>
                <w:szCs w:val="22"/>
                <w:lang w:val="en-US"/>
              </w:rPr>
            </w:pPr>
            <w:r w:rsidRPr="00FA758C">
              <w:rPr>
                <w:b/>
                <w:sz w:val="22"/>
                <w:szCs w:val="22"/>
                <w:lang w:val="en-US"/>
              </w:rPr>
              <w:t>MJ/kg</w:t>
            </w:r>
          </w:p>
        </w:tc>
        <w:tc>
          <w:tcPr>
            <w:tcW w:w="567" w:type="dxa"/>
            <w:tcBorders>
              <w:top w:val="single" w:sz="4" w:space="0" w:color="auto"/>
              <w:left w:val="nil"/>
              <w:bottom w:val="single" w:sz="4" w:space="0" w:color="auto"/>
              <w:right w:val="nil"/>
            </w:tcBorders>
            <w:shd w:val="clear" w:color="auto" w:fill="auto"/>
            <w:noWrap/>
            <w:vAlign w:val="center"/>
          </w:tcPr>
          <w:p w14:paraId="35465B90" w14:textId="77777777" w:rsidR="00620753" w:rsidRPr="00FA758C" w:rsidRDefault="00620753" w:rsidP="00B849AD">
            <w:pPr>
              <w:jc w:val="center"/>
              <w:rPr>
                <w:b/>
                <w:sz w:val="22"/>
                <w:szCs w:val="22"/>
                <w:lang w:val="en-US"/>
              </w:rPr>
            </w:pPr>
            <w:r w:rsidRPr="00FA758C">
              <w:rPr>
                <w:b/>
                <w:sz w:val="22"/>
                <w:szCs w:val="22"/>
                <w:lang w:val="en-US"/>
              </w:rPr>
              <w:t>Ref.</w:t>
            </w:r>
          </w:p>
        </w:tc>
      </w:tr>
      <w:tr w:rsidR="00620753" w:rsidRPr="009361EA" w14:paraId="403E3FFD" w14:textId="77777777" w:rsidTr="00B849AD">
        <w:trPr>
          <w:trHeight w:val="300"/>
          <w:jc w:val="center"/>
        </w:trPr>
        <w:tc>
          <w:tcPr>
            <w:tcW w:w="3402" w:type="dxa"/>
            <w:tcBorders>
              <w:top w:val="single" w:sz="4" w:space="0" w:color="auto"/>
              <w:left w:val="nil"/>
              <w:bottom w:val="nil"/>
              <w:right w:val="nil"/>
            </w:tcBorders>
            <w:shd w:val="clear" w:color="auto" w:fill="auto"/>
            <w:noWrap/>
            <w:vAlign w:val="center"/>
          </w:tcPr>
          <w:p w14:paraId="3AD9CF6C"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Light naphtha (</w:t>
            </w:r>
            <w:r w:rsidRPr="009361EA">
              <w:rPr>
                <w:i/>
                <w:sz w:val="22"/>
                <w:szCs w:val="22"/>
                <w:lang w:val="en-US" w:eastAsia="pt-BR"/>
              </w:rPr>
              <w:t>green naphtha</w:t>
            </w:r>
            <w:r w:rsidRPr="009361EA">
              <w:rPr>
                <w:sz w:val="22"/>
                <w:szCs w:val="22"/>
                <w:lang w:val="en-US" w:eastAsia="pt-BR"/>
              </w:rPr>
              <w:t>)</w:t>
            </w:r>
          </w:p>
        </w:tc>
        <w:tc>
          <w:tcPr>
            <w:tcW w:w="1701" w:type="dxa"/>
            <w:tcBorders>
              <w:top w:val="single" w:sz="4" w:space="0" w:color="auto"/>
              <w:left w:val="nil"/>
              <w:bottom w:val="nil"/>
              <w:right w:val="nil"/>
            </w:tcBorders>
            <w:shd w:val="clear" w:color="auto" w:fill="auto"/>
            <w:noWrap/>
            <w:vAlign w:val="center"/>
          </w:tcPr>
          <w:p w14:paraId="50F731A8" w14:textId="77777777" w:rsidR="00620753" w:rsidRPr="009361EA" w:rsidRDefault="00620753" w:rsidP="00B849AD">
            <w:pPr>
              <w:jc w:val="center"/>
              <w:rPr>
                <w:sz w:val="22"/>
                <w:szCs w:val="22"/>
                <w:lang w:val="en-US"/>
              </w:rPr>
            </w:pPr>
            <w:r w:rsidRPr="009361EA">
              <w:rPr>
                <w:sz w:val="22"/>
                <w:szCs w:val="22"/>
                <w:lang w:val="en-US"/>
              </w:rPr>
              <w:t>44.5</w:t>
            </w:r>
          </w:p>
        </w:tc>
        <w:tc>
          <w:tcPr>
            <w:tcW w:w="567" w:type="dxa"/>
            <w:tcBorders>
              <w:top w:val="single" w:sz="4" w:space="0" w:color="auto"/>
              <w:left w:val="nil"/>
              <w:bottom w:val="nil"/>
              <w:right w:val="nil"/>
            </w:tcBorders>
            <w:shd w:val="clear" w:color="auto" w:fill="auto"/>
            <w:noWrap/>
            <w:vAlign w:val="center"/>
          </w:tcPr>
          <w:p w14:paraId="3638E88D" w14:textId="77777777" w:rsidR="00620753" w:rsidRPr="009361EA" w:rsidRDefault="00620753"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RoxDodB4","properties":{"formattedCitation":"[50]","plainCitation":"[50]","noteIndex":0},"citationItems":[{"id":917,"uris":["http://zotero.org/users/5217225/items/DPA55A52"],"uri":["http://zotero.org/users/5217225/items/DPA55A52"],"itemData":{"id":917,"type":"book","language":"English","publisher":"Springer","title":"Sustainable Energy Systems and Applications","URL":"https://www.springer.com/gp/book/9780387958606","author":[{"family":"Dinçer","given":"I."},{"family":"Zamfirescu","given":"C."}],"issued":{"date-parts":[["2011"]]}}}],"schema":"https://github.com/citation-style-language/schema/raw/master/csl-citation.json"} </w:instrText>
            </w:r>
            <w:r w:rsidRPr="009361EA">
              <w:rPr>
                <w:sz w:val="22"/>
                <w:szCs w:val="22"/>
                <w:lang w:val="en-US"/>
              </w:rPr>
              <w:fldChar w:fldCharType="separate"/>
            </w:r>
            <w:r w:rsidRPr="00DE1CA2">
              <w:rPr>
                <w:sz w:val="22"/>
              </w:rPr>
              <w:t>[50]</w:t>
            </w:r>
            <w:r w:rsidRPr="009361EA">
              <w:rPr>
                <w:sz w:val="22"/>
                <w:szCs w:val="22"/>
                <w:lang w:val="en-US"/>
              </w:rPr>
              <w:fldChar w:fldCharType="end"/>
            </w:r>
          </w:p>
        </w:tc>
      </w:tr>
      <w:tr w:rsidR="00620753" w:rsidRPr="009361EA" w14:paraId="7A6200B4" w14:textId="77777777" w:rsidTr="00B849AD">
        <w:trPr>
          <w:trHeight w:val="300"/>
          <w:jc w:val="center"/>
        </w:trPr>
        <w:tc>
          <w:tcPr>
            <w:tcW w:w="3402" w:type="dxa"/>
            <w:tcBorders>
              <w:top w:val="nil"/>
              <w:left w:val="nil"/>
              <w:bottom w:val="nil"/>
              <w:right w:val="nil"/>
            </w:tcBorders>
            <w:shd w:val="clear" w:color="auto" w:fill="auto"/>
            <w:noWrap/>
            <w:vAlign w:val="center"/>
          </w:tcPr>
          <w:p w14:paraId="2F29B3CA"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Jet fuel</w:t>
            </w:r>
          </w:p>
        </w:tc>
        <w:tc>
          <w:tcPr>
            <w:tcW w:w="1701" w:type="dxa"/>
            <w:tcBorders>
              <w:top w:val="nil"/>
              <w:left w:val="nil"/>
              <w:bottom w:val="nil"/>
              <w:right w:val="nil"/>
            </w:tcBorders>
            <w:shd w:val="clear" w:color="auto" w:fill="auto"/>
            <w:noWrap/>
            <w:vAlign w:val="center"/>
          </w:tcPr>
          <w:p w14:paraId="6DE30EEB" w14:textId="77777777" w:rsidR="00620753" w:rsidRPr="009361EA" w:rsidRDefault="00620753" w:rsidP="00B849AD">
            <w:pPr>
              <w:jc w:val="center"/>
              <w:rPr>
                <w:sz w:val="22"/>
                <w:szCs w:val="22"/>
                <w:lang w:val="en-US"/>
              </w:rPr>
            </w:pPr>
            <w:r w:rsidRPr="009361EA">
              <w:rPr>
                <w:sz w:val="22"/>
                <w:szCs w:val="22"/>
                <w:lang w:val="en-US"/>
              </w:rPr>
              <w:t>45.3</w:t>
            </w:r>
          </w:p>
        </w:tc>
        <w:tc>
          <w:tcPr>
            <w:tcW w:w="567" w:type="dxa"/>
            <w:tcBorders>
              <w:top w:val="nil"/>
              <w:left w:val="nil"/>
              <w:bottom w:val="nil"/>
              <w:right w:val="nil"/>
            </w:tcBorders>
            <w:shd w:val="clear" w:color="auto" w:fill="auto"/>
            <w:noWrap/>
            <w:vAlign w:val="center"/>
          </w:tcPr>
          <w:p w14:paraId="3AC0329A" w14:textId="77777777" w:rsidR="00620753" w:rsidRPr="009361EA" w:rsidRDefault="00620753"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xNrY46p4","properties":{"formattedCitation":"[50]","plainCitation":"[50]","noteIndex":0},"citationItems":[{"id":917,"uris":["http://zotero.org/users/5217225/items/DPA55A52"],"uri":["http://zotero.org/users/5217225/items/DPA55A52"],"itemData":{"id":917,"type":"book","language":"English","publisher":"Springer","title":"Sustainable Energy Systems and Applications","URL":"https://www.springer.com/gp/book/9780387958606","author":[{"family":"Dinçer","given":"I."},{"family":"Zamfirescu","given":"C."}],"issued":{"date-parts":[["2011"]]}}}],"schema":"https://github.com/citation-style-language/schema/raw/master/csl-citation.json"} </w:instrText>
            </w:r>
            <w:r w:rsidRPr="009361EA">
              <w:rPr>
                <w:sz w:val="22"/>
                <w:szCs w:val="22"/>
                <w:lang w:val="en-US"/>
              </w:rPr>
              <w:fldChar w:fldCharType="separate"/>
            </w:r>
            <w:r w:rsidRPr="00DE1CA2">
              <w:rPr>
                <w:sz w:val="22"/>
              </w:rPr>
              <w:t>[50]</w:t>
            </w:r>
            <w:r w:rsidRPr="009361EA">
              <w:rPr>
                <w:sz w:val="22"/>
                <w:szCs w:val="22"/>
                <w:lang w:val="en-US"/>
              </w:rPr>
              <w:fldChar w:fldCharType="end"/>
            </w:r>
          </w:p>
        </w:tc>
      </w:tr>
      <w:tr w:rsidR="00620753" w:rsidRPr="009361EA" w14:paraId="1AA54EEE" w14:textId="77777777" w:rsidTr="00B849AD">
        <w:trPr>
          <w:trHeight w:val="300"/>
          <w:jc w:val="center"/>
        </w:trPr>
        <w:tc>
          <w:tcPr>
            <w:tcW w:w="3402" w:type="dxa"/>
            <w:tcBorders>
              <w:top w:val="nil"/>
              <w:left w:val="nil"/>
              <w:bottom w:val="nil"/>
              <w:right w:val="nil"/>
            </w:tcBorders>
            <w:shd w:val="clear" w:color="auto" w:fill="auto"/>
            <w:noWrap/>
            <w:vAlign w:val="center"/>
          </w:tcPr>
          <w:p w14:paraId="1CC1F387"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Diesel</w:t>
            </w:r>
          </w:p>
        </w:tc>
        <w:tc>
          <w:tcPr>
            <w:tcW w:w="1701" w:type="dxa"/>
            <w:tcBorders>
              <w:top w:val="nil"/>
              <w:left w:val="nil"/>
              <w:bottom w:val="nil"/>
              <w:right w:val="nil"/>
            </w:tcBorders>
            <w:shd w:val="clear" w:color="auto" w:fill="auto"/>
            <w:noWrap/>
            <w:vAlign w:val="center"/>
          </w:tcPr>
          <w:p w14:paraId="57A83884" w14:textId="77777777" w:rsidR="00620753" w:rsidRPr="009361EA" w:rsidRDefault="00620753" w:rsidP="00B849AD">
            <w:pPr>
              <w:jc w:val="center"/>
              <w:rPr>
                <w:sz w:val="22"/>
                <w:szCs w:val="22"/>
                <w:lang w:val="en-US"/>
              </w:rPr>
            </w:pPr>
            <w:r w:rsidRPr="009361EA">
              <w:rPr>
                <w:sz w:val="22"/>
                <w:szCs w:val="22"/>
                <w:lang w:val="en-US"/>
              </w:rPr>
              <w:t>44.2</w:t>
            </w:r>
          </w:p>
        </w:tc>
        <w:tc>
          <w:tcPr>
            <w:tcW w:w="567" w:type="dxa"/>
            <w:tcBorders>
              <w:top w:val="nil"/>
              <w:left w:val="nil"/>
              <w:bottom w:val="nil"/>
              <w:right w:val="nil"/>
            </w:tcBorders>
            <w:shd w:val="clear" w:color="auto" w:fill="auto"/>
            <w:noWrap/>
            <w:vAlign w:val="center"/>
          </w:tcPr>
          <w:p w14:paraId="6B8CFBD0" w14:textId="77777777" w:rsidR="00620753" w:rsidRPr="009361EA" w:rsidRDefault="00620753"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nHpgiOGw","properties":{"formattedCitation":"[50]","plainCitation":"[50]","noteIndex":0},"citationItems":[{"id":917,"uris":["http://zotero.org/users/5217225/items/DPA55A52"],"uri":["http://zotero.org/users/5217225/items/DPA55A52"],"itemData":{"id":917,"type":"book","language":"English","publisher":"Springer","title":"Sustainable Energy Systems and Applications","URL":"https://www.springer.com/gp/book/9780387958606","author":[{"family":"Dinçer","given":"I."},{"family":"Zamfirescu","given":"C."}],"issued":{"date-parts":[["2011"]]}}}],"schema":"https://github.com/citation-style-language/schema/raw/master/csl-citation.json"} </w:instrText>
            </w:r>
            <w:r w:rsidRPr="009361EA">
              <w:rPr>
                <w:sz w:val="22"/>
                <w:szCs w:val="22"/>
                <w:lang w:val="en-US"/>
              </w:rPr>
              <w:fldChar w:fldCharType="separate"/>
            </w:r>
            <w:r w:rsidRPr="00DE1CA2">
              <w:rPr>
                <w:sz w:val="22"/>
              </w:rPr>
              <w:t>[50]</w:t>
            </w:r>
            <w:r w:rsidRPr="009361EA">
              <w:rPr>
                <w:sz w:val="22"/>
                <w:szCs w:val="22"/>
                <w:lang w:val="en-US"/>
              </w:rPr>
              <w:fldChar w:fldCharType="end"/>
            </w:r>
          </w:p>
        </w:tc>
      </w:tr>
      <w:tr w:rsidR="00620753" w:rsidRPr="009361EA" w14:paraId="6F5FA89D" w14:textId="77777777" w:rsidTr="00B849AD">
        <w:trPr>
          <w:trHeight w:val="300"/>
          <w:jc w:val="center"/>
        </w:trPr>
        <w:tc>
          <w:tcPr>
            <w:tcW w:w="3402" w:type="dxa"/>
            <w:tcBorders>
              <w:top w:val="nil"/>
              <w:left w:val="nil"/>
              <w:bottom w:val="nil"/>
              <w:right w:val="nil"/>
            </w:tcBorders>
            <w:shd w:val="clear" w:color="auto" w:fill="auto"/>
            <w:noWrap/>
            <w:vAlign w:val="center"/>
          </w:tcPr>
          <w:p w14:paraId="52D1B762"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Heavy fuel oil (HFO)</w:t>
            </w:r>
          </w:p>
        </w:tc>
        <w:tc>
          <w:tcPr>
            <w:tcW w:w="1701" w:type="dxa"/>
            <w:tcBorders>
              <w:top w:val="nil"/>
              <w:left w:val="nil"/>
              <w:bottom w:val="nil"/>
              <w:right w:val="nil"/>
            </w:tcBorders>
            <w:shd w:val="clear" w:color="auto" w:fill="auto"/>
            <w:noWrap/>
            <w:vAlign w:val="center"/>
          </w:tcPr>
          <w:p w14:paraId="527509E9" w14:textId="77777777" w:rsidR="00620753" w:rsidRPr="009361EA" w:rsidRDefault="00620753" w:rsidP="00B849AD">
            <w:pPr>
              <w:jc w:val="center"/>
              <w:rPr>
                <w:sz w:val="22"/>
                <w:szCs w:val="22"/>
                <w:lang w:val="en-US"/>
              </w:rPr>
            </w:pPr>
            <w:r w:rsidRPr="009361EA">
              <w:rPr>
                <w:sz w:val="22"/>
                <w:szCs w:val="22"/>
                <w:lang w:val="en-US"/>
              </w:rPr>
              <w:t>41.4</w:t>
            </w:r>
          </w:p>
        </w:tc>
        <w:tc>
          <w:tcPr>
            <w:tcW w:w="567" w:type="dxa"/>
            <w:tcBorders>
              <w:top w:val="nil"/>
              <w:left w:val="nil"/>
              <w:bottom w:val="nil"/>
              <w:right w:val="nil"/>
            </w:tcBorders>
            <w:shd w:val="clear" w:color="auto" w:fill="auto"/>
            <w:noWrap/>
            <w:vAlign w:val="center"/>
          </w:tcPr>
          <w:p w14:paraId="6F0A0B47" w14:textId="77777777" w:rsidR="00620753" w:rsidRPr="009361EA" w:rsidRDefault="00620753"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ojOBd5vC","properties":{"formattedCitation":"[50]","plainCitation":"[50]","noteIndex":0},"citationItems":[{"id":917,"uris":["http://zotero.org/users/5217225/items/DPA55A52"],"uri":["http://zotero.org/users/5217225/items/DPA55A52"],"itemData":{"id":917,"type":"book","language":"English","publisher":"Springer","title":"Sustainable Energy Systems and Applications","URL":"https://www.springer.com/gp/book/9780387958606","author":[{"family":"Dinçer","given":"I."},{"family":"Zamfirescu","given":"C."}],"issued":{"date-parts":[["2011"]]}}}],"schema":"https://github.com/citation-style-language/schema/raw/master/csl-citation.json"} </w:instrText>
            </w:r>
            <w:r w:rsidRPr="009361EA">
              <w:rPr>
                <w:sz w:val="22"/>
                <w:szCs w:val="22"/>
                <w:lang w:val="en-US"/>
              </w:rPr>
              <w:fldChar w:fldCharType="separate"/>
            </w:r>
            <w:r w:rsidRPr="00DE1CA2">
              <w:rPr>
                <w:sz w:val="22"/>
              </w:rPr>
              <w:t>[50]</w:t>
            </w:r>
            <w:r w:rsidRPr="009361EA">
              <w:rPr>
                <w:sz w:val="22"/>
                <w:szCs w:val="22"/>
                <w:lang w:val="en-US"/>
              </w:rPr>
              <w:fldChar w:fldCharType="end"/>
            </w:r>
          </w:p>
        </w:tc>
      </w:tr>
      <w:tr w:rsidR="00620753" w:rsidRPr="009361EA" w14:paraId="355B1CDA" w14:textId="77777777" w:rsidTr="00B849AD">
        <w:trPr>
          <w:trHeight w:val="300"/>
          <w:jc w:val="center"/>
        </w:trPr>
        <w:tc>
          <w:tcPr>
            <w:tcW w:w="3402" w:type="dxa"/>
            <w:tcBorders>
              <w:top w:val="nil"/>
              <w:left w:val="nil"/>
              <w:bottom w:val="nil"/>
              <w:right w:val="nil"/>
            </w:tcBorders>
            <w:shd w:val="clear" w:color="auto" w:fill="auto"/>
            <w:noWrap/>
            <w:vAlign w:val="center"/>
          </w:tcPr>
          <w:p w14:paraId="43D478C2"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Marine gas oil (MGO)</w:t>
            </w:r>
            <w:r>
              <w:rPr>
                <w:sz w:val="22"/>
                <w:szCs w:val="22"/>
                <w:lang w:val="en-US" w:eastAsia="pt-BR"/>
              </w:rPr>
              <w:t>*</w:t>
            </w:r>
          </w:p>
        </w:tc>
        <w:tc>
          <w:tcPr>
            <w:tcW w:w="1701" w:type="dxa"/>
            <w:tcBorders>
              <w:top w:val="nil"/>
              <w:left w:val="nil"/>
              <w:bottom w:val="nil"/>
              <w:right w:val="nil"/>
            </w:tcBorders>
            <w:shd w:val="clear" w:color="auto" w:fill="auto"/>
            <w:noWrap/>
            <w:vAlign w:val="center"/>
          </w:tcPr>
          <w:p w14:paraId="49298FB4" w14:textId="77777777" w:rsidR="00620753" w:rsidRPr="009361EA" w:rsidRDefault="00620753" w:rsidP="00B849AD">
            <w:pPr>
              <w:jc w:val="center"/>
              <w:rPr>
                <w:sz w:val="22"/>
                <w:szCs w:val="22"/>
                <w:lang w:val="en-US"/>
              </w:rPr>
            </w:pPr>
            <w:r w:rsidRPr="009361EA">
              <w:rPr>
                <w:sz w:val="22"/>
                <w:szCs w:val="22"/>
                <w:lang w:val="en-US"/>
              </w:rPr>
              <w:t>43</w:t>
            </w:r>
          </w:p>
        </w:tc>
        <w:tc>
          <w:tcPr>
            <w:tcW w:w="567" w:type="dxa"/>
            <w:tcBorders>
              <w:top w:val="nil"/>
              <w:left w:val="nil"/>
              <w:bottom w:val="nil"/>
              <w:right w:val="nil"/>
            </w:tcBorders>
            <w:shd w:val="clear" w:color="auto" w:fill="auto"/>
            <w:noWrap/>
            <w:vAlign w:val="center"/>
          </w:tcPr>
          <w:p w14:paraId="5A7AD570" w14:textId="77777777" w:rsidR="00620753" w:rsidRPr="009361EA" w:rsidRDefault="00620753" w:rsidP="00B849AD">
            <w:pPr>
              <w:jc w:val="center"/>
              <w:rPr>
                <w:sz w:val="22"/>
                <w:szCs w:val="22"/>
                <w:lang w:val="en-US"/>
              </w:rPr>
            </w:pPr>
            <w:r w:rsidRPr="009361EA">
              <w:rPr>
                <w:rFonts w:eastAsia="MS Mincho"/>
                <w:szCs w:val="22"/>
                <w:lang w:val="en-US"/>
              </w:rPr>
              <w:fldChar w:fldCharType="begin"/>
            </w:r>
            <w:r w:rsidRPr="009361EA">
              <w:rPr>
                <w:rFonts w:eastAsia="MS Mincho"/>
                <w:szCs w:val="22"/>
                <w:lang w:val="en-US"/>
              </w:rPr>
              <w:instrText xml:space="preserve"> ADDIN ZOTERO_ITEM CSL_CITATION {"citationID":"BnPqwqhR","properties":{"formattedCitation":"[8]","plainCitation":"[8]","noteIndex":0},"citationItems":[{"id":857,"uris":["http://zotero.org/users/5217225/items/LEPWVKW8"],"uri":["http://zotero.org/users/5217225/items/LEPWVKW8"],"itemData":{"id":857,"type":"article-journal","abstract":"The impending restrictions on the sulfur content and greenhouse gas emissions of marine fuels represent a challenge for the maritime shipping industry and an opportunity for alternative fuels that may have lower environmental impacts but are not currently economically competitive. This study developed an integrated screening model to compare the technological, economic, and environmental performance of 33 “drop-in” marine biofuel blendstock supply chains, considering nine agroforestry residues and three thermochemical technologies. The biofuel production was modeled for 500 tonne per day “first-of-a-kind” biorefineries to reflect near-term production. Supply chains were modeled for biofuel production in both Brazil and Sweden to explore the impact of regional differences on the biofuels’ break-even prices and their life cycle emissions of greenhouse gases, SO2, and NOX. This study indicates that in the immediate term, marine biofuels from lignocellulosic feedstocks may have a minimum fuel selling price three or more times higher than current fossil marine fuel prices. Biofuels made from agricultural residues saw a 40–100 kg/GJ decrease in life cycle GHG emissions, but forestry residue emissions depended highly on biogenic carbon dioxide accounting. SO2, and NOX emissions were dominated primarily by combustion, which for SO2 were estimated to be much lower than fossil fuels, due to the negligible sulfur content of the biomass. Overall, no single biofuel was a clear winner in terms of economic and environmental performance in the model, but space is opened for deeper research, as the new regulations come into effect.","container-title":"Journal of Cleaner Production","DOI":"10.1016/j.jclepro.2019.117845","ISSN":"0959-6526","journalAbbreviation":"Journal of Cleaner Production","language":"en","page":"117845","source":"ScienceDirect","title":"Lignocellulosic marine biofuel: Technoeconomic and environmental assessment for production in Brazil and Sweden","title-short":"Lignocellulosic marine biofuel","volume":"239","author":[{"family":"Tanzer","given":"Samantha Eleanor"},{"family":"Posada","given":"John"},{"family":"Geraedts","given":"Sjors"},{"family":"Ramírez","given":"Andrea"}],"issued":{"date-parts":[["2019",12,1]]}}}],"schema":"https://github.com/citation-style-language/schema/raw/master/csl-citation.json"} </w:instrText>
            </w:r>
            <w:r w:rsidRPr="009361EA">
              <w:rPr>
                <w:rFonts w:eastAsia="MS Mincho"/>
                <w:szCs w:val="22"/>
                <w:lang w:val="en-US"/>
              </w:rPr>
              <w:fldChar w:fldCharType="separate"/>
            </w:r>
            <w:r w:rsidRPr="009361EA">
              <w:rPr>
                <w:rFonts w:eastAsia="MS Mincho"/>
                <w:lang w:val="en-US"/>
              </w:rPr>
              <w:t>[8]</w:t>
            </w:r>
            <w:r w:rsidRPr="009361EA">
              <w:rPr>
                <w:rFonts w:eastAsia="MS Mincho"/>
                <w:szCs w:val="22"/>
                <w:lang w:val="en-US"/>
              </w:rPr>
              <w:fldChar w:fldCharType="end"/>
            </w:r>
          </w:p>
        </w:tc>
      </w:tr>
      <w:tr w:rsidR="00620753" w:rsidRPr="009361EA" w14:paraId="6AC9DBA2" w14:textId="77777777" w:rsidTr="00B849AD">
        <w:trPr>
          <w:trHeight w:val="300"/>
          <w:jc w:val="center"/>
        </w:trPr>
        <w:tc>
          <w:tcPr>
            <w:tcW w:w="3402" w:type="dxa"/>
            <w:tcBorders>
              <w:top w:val="nil"/>
              <w:left w:val="nil"/>
              <w:right w:val="nil"/>
            </w:tcBorders>
            <w:shd w:val="clear" w:color="auto" w:fill="auto"/>
            <w:noWrap/>
            <w:vAlign w:val="center"/>
          </w:tcPr>
          <w:p w14:paraId="036EB802"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HTL biocrude</w:t>
            </w:r>
            <w:r>
              <w:rPr>
                <w:sz w:val="22"/>
                <w:szCs w:val="22"/>
                <w:lang w:val="en-US" w:eastAsia="pt-BR"/>
              </w:rPr>
              <w:t>*</w:t>
            </w:r>
          </w:p>
        </w:tc>
        <w:tc>
          <w:tcPr>
            <w:tcW w:w="1701" w:type="dxa"/>
            <w:tcBorders>
              <w:top w:val="nil"/>
              <w:left w:val="nil"/>
              <w:right w:val="nil"/>
            </w:tcBorders>
            <w:shd w:val="clear" w:color="auto" w:fill="auto"/>
            <w:noWrap/>
            <w:vAlign w:val="center"/>
          </w:tcPr>
          <w:p w14:paraId="4995CBEA" w14:textId="77777777" w:rsidR="00620753" w:rsidRPr="009361EA" w:rsidRDefault="00620753" w:rsidP="00B849AD">
            <w:pPr>
              <w:jc w:val="center"/>
              <w:rPr>
                <w:sz w:val="22"/>
                <w:szCs w:val="22"/>
                <w:lang w:val="en-US"/>
              </w:rPr>
            </w:pPr>
            <w:r w:rsidRPr="009361EA">
              <w:rPr>
                <w:sz w:val="22"/>
                <w:szCs w:val="22"/>
                <w:lang w:val="en-US"/>
              </w:rPr>
              <w:t>35</w:t>
            </w:r>
          </w:p>
        </w:tc>
        <w:tc>
          <w:tcPr>
            <w:tcW w:w="567" w:type="dxa"/>
            <w:tcBorders>
              <w:top w:val="nil"/>
              <w:left w:val="nil"/>
              <w:right w:val="nil"/>
            </w:tcBorders>
            <w:shd w:val="clear" w:color="auto" w:fill="auto"/>
            <w:noWrap/>
            <w:vAlign w:val="center"/>
          </w:tcPr>
          <w:p w14:paraId="12BCA9C6" w14:textId="77777777" w:rsidR="00620753" w:rsidRPr="009361EA" w:rsidRDefault="00620753" w:rsidP="00B849AD">
            <w:pPr>
              <w:jc w:val="center"/>
              <w:rPr>
                <w:sz w:val="22"/>
                <w:szCs w:val="22"/>
                <w:lang w:val="en-US"/>
              </w:rPr>
            </w:pPr>
            <w:r w:rsidRPr="009361EA">
              <w:rPr>
                <w:rFonts w:eastAsia="MS Mincho"/>
                <w:szCs w:val="22"/>
                <w:lang w:val="en-US"/>
              </w:rPr>
              <w:fldChar w:fldCharType="begin"/>
            </w:r>
            <w:r w:rsidRPr="009361EA">
              <w:rPr>
                <w:rFonts w:eastAsia="MS Mincho"/>
                <w:szCs w:val="22"/>
                <w:lang w:val="en-US"/>
              </w:rPr>
              <w:instrText xml:space="preserve"> ADDIN ZOTERO_ITEM CSL_CITATION {"citationID":"c2vnhW2e","properties":{"formattedCitation":"[8]","plainCitation":"[8]","noteIndex":0},"citationItems":[{"id":857,"uris":["http://zotero.org/users/5217225/items/LEPWVKW8"],"uri":["http://zotero.org/users/5217225/items/LEPWVKW8"],"itemData":{"id":857,"type":"article-journal","abstract":"The impending restrictions on the sulfur content and greenhouse gas emissions of marine fuels represent a challenge for the maritime shipping industry and an opportunity for alternative fuels that may have lower environmental impacts but are not currently economically competitive. This study developed an integrated screening model to compare the technological, economic, and environmental performance of 33 “drop-in” marine biofuel blendstock supply chains, considering nine agroforestry residues and three thermochemical technologies. The biofuel production was modeled for 500 tonne per day “first-of-a-kind” biorefineries to reflect near-term production. Supply chains were modeled for biofuel production in both Brazil and Sweden to explore the impact of regional differences on the biofuels’ break-even prices and their life cycle emissions of greenhouse gases, SO2, and NOX. This study indicates that in the immediate term, marine biofuels from lignocellulosic feedstocks may have a minimum fuel selling price three or more times higher than current fossil marine fuel prices. Biofuels made from agricultural residues saw a 40–100 kg/GJ decrease in life cycle GHG emissions, but forestry residue emissions depended highly on biogenic carbon dioxide accounting. SO2, and NOX emissions were dominated primarily by combustion, which for SO2 were estimated to be much lower than fossil fuels, due to the negligible sulfur content of the biomass. Overall, no single biofuel was a clear winner in terms of economic and environmental performance in the model, but space is opened for deeper research, as the new regulations come into effect.","container-title":"Journal of Cleaner Production","DOI":"10.1016/j.jclepro.2019.117845","ISSN":"0959-6526","journalAbbreviation":"Journal of Cleaner Production","language":"en","page":"117845","source":"ScienceDirect","title":"Lignocellulosic marine biofuel: Technoeconomic and environmental assessment for production in Brazil and Sweden","title-short":"Lignocellulosic marine biofuel","volume":"239","author":[{"family":"Tanzer","given":"Samantha Eleanor"},{"family":"Posada","given":"John"},{"family":"Geraedts","given":"Sjors"},{"family":"Ramírez","given":"Andrea"}],"issued":{"date-parts":[["2019",12,1]]}}}],"schema":"https://github.com/citation-style-language/schema/raw/master/csl-citation.json"} </w:instrText>
            </w:r>
            <w:r w:rsidRPr="009361EA">
              <w:rPr>
                <w:rFonts w:eastAsia="MS Mincho"/>
                <w:szCs w:val="22"/>
                <w:lang w:val="en-US"/>
              </w:rPr>
              <w:fldChar w:fldCharType="separate"/>
            </w:r>
            <w:r w:rsidRPr="009361EA">
              <w:rPr>
                <w:rFonts w:eastAsia="MS Mincho"/>
                <w:lang w:val="en-US"/>
              </w:rPr>
              <w:t>[8]</w:t>
            </w:r>
            <w:r w:rsidRPr="009361EA">
              <w:rPr>
                <w:rFonts w:eastAsia="MS Mincho"/>
                <w:szCs w:val="22"/>
                <w:lang w:val="en-US"/>
              </w:rPr>
              <w:fldChar w:fldCharType="end"/>
            </w:r>
          </w:p>
        </w:tc>
      </w:tr>
      <w:tr w:rsidR="00620753" w:rsidRPr="009361EA" w14:paraId="04D84BFF" w14:textId="77777777" w:rsidTr="00B849AD">
        <w:trPr>
          <w:trHeight w:val="300"/>
          <w:jc w:val="center"/>
        </w:trPr>
        <w:tc>
          <w:tcPr>
            <w:tcW w:w="3402" w:type="dxa"/>
            <w:tcBorders>
              <w:top w:val="nil"/>
              <w:left w:val="nil"/>
              <w:bottom w:val="nil"/>
              <w:right w:val="nil"/>
            </w:tcBorders>
            <w:shd w:val="clear" w:color="auto" w:fill="auto"/>
            <w:noWrap/>
            <w:vAlign w:val="center"/>
          </w:tcPr>
          <w:p w14:paraId="5CFBB35C"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FP+HT biocrude</w:t>
            </w:r>
            <w:r>
              <w:rPr>
                <w:sz w:val="22"/>
                <w:szCs w:val="22"/>
                <w:lang w:val="en-US" w:eastAsia="pt-BR"/>
              </w:rPr>
              <w:t>*</w:t>
            </w:r>
          </w:p>
        </w:tc>
        <w:tc>
          <w:tcPr>
            <w:tcW w:w="1701" w:type="dxa"/>
            <w:tcBorders>
              <w:top w:val="nil"/>
              <w:left w:val="nil"/>
              <w:bottom w:val="nil"/>
              <w:right w:val="nil"/>
            </w:tcBorders>
            <w:shd w:val="clear" w:color="auto" w:fill="auto"/>
            <w:noWrap/>
            <w:vAlign w:val="center"/>
          </w:tcPr>
          <w:p w14:paraId="3F1CC4A3" w14:textId="77777777" w:rsidR="00620753" w:rsidRPr="009361EA" w:rsidRDefault="00620753" w:rsidP="00B849AD">
            <w:pPr>
              <w:jc w:val="center"/>
              <w:rPr>
                <w:sz w:val="22"/>
                <w:szCs w:val="22"/>
                <w:lang w:val="en-US"/>
              </w:rPr>
            </w:pPr>
            <w:r w:rsidRPr="009361EA">
              <w:rPr>
                <w:sz w:val="22"/>
                <w:szCs w:val="22"/>
                <w:lang w:val="en-US"/>
              </w:rPr>
              <w:t>35.6</w:t>
            </w:r>
          </w:p>
        </w:tc>
        <w:tc>
          <w:tcPr>
            <w:tcW w:w="567" w:type="dxa"/>
            <w:tcBorders>
              <w:top w:val="nil"/>
              <w:left w:val="nil"/>
              <w:bottom w:val="nil"/>
              <w:right w:val="nil"/>
            </w:tcBorders>
            <w:shd w:val="clear" w:color="auto" w:fill="auto"/>
            <w:noWrap/>
            <w:vAlign w:val="center"/>
          </w:tcPr>
          <w:p w14:paraId="4DB0707D" w14:textId="77777777" w:rsidR="00620753" w:rsidRPr="009361EA" w:rsidRDefault="00620753" w:rsidP="00B849AD">
            <w:pPr>
              <w:jc w:val="center"/>
              <w:rPr>
                <w:sz w:val="22"/>
                <w:szCs w:val="22"/>
                <w:lang w:val="en-US"/>
              </w:rPr>
            </w:pPr>
            <w:r w:rsidRPr="009361EA">
              <w:rPr>
                <w:rFonts w:eastAsia="MS Mincho"/>
                <w:szCs w:val="22"/>
                <w:lang w:val="en-US"/>
              </w:rPr>
              <w:fldChar w:fldCharType="begin"/>
            </w:r>
            <w:r w:rsidRPr="009361EA">
              <w:rPr>
                <w:rFonts w:eastAsia="MS Mincho"/>
                <w:szCs w:val="22"/>
                <w:lang w:val="en-US"/>
              </w:rPr>
              <w:instrText xml:space="preserve"> ADDIN ZOTERO_ITEM CSL_CITATION {"citationID":"blXN1Tsc","properties":{"formattedCitation":"[8]","plainCitation":"[8]","noteIndex":0},"citationItems":[{"id":857,"uris":["http://zotero.org/users/5217225/items/LEPWVKW8"],"uri":["http://zotero.org/users/5217225/items/LEPWVKW8"],"itemData":{"id":857,"type":"article-journal","abstract":"The impending restrictions on the sulfur content and greenhouse gas emissions of marine fuels represent a challenge for the maritime shipping industry and an opportunity for alternative fuels that may have lower environmental impacts but are not currently economically competitive. This study developed an integrated screening model to compare the technological, economic, and environmental performance of 33 “drop-in” marine biofuel blendstock supply chains, considering nine agroforestry residues and three thermochemical technologies. The biofuel production was modeled for 500 tonne per day “first-of-a-kind” biorefineries to reflect near-term production. Supply chains were modeled for biofuel production in both Brazil and Sweden to explore the impact of regional differences on the biofuels’ break-even prices and their life cycle emissions of greenhouse gases, SO2, and NOX. This study indicates that in the immediate term, marine biofuels from lignocellulosic feedstocks may have a minimum fuel selling price three or more times higher than current fossil marine fuel prices. Biofuels made from agricultural residues saw a 40–100 kg/GJ decrease in life cycle GHG emissions, but forestry residue emissions depended highly on biogenic carbon dioxide accounting. SO2, and NOX emissions were dominated primarily by combustion, which for SO2 were estimated to be much lower than fossil fuels, due to the negligible sulfur content of the biomass. Overall, no single biofuel was a clear winner in terms of economic and environmental performance in the model, but space is opened for deeper research, as the new regulations come into effect.","container-title":"Journal of Cleaner Production","DOI":"10.1016/j.jclepro.2019.117845","ISSN":"0959-6526","journalAbbreviation":"Journal of Cleaner Production","language":"en","page":"117845","source":"ScienceDirect","title":"Lignocellulosic marine biofuel: Technoeconomic and environmental assessment for production in Brazil and Sweden","title-short":"Lignocellulosic marine biofuel","volume":"239","author":[{"family":"Tanzer","given":"Samantha Eleanor"},{"family":"Posada","given":"John"},{"family":"Geraedts","given":"Sjors"},{"family":"Ramírez","given":"Andrea"}],"issued":{"date-parts":[["2019",12,1]]}}}],"schema":"https://github.com/citation-style-language/schema/raw/master/csl-citation.json"} </w:instrText>
            </w:r>
            <w:r w:rsidRPr="009361EA">
              <w:rPr>
                <w:rFonts w:eastAsia="MS Mincho"/>
                <w:szCs w:val="22"/>
                <w:lang w:val="en-US"/>
              </w:rPr>
              <w:fldChar w:fldCharType="separate"/>
            </w:r>
            <w:r w:rsidRPr="009361EA">
              <w:rPr>
                <w:rFonts w:eastAsia="MS Mincho"/>
                <w:lang w:val="en-US"/>
              </w:rPr>
              <w:t>[8]</w:t>
            </w:r>
            <w:r w:rsidRPr="009361EA">
              <w:rPr>
                <w:rFonts w:eastAsia="MS Mincho"/>
                <w:szCs w:val="22"/>
                <w:lang w:val="en-US"/>
              </w:rPr>
              <w:fldChar w:fldCharType="end"/>
            </w:r>
          </w:p>
        </w:tc>
      </w:tr>
      <w:tr w:rsidR="00620753" w:rsidRPr="009361EA" w14:paraId="35502F1B" w14:textId="77777777" w:rsidTr="00B849AD">
        <w:trPr>
          <w:trHeight w:val="300"/>
          <w:jc w:val="center"/>
        </w:trPr>
        <w:tc>
          <w:tcPr>
            <w:tcW w:w="3402" w:type="dxa"/>
            <w:tcBorders>
              <w:top w:val="nil"/>
              <w:left w:val="nil"/>
              <w:bottom w:val="nil"/>
              <w:right w:val="nil"/>
            </w:tcBorders>
            <w:shd w:val="clear" w:color="auto" w:fill="auto"/>
            <w:noWrap/>
            <w:vAlign w:val="center"/>
          </w:tcPr>
          <w:p w14:paraId="78E82E48" w14:textId="77777777" w:rsidR="00620753" w:rsidRPr="009361EA" w:rsidRDefault="00620753" w:rsidP="00B849AD">
            <w:pPr>
              <w:autoSpaceDE/>
              <w:autoSpaceDN/>
              <w:jc w:val="left"/>
              <w:rPr>
                <w:sz w:val="22"/>
                <w:szCs w:val="22"/>
                <w:lang w:val="en-US"/>
              </w:rPr>
            </w:pPr>
            <w:r w:rsidRPr="009361EA">
              <w:rPr>
                <w:sz w:val="22"/>
                <w:szCs w:val="22"/>
                <w:lang w:val="en-US" w:eastAsia="pt-BR"/>
              </w:rPr>
              <w:t>GFT biocrude</w:t>
            </w:r>
            <w:r>
              <w:rPr>
                <w:sz w:val="22"/>
                <w:szCs w:val="22"/>
                <w:lang w:val="en-US" w:eastAsia="pt-BR"/>
              </w:rPr>
              <w:t>*</w:t>
            </w:r>
          </w:p>
        </w:tc>
        <w:tc>
          <w:tcPr>
            <w:tcW w:w="1701" w:type="dxa"/>
            <w:tcBorders>
              <w:top w:val="nil"/>
              <w:left w:val="nil"/>
              <w:bottom w:val="nil"/>
              <w:right w:val="nil"/>
            </w:tcBorders>
            <w:shd w:val="clear" w:color="auto" w:fill="auto"/>
            <w:noWrap/>
            <w:vAlign w:val="center"/>
          </w:tcPr>
          <w:p w14:paraId="7E446648" w14:textId="77777777" w:rsidR="00620753" w:rsidRPr="009361EA" w:rsidRDefault="00620753" w:rsidP="00B849AD">
            <w:pPr>
              <w:jc w:val="center"/>
              <w:rPr>
                <w:sz w:val="22"/>
                <w:szCs w:val="22"/>
                <w:lang w:val="en-US"/>
              </w:rPr>
            </w:pPr>
            <w:r w:rsidRPr="009361EA">
              <w:rPr>
                <w:sz w:val="22"/>
                <w:szCs w:val="22"/>
                <w:lang w:val="en-US"/>
              </w:rPr>
              <w:t>43.1</w:t>
            </w:r>
          </w:p>
        </w:tc>
        <w:tc>
          <w:tcPr>
            <w:tcW w:w="567" w:type="dxa"/>
            <w:tcBorders>
              <w:top w:val="nil"/>
              <w:left w:val="nil"/>
              <w:bottom w:val="nil"/>
              <w:right w:val="nil"/>
            </w:tcBorders>
            <w:shd w:val="clear" w:color="auto" w:fill="auto"/>
            <w:noWrap/>
            <w:vAlign w:val="center"/>
          </w:tcPr>
          <w:p w14:paraId="2114C82D" w14:textId="77777777" w:rsidR="00620753" w:rsidRPr="009361EA" w:rsidRDefault="00620753" w:rsidP="00B849AD">
            <w:pPr>
              <w:jc w:val="center"/>
              <w:rPr>
                <w:sz w:val="22"/>
                <w:szCs w:val="22"/>
                <w:lang w:val="en-US"/>
              </w:rPr>
            </w:pPr>
            <w:r w:rsidRPr="009361EA">
              <w:rPr>
                <w:rFonts w:eastAsia="MS Mincho"/>
                <w:szCs w:val="22"/>
                <w:lang w:val="en-US"/>
              </w:rPr>
              <w:fldChar w:fldCharType="begin"/>
            </w:r>
            <w:r w:rsidRPr="009361EA">
              <w:rPr>
                <w:rFonts w:eastAsia="MS Mincho"/>
                <w:szCs w:val="22"/>
                <w:lang w:val="en-US"/>
              </w:rPr>
              <w:instrText xml:space="preserve"> ADDIN ZOTERO_ITEM CSL_CITATION {"citationID":"7rcRBUxp","properties":{"formattedCitation":"[8]","plainCitation":"[8]","noteIndex":0},"citationItems":[{"id":857,"uris":["http://zotero.org/users/5217225/items/LEPWVKW8"],"uri":["http://zotero.org/users/5217225/items/LEPWVKW8"],"itemData":{"id":857,"type":"article-journal","abstract":"The impending restrictions on the sulfur content and greenhouse gas emissions of marine fuels represent a challenge for the maritime shipping industry and an opportunity for alternative fuels that may have lower environmental impacts but are not currently economically competitive. This study developed an integrated screening model to compare the technological, economic, and environmental performance of 33 “drop-in” marine biofuel blendstock supply chains, considering nine agroforestry residues and three thermochemical technologies. The biofuel production was modeled for 500 tonne per day “first-of-a-kind” biorefineries to reflect near-term production. Supply chains were modeled for biofuel production in both Brazil and Sweden to explore the impact of regional differences on the biofuels’ break-even prices and their life cycle emissions of greenhouse gases, SO2, and NOX. This study indicates that in the immediate term, marine biofuels from lignocellulosic feedstocks may have a minimum fuel selling price three or more times higher than current fossil marine fuel prices. Biofuels made from agricultural residues saw a 40–100 kg/GJ decrease in life cycle GHG emissions, but forestry residue emissions depended highly on biogenic carbon dioxide accounting. SO2, and NOX emissions were dominated primarily by combustion, which for SO2 were estimated to be much lower than fossil fuels, due to the negligible sulfur content of the biomass. Overall, no single biofuel was a clear winner in terms of economic and environmental performance in the model, but space is opened for deeper research, as the new regulations come into effect.","container-title":"Journal of Cleaner Production","DOI":"10.1016/j.jclepro.2019.117845","ISSN":"0959-6526","journalAbbreviation":"Journal of Cleaner Production","language":"en","page":"117845","source":"ScienceDirect","title":"Lignocellulosic marine biofuel: Technoeconomic and environmental assessment for production in Brazil and Sweden","title-short":"Lignocellulosic marine biofuel","volume":"239","author":[{"family":"Tanzer","given":"Samantha Eleanor"},{"family":"Posada","given":"John"},{"family":"Geraedts","given":"Sjors"},{"family":"Ramírez","given":"Andrea"}],"issued":{"date-parts":[["2019",12,1]]}}}],"schema":"https://github.com/citation-style-language/schema/raw/master/csl-citation.json"} </w:instrText>
            </w:r>
            <w:r w:rsidRPr="009361EA">
              <w:rPr>
                <w:rFonts w:eastAsia="MS Mincho"/>
                <w:szCs w:val="22"/>
                <w:lang w:val="en-US"/>
              </w:rPr>
              <w:fldChar w:fldCharType="separate"/>
            </w:r>
            <w:r w:rsidRPr="009361EA">
              <w:rPr>
                <w:rFonts w:eastAsia="MS Mincho"/>
                <w:lang w:val="en-US"/>
              </w:rPr>
              <w:t>[8]</w:t>
            </w:r>
            <w:r w:rsidRPr="009361EA">
              <w:rPr>
                <w:rFonts w:eastAsia="MS Mincho"/>
                <w:szCs w:val="22"/>
                <w:lang w:val="en-US"/>
              </w:rPr>
              <w:fldChar w:fldCharType="end"/>
            </w:r>
          </w:p>
        </w:tc>
      </w:tr>
      <w:tr w:rsidR="00620753" w:rsidRPr="009361EA" w14:paraId="276C35C2" w14:textId="77777777" w:rsidTr="00B849AD">
        <w:trPr>
          <w:trHeight w:val="300"/>
          <w:jc w:val="center"/>
        </w:trPr>
        <w:tc>
          <w:tcPr>
            <w:tcW w:w="3402" w:type="dxa"/>
            <w:tcBorders>
              <w:top w:val="nil"/>
              <w:left w:val="nil"/>
              <w:bottom w:val="nil"/>
              <w:right w:val="nil"/>
            </w:tcBorders>
            <w:shd w:val="clear" w:color="auto" w:fill="auto"/>
            <w:noWrap/>
            <w:vAlign w:val="center"/>
          </w:tcPr>
          <w:p w14:paraId="602BE098" w14:textId="77777777" w:rsidR="00620753" w:rsidRPr="009361EA" w:rsidRDefault="00620753" w:rsidP="00B849AD">
            <w:pPr>
              <w:autoSpaceDE/>
              <w:autoSpaceDN/>
              <w:jc w:val="left"/>
              <w:rPr>
                <w:sz w:val="22"/>
                <w:szCs w:val="22"/>
                <w:lang w:val="en-US"/>
              </w:rPr>
            </w:pPr>
            <w:r w:rsidRPr="009361EA">
              <w:rPr>
                <w:sz w:val="22"/>
                <w:szCs w:val="22"/>
                <w:lang w:val="en-US" w:eastAsia="pt-BR"/>
              </w:rPr>
              <w:t>Greenwood</w:t>
            </w:r>
            <w:r>
              <w:rPr>
                <w:sz w:val="22"/>
                <w:szCs w:val="22"/>
                <w:lang w:val="en-US" w:eastAsia="pt-BR"/>
              </w:rPr>
              <w:t>*</w:t>
            </w:r>
          </w:p>
        </w:tc>
        <w:tc>
          <w:tcPr>
            <w:tcW w:w="1701" w:type="dxa"/>
            <w:tcBorders>
              <w:top w:val="nil"/>
              <w:left w:val="nil"/>
              <w:bottom w:val="nil"/>
              <w:right w:val="nil"/>
            </w:tcBorders>
            <w:shd w:val="clear" w:color="auto" w:fill="auto"/>
            <w:noWrap/>
            <w:vAlign w:val="center"/>
          </w:tcPr>
          <w:p w14:paraId="0E54137E" w14:textId="77777777" w:rsidR="00620753" w:rsidRPr="009361EA" w:rsidRDefault="00620753" w:rsidP="00B849AD">
            <w:pPr>
              <w:jc w:val="center"/>
              <w:rPr>
                <w:sz w:val="22"/>
                <w:szCs w:val="22"/>
                <w:lang w:val="en-US"/>
              </w:rPr>
            </w:pPr>
            <w:r w:rsidRPr="009361EA">
              <w:rPr>
                <w:sz w:val="22"/>
                <w:szCs w:val="22"/>
                <w:lang w:val="en-US"/>
              </w:rPr>
              <w:t>9.5</w:t>
            </w:r>
          </w:p>
        </w:tc>
        <w:tc>
          <w:tcPr>
            <w:tcW w:w="567" w:type="dxa"/>
            <w:tcBorders>
              <w:top w:val="nil"/>
              <w:left w:val="nil"/>
              <w:bottom w:val="nil"/>
              <w:right w:val="nil"/>
            </w:tcBorders>
            <w:shd w:val="clear" w:color="auto" w:fill="auto"/>
            <w:noWrap/>
            <w:vAlign w:val="center"/>
          </w:tcPr>
          <w:p w14:paraId="4A7C8E4E" w14:textId="77777777" w:rsidR="00620753" w:rsidRPr="009361EA" w:rsidRDefault="00620753" w:rsidP="00B849AD">
            <w:pPr>
              <w:jc w:val="center"/>
              <w:rPr>
                <w:sz w:val="22"/>
                <w:szCs w:val="22"/>
                <w:lang w:val="en-US"/>
              </w:rPr>
            </w:pPr>
            <w:r w:rsidRPr="009361EA">
              <w:rPr>
                <w:rFonts w:eastAsia="MS Mincho"/>
                <w:szCs w:val="22"/>
                <w:lang w:val="en-US"/>
              </w:rPr>
              <w:fldChar w:fldCharType="begin"/>
            </w:r>
            <w:r w:rsidRPr="009361EA">
              <w:rPr>
                <w:rFonts w:eastAsia="MS Mincho"/>
                <w:szCs w:val="22"/>
                <w:lang w:val="en-US"/>
              </w:rPr>
              <w:instrText xml:space="preserve"> ADDIN ZOTERO_ITEM CSL_CITATION {"citationID":"lQ6kXBOF","properties":{"formattedCitation":"[8]","plainCitation":"[8]","noteIndex":0},"citationItems":[{"id":857,"uris":["http://zotero.org/users/5217225/items/LEPWVKW8"],"uri":["http://zotero.org/users/5217225/items/LEPWVKW8"],"itemData":{"id":857,"type":"article-journal","abstract":"The impending restrictions on the sulfur content and greenhouse gas emissions of marine fuels represent a challenge for the maritime shipping industry and an opportunity for alternative fuels that may have lower environmental impacts but are not currently economically competitive. This study developed an integrated screening model to compare the technological, economic, and environmental performance of 33 “drop-in” marine biofuel blendstock supply chains, considering nine agroforestry residues and three thermochemical technologies. The biofuel production was modeled for 500 tonne per day “first-of-a-kind” biorefineries to reflect near-term production. Supply chains were modeled for biofuel production in both Brazil and Sweden to explore the impact of regional differences on the biofuels’ break-even prices and their life cycle emissions of greenhouse gases, SO2, and NOX. This study indicates that in the immediate term, marine biofuels from lignocellulosic feedstocks may have a minimum fuel selling price three or more times higher than current fossil marine fuel prices. Biofuels made from agricultural residues saw a 40–100 kg/GJ decrease in life cycle GHG emissions, but forestry residue emissions depended highly on biogenic carbon dioxide accounting. SO2, and NOX emissions were dominated primarily by combustion, which for SO2 were estimated to be much lower than fossil fuels, due to the negligible sulfur content of the biomass. Overall, no single biofuel was a clear winner in terms of economic and environmental performance in the model, but space is opened for deeper research, as the new regulations come into effect.","container-title":"Journal of Cleaner Production","DOI":"10.1016/j.jclepro.2019.117845","ISSN":"0959-6526","journalAbbreviation":"Journal of Cleaner Production","language":"en","page":"117845","source":"ScienceDirect","title":"Lignocellulosic marine biofuel: Technoeconomic and environmental assessment for production in Brazil and Sweden","title-short":"Lignocellulosic marine biofuel","volume":"239","author":[{"family":"Tanzer","given":"Samantha Eleanor"},{"family":"Posada","given":"John"},{"family":"Geraedts","given":"Sjors"},{"family":"Ramírez","given":"Andrea"}],"issued":{"date-parts":[["2019",12,1]]}}}],"schema":"https://github.com/citation-style-language/schema/raw/master/csl-citation.json"} </w:instrText>
            </w:r>
            <w:r w:rsidRPr="009361EA">
              <w:rPr>
                <w:rFonts w:eastAsia="MS Mincho"/>
                <w:szCs w:val="22"/>
                <w:lang w:val="en-US"/>
              </w:rPr>
              <w:fldChar w:fldCharType="separate"/>
            </w:r>
            <w:r w:rsidRPr="009361EA">
              <w:rPr>
                <w:rFonts w:eastAsia="MS Mincho"/>
                <w:lang w:val="en-US"/>
              </w:rPr>
              <w:t>[8]</w:t>
            </w:r>
            <w:r w:rsidRPr="009361EA">
              <w:rPr>
                <w:rFonts w:eastAsia="MS Mincho"/>
                <w:szCs w:val="22"/>
                <w:lang w:val="en-US"/>
              </w:rPr>
              <w:fldChar w:fldCharType="end"/>
            </w:r>
          </w:p>
        </w:tc>
      </w:tr>
      <w:tr w:rsidR="00620753" w:rsidRPr="009361EA" w14:paraId="19A1D895" w14:textId="77777777" w:rsidTr="00B849AD">
        <w:trPr>
          <w:trHeight w:val="300"/>
          <w:jc w:val="center"/>
        </w:trPr>
        <w:tc>
          <w:tcPr>
            <w:tcW w:w="3402" w:type="dxa"/>
            <w:tcBorders>
              <w:top w:val="nil"/>
              <w:left w:val="nil"/>
              <w:bottom w:val="nil"/>
              <w:right w:val="nil"/>
            </w:tcBorders>
            <w:shd w:val="clear" w:color="auto" w:fill="auto"/>
            <w:noWrap/>
            <w:vAlign w:val="center"/>
          </w:tcPr>
          <w:p w14:paraId="7D570AC5"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Wax</w:t>
            </w:r>
            <w:r>
              <w:rPr>
                <w:sz w:val="22"/>
                <w:szCs w:val="22"/>
                <w:lang w:val="en-US" w:eastAsia="pt-BR"/>
              </w:rPr>
              <w:t>*</w:t>
            </w:r>
          </w:p>
        </w:tc>
        <w:tc>
          <w:tcPr>
            <w:tcW w:w="1701" w:type="dxa"/>
            <w:tcBorders>
              <w:top w:val="nil"/>
              <w:left w:val="nil"/>
              <w:bottom w:val="nil"/>
              <w:right w:val="nil"/>
            </w:tcBorders>
            <w:shd w:val="clear" w:color="auto" w:fill="auto"/>
            <w:noWrap/>
            <w:vAlign w:val="center"/>
          </w:tcPr>
          <w:p w14:paraId="0F4529B8" w14:textId="77777777" w:rsidR="00620753" w:rsidRPr="009361EA" w:rsidRDefault="00620753" w:rsidP="00B849AD">
            <w:pPr>
              <w:jc w:val="center"/>
              <w:rPr>
                <w:sz w:val="22"/>
                <w:szCs w:val="22"/>
                <w:lang w:val="en-US"/>
              </w:rPr>
            </w:pPr>
            <w:r w:rsidRPr="009361EA">
              <w:rPr>
                <w:sz w:val="22"/>
                <w:szCs w:val="22"/>
                <w:lang w:val="en-US"/>
              </w:rPr>
              <w:t>40</w:t>
            </w:r>
          </w:p>
        </w:tc>
        <w:tc>
          <w:tcPr>
            <w:tcW w:w="567" w:type="dxa"/>
            <w:tcBorders>
              <w:top w:val="nil"/>
              <w:left w:val="nil"/>
              <w:bottom w:val="nil"/>
              <w:right w:val="nil"/>
            </w:tcBorders>
            <w:shd w:val="clear" w:color="auto" w:fill="auto"/>
            <w:noWrap/>
            <w:vAlign w:val="center"/>
          </w:tcPr>
          <w:p w14:paraId="6B5E3EF3" w14:textId="77777777" w:rsidR="00620753" w:rsidRPr="009361EA" w:rsidRDefault="00620753" w:rsidP="00B849AD">
            <w:pPr>
              <w:jc w:val="center"/>
              <w:rPr>
                <w:sz w:val="22"/>
                <w:szCs w:val="22"/>
                <w:lang w:val="en-US"/>
              </w:rPr>
            </w:pPr>
            <w:r w:rsidRPr="009361EA">
              <w:rPr>
                <w:rFonts w:eastAsia="MS Mincho"/>
                <w:szCs w:val="22"/>
                <w:lang w:val="en-US"/>
              </w:rPr>
              <w:fldChar w:fldCharType="begin"/>
            </w:r>
            <w:r w:rsidRPr="009361EA">
              <w:rPr>
                <w:rFonts w:eastAsia="MS Mincho"/>
                <w:szCs w:val="22"/>
                <w:lang w:val="en-US"/>
              </w:rPr>
              <w:instrText xml:space="preserve"> ADDIN ZOTERO_ITEM CSL_CITATION {"citationID":"dWXJaCOM","properties":{"formattedCitation":"[8]","plainCitation":"[8]","noteIndex":0},"citationItems":[{"id":857,"uris":["http://zotero.org/users/5217225/items/LEPWVKW8"],"uri":["http://zotero.org/users/5217225/items/LEPWVKW8"],"itemData":{"id":857,"type":"article-journal","abstract":"The impending restrictions on the sulfur content and greenhouse gas emissions of marine fuels represent a challenge for the maritime shipping industry and an opportunity for alternative fuels that may have lower environmental impacts but are not currently economically competitive. This study developed an integrated screening model to compare the technological, economic, and environmental performance of 33 “drop-in” marine biofuel blendstock supply chains, considering nine agroforestry residues and three thermochemical technologies. The biofuel production was modeled for 500 tonne per day “first-of-a-kind” biorefineries to reflect near-term production. Supply chains were modeled for biofuel production in both Brazil and Sweden to explore the impact of regional differences on the biofuels’ break-even prices and their life cycle emissions of greenhouse gases, SO2, and NOX. This study indicates that in the immediate term, marine biofuels from lignocellulosic feedstocks may have a minimum fuel selling price three or more times higher than current fossil marine fuel prices. Biofuels made from agricultural residues saw a 40–100 kg/GJ decrease in life cycle GHG emissions, but forestry residue emissions depended highly on biogenic carbon dioxide accounting. SO2, and NOX emissions were dominated primarily by combustion, which for SO2 were estimated to be much lower than fossil fuels, due to the negligible sulfur content of the biomass. Overall, no single biofuel was a clear winner in terms of economic and environmental performance in the model, but space is opened for deeper research, as the new regulations come into effect.","container-title":"Journal of Cleaner Production","DOI":"10.1016/j.jclepro.2019.117845","ISSN":"0959-6526","journalAbbreviation":"Journal of Cleaner Production","language":"en","page":"117845","source":"ScienceDirect","title":"Lignocellulosic marine biofuel: Technoeconomic and environmental assessment for production in Brazil and Sweden","title-short":"Lignocellulosic marine biofuel","volume":"239","author":[{"family":"Tanzer","given":"Samantha Eleanor"},{"family":"Posada","given":"John"},{"family":"Geraedts","given":"Sjors"},{"family":"Ramírez","given":"Andrea"}],"issued":{"date-parts":[["2019",12,1]]}}}],"schema":"https://github.com/citation-style-language/schema/raw/master/csl-citation.json"} </w:instrText>
            </w:r>
            <w:r w:rsidRPr="009361EA">
              <w:rPr>
                <w:rFonts w:eastAsia="MS Mincho"/>
                <w:szCs w:val="22"/>
                <w:lang w:val="en-US"/>
              </w:rPr>
              <w:fldChar w:fldCharType="separate"/>
            </w:r>
            <w:r w:rsidRPr="009361EA">
              <w:rPr>
                <w:rFonts w:eastAsia="MS Mincho"/>
                <w:lang w:val="en-US"/>
              </w:rPr>
              <w:t>[8]</w:t>
            </w:r>
            <w:r w:rsidRPr="009361EA">
              <w:rPr>
                <w:rFonts w:eastAsia="MS Mincho"/>
                <w:szCs w:val="22"/>
                <w:lang w:val="en-US"/>
              </w:rPr>
              <w:fldChar w:fldCharType="end"/>
            </w:r>
          </w:p>
        </w:tc>
      </w:tr>
      <w:tr w:rsidR="00620753" w:rsidRPr="009361EA" w14:paraId="47C48139" w14:textId="77777777" w:rsidTr="00B849AD">
        <w:trPr>
          <w:trHeight w:val="300"/>
          <w:jc w:val="center"/>
        </w:trPr>
        <w:tc>
          <w:tcPr>
            <w:tcW w:w="3402" w:type="dxa"/>
            <w:tcBorders>
              <w:top w:val="nil"/>
              <w:left w:val="nil"/>
              <w:bottom w:val="nil"/>
              <w:right w:val="nil"/>
            </w:tcBorders>
            <w:shd w:val="clear" w:color="auto" w:fill="auto"/>
            <w:noWrap/>
            <w:vAlign w:val="center"/>
          </w:tcPr>
          <w:p w14:paraId="70FE799C"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Liquid natural gas (GNL)</w:t>
            </w:r>
          </w:p>
        </w:tc>
        <w:tc>
          <w:tcPr>
            <w:tcW w:w="1701" w:type="dxa"/>
            <w:tcBorders>
              <w:top w:val="nil"/>
              <w:left w:val="nil"/>
              <w:bottom w:val="nil"/>
              <w:right w:val="nil"/>
            </w:tcBorders>
            <w:shd w:val="clear" w:color="auto" w:fill="auto"/>
            <w:noWrap/>
            <w:vAlign w:val="center"/>
          </w:tcPr>
          <w:p w14:paraId="6D8C3953" w14:textId="77777777" w:rsidR="00620753" w:rsidRPr="009361EA" w:rsidRDefault="00620753" w:rsidP="00B849AD">
            <w:pPr>
              <w:jc w:val="center"/>
              <w:rPr>
                <w:sz w:val="22"/>
                <w:szCs w:val="22"/>
                <w:lang w:val="en-US"/>
              </w:rPr>
            </w:pPr>
            <w:r w:rsidRPr="009361EA">
              <w:rPr>
                <w:sz w:val="22"/>
                <w:szCs w:val="22"/>
                <w:lang w:val="en-US"/>
              </w:rPr>
              <w:t>52.4</w:t>
            </w:r>
          </w:p>
        </w:tc>
        <w:tc>
          <w:tcPr>
            <w:tcW w:w="567" w:type="dxa"/>
            <w:tcBorders>
              <w:top w:val="nil"/>
              <w:left w:val="nil"/>
              <w:bottom w:val="nil"/>
              <w:right w:val="nil"/>
            </w:tcBorders>
            <w:shd w:val="clear" w:color="auto" w:fill="auto"/>
            <w:noWrap/>
            <w:vAlign w:val="center"/>
          </w:tcPr>
          <w:p w14:paraId="37801578" w14:textId="77777777" w:rsidR="00620753" w:rsidRPr="009361EA" w:rsidRDefault="00620753"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P9vF8SMR","properties":{"formattedCitation":"[50]","plainCitation":"[50]","noteIndex":0},"citationItems":[{"id":917,"uris":["http://zotero.org/users/5217225/items/DPA55A52"],"uri":["http://zotero.org/users/5217225/items/DPA55A52"],"itemData":{"id":917,"type":"book","language":"English","publisher":"Springer","title":"Sustainable Energy Systems and Applications","URL":"https://www.springer.com/gp/book/9780387958606","author":[{"family":"Dinçer","given":"I."},{"family":"Zamfirescu","given":"C."}],"issued":{"date-parts":[["2011"]]}}}],"schema":"https://github.com/citation-style-language/schema/raw/master/csl-citation.json"} </w:instrText>
            </w:r>
            <w:r w:rsidRPr="009361EA">
              <w:rPr>
                <w:sz w:val="22"/>
                <w:szCs w:val="22"/>
                <w:lang w:val="en-US"/>
              </w:rPr>
              <w:fldChar w:fldCharType="separate"/>
            </w:r>
            <w:r w:rsidRPr="00DE1CA2">
              <w:rPr>
                <w:sz w:val="22"/>
              </w:rPr>
              <w:t>[50]</w:t>
            </w:r>
            <w:r w:rsidRPr="009361EA">
              <w:rPr>
                <w:sz w:val="22"/>
                <w:szCs w:val="22"/>
                <w:lang w:val="en-US"/>
              </w:rPr>
              <w:fldChar w:fldCharType="end"/>
            </w:r>
          </w:p>
        </w:tc>
      </w:tr>
      <w:tr w:rsidR="00620753" w:rsidRPr="009361EA" w14:paraId="6B38CD74" w14:textId="77777777" w:rsidTr="00B849AD">
        <w:trPr>
          <w:trHeight w:val="300"/>
          <w:jc w:val="center"/>
        </w:trPr>
        <w:tc>
          <w:tcPr>
            <w:tcW w:w="3402" w:type="dxa"/>
            <w:tcBorders>
              <w:top w:val="nil"/>
              <w:left w:val="nil"/>
              <w:right w:val="nil"/>
            </w:tcBorders>
            <w:shd w:val="clear" w:color="auto" w:fill="auto"/>
            <w:noWrap/>
            <w:vAlign w:val="center"/>
          </w:tcPr>
          <w:p w14:paraId="589E3F5F"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Natural gas</w:t>
            </w:r>
          </w:p>
        </w:tc>
        <w:tc>
          <w:tcPr>
            <w:tcW w:w="1701" w:type="dxa"/>
            <w:tcBorders>
              <w:top w:val="nil"/>
              <w:left w:val="nil"/>
              <w:right w:val="nil"/>
            </w:tcBorders>
            <w:shd w:val="clear" w:color="auto" w:fill="auto"/>
            <w:noWrap/>
            <w:vAlign w:val="center"/>
          </w:tcPr>
          <w:p w14:paraId="49F20D48" w14:textId="77777777" w:rsidR="00620753" w:rsidRPr="009361EA" w:rsidRDefault="00620753" w:rsidP="00B849AD">
            <w:pPr>
              <w:jc w:val="center"/>
              <w:rPr>
                <w:sz w:val="22"/>
                <w:szCs w:val="22"/>
                <w:lang w:val="en-US"/>
              </w:rPr>
            </w:pPr>
            <w:r w:rsidRPr="009361EA">
              <w:rPr>
                <w:sz w:val="22"/>
                <w:szCs w:val="22"/>
                <w:lang w:val="en-US"/>
              </w:rPr>
              <w:t>48.87</w:t>
            </w:r>
          </w:p>
        </w:tc>
        <w:tc>
          <w:tcPr>
            <w:tcW w:w="567" w:type="dxa"/>
            <w:tcBorders>
              <w:top w:val="nil"/>
              <w:left w:val="nil"/>
              <w:right w:val="nil"/>
            </w:tcBorders>
            <w:shd w:val="clear" w:color="auto" w:fill="auto"/>
            <w:noWrap/>
            <w:vAlign w:val="center"/>
          </w:tcPr>
          <w:p w14:paraId="65F460F7" w14:textId="77777777" w:rsidR="00620753" w:rsidRPr="009361EA" w:rsidRDefault="00620753"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0H3g46Gt","properties":{"formattedCitation":"[51]","plainCitation":"[51]","noteIndex":0},"citationItems":[{"id":918,"uris":["http://zotero.org/users/5217225/items/XF25H9FN"],"uri":["http://zotero.org/users/5217225/items/XF25H9FN"],"itemData":{"id":918,"type":"article-journal","DOI":"https://doi.org/10.3390/pr7100670","journalAbbreviation":"Processes","language":"English","page":"670","title":"Mass and Heat Integration in Ethanol Production Mills for Enhanced Process Efficiency and Exergy-Based Renewability Performance","volume":"7(10)","author":[{"family":"SILVA ORTIZ","given":"P."},{"family":"MACIEL","given":"R."},{"family":"POSADA","given":"J."}],"issued":{"date-parts":[["2019"]]}}}],"schema":"https://github.com/citation-style-language/schema/raw/master/csl-citation.json"} </w:instrText>
            </w:r>
            <w:r w:rsidRPr="009361EA">
              <w:rPr>
                <w:sz w:val="22"/>
                <w:szCs w:val="22"/>
                <w:lang w:val="en-US"/>
              </w:rPr>
              <w:fldChar w:fldCharType="separate"/>
            </w:r>
            <w:r w:rsidRPr="00DE1CA2">
              <w:rPr>
                <w:sz w:val="22"/>
              </w:rPr>
              <w:t>[51]</w:t>
            </w:r>
            <w:r w:rsidRPr="009361EA">
              <w:rPr>
                <w:sz w:val="22"/>
                <w:szCs w:val="22"/>
                <w:lang w:val="en-US"/>
              </w:rPr>
              <w:fldChar w:fldCharType="end"/>
            </w:r>
          </w:p>
        </w:tc>
      </w:tr>
      <w:tr w:rsidR="00620753" w:rsidRPr="009361EA" w14:paraId="02EEDEC7" w14:textId="77777777" w:rsidTr="00B849AD">
        <w:trPr>
          <w:trHeight w:val="300"/>
          <w:jc w:val="center"/>
        </w:trPr>
        <w:tc>
          <w:tcPr>
            <w:tcW w:w="3402" w:type="dxa"/>
            <w:tcBorders>
              <w:top w:val="nil"/>
              <w:left w:val="nil"/>
              <w:bottom w:val="nil"/>
              <w:right w:val="nil"/>
            </w:tcBorders>
            <w:shd w:val="clear" w:color="auto" w:fill="auto"/>
            <w:noWrap/>
            <w:vAlign w:val="center"/>
          </w:tcPr>
          <w:p w14:paraId="7D2EC04A" w14:textId="77777777" w:rsidR="00620753" w:rsidRPr="009361EA" w:rsidRDefault="00620753" w:rsidP="00B849AD">
            <w:pPr>
              <w:autoSpaceDE/>
              <w:autoSpaceDN/>
              <w:jc w:val="left"/>
              <w:rPr>
                <w:sz w:val="22"/>
                <w:szCs w:val="22"/>
                <w:lang w:val="en-US" w:eastAsia="pt-BR"/>
              </w:rPr>
            </w:pPr>
            <w:r w:rsidRPr="009361EA">
              <w:rPr>
                <w:sz w:val="22"/>
                <w:szCs w:val="22"/>
                <w:lang w:val="en-US" w:eastAsia="pt-BR"/>
              </w:rPr>
              <w:t>Wood chips</w:t>
            </w:r>
          </w:p>
        </w:tc>
        <w:tc>
          <w:tcPr>
            <w:tcW w:w="1701" w:type="dxa"/>
            <w:tcBorders>
              <w:top w:val="nil"/>
              <w:left w:val="nil"/>
              <w:bottom w:val="nil"/>
              <w:right w:val="nil"/>
            </w:tcBorders>
            <w:shd w:val="clear" w:color="auto" w:fill="auto"/>
            <w:noWrap/>
            <w:vAlign w:val="center"/>
          </w:tcPr>
          <w:p w14:paraId="0593DF7B" w14:textId="77777777" w:rsidR="00620753" w:rsidRPr="009361EA" w:rsidRDefault="00620753" w:rsidP="00B849AD">
            <w:pPr>
              <w:jc w:val="center"/>
              <w:rPr>
                <w:sz w:val="22"/>
                <w:szCs w:val="22"/>
                <w:lang w:val="en-US"/>
              </w:rPr>
            </w:pPr>
            <w:r w:rsidRPr="009361EA">
              <w:rPr>
                <w:sz w:val="22"/>
                <w:szCs w:val="22"/>
                <w:lang w:val="en-US"/>
              </w:rPr>
              <w:t>18.3</w:t>
            </w:r>
          </w:p>
        </w:tc>
        <w:tc>
          <w:tcPr>
            <w:tcW w:w="567" w:type="dxa"/>
            <w:tcBorders>
              <w:top w:val="nil"/>
              <w:left w:val="nil"/>
              <w:bottom w:val="nil"/>
              <w:right w:val="nil"/>
            </w:tcBorders>
            <w:shd w:val="clear" w:color="auto" w:fill="auto"/>
            <w:noWrap/>
            <w:vAlign w:val="center"/>
          </w:tcPr>
          <w:p w14:paraId="14F12A42" w14:textId="77777777" w:rsidR="00620753" w:rsidRPr="009361EA" w:rsidRDefault="00620753"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kHpUpbC5","properties":{"formattedCitation":"[50]","plainCitation":"[50]","noteIndex":0},"citationItems":[{"id":917,"uris":["http://zotero.org/users/5217225/items/DPA55A52"],"uri":["http://zotero.org/users/5217225/items/DPA55A52"],"itemData":{"id":917,"type":"book","language":"English","publisher":"Springer","title":"Sustainable Energy Systems and Applications","URL":"https://www.springer.com/gp/book/9780387958606","author":[{"family":"Dinçer","given":"I."},{"family":"Zamfirescu","given":"C."}],"issued":{"date-parts":[["2011"]]}}}],"schema":"https://github.com/citation-style-language/schema/raw/master/csl-citation.json"} </w:instrText>
            </w:r>
            <w:r w:rsidRPr="009361EA">
              <w:rPr>
                <w:sz w:val="22"/>
                <w:szCs w:val="22"/>
                <w:lang w:val="en-US"/>
              </w:rPr>
              <w:fldChar w:fldCharType="separate"/>
            </w:r>
            <w:r w:rsidRPr="00DE1CA2">
              <w:rPr>
                <w:sz w:val="22"/>
              </w:rPr>
              <w:t>[50]</w:t>
            </w:r>
            <w:r w:rsidRPr="009361EA">
              <w:rPr>
                <w:sz w:val="22"/>
                <w:szCs w:val="22"/>
                <w:lang w:val="en-US"/>
              </w:rPr>
              <w:fldChar w:fldCharType="end"/>
            </w:r>
          </w:p>
        </w:tc>
      </w:tr>
      <w:tr w:rsidR="00620753" w:rsidRPr="009361EA" w14:paraId="415FB5E6" w14:textId="77777777" w:rsidTr="00B849AD">
        <w:trPr>
          <w:trHeight w:val="300"/>
          <w:jc w:val="center"/>
        </w:trPr>
        <w:tc>
          <w:tcPr>
            <w:tcW w:w="3402" w:type="dxa"/>
            <w:tcBorders>
              <w:top w:val="nil"/>
              <w:left w:val="nil"/>
              <w:bottom w:val="single" w:sz="4" w:space="0" w:color="auto"/>
              <w:right w:val="nil"/>
            </w:tcBorders>
            <w:shd w:val="clear" w:color="auto" w:fill="auto"/>
            <w:noWrap/>
            <w:vAlign w:val="center"/>
          </w:tcPr>
          <w:p w14:paraId="20E51FA2" w14:textId="77777777" w:rsidR="00620753" w:rsidRPr="009361EA" w:rsidRDefault="00620753" w:rsidP="00B849AD">
            <w:pPr>
              <w:autoSpaceDE/>
              <w:autoSpaceDN/>
              <w:jc w:val="left"/>
              <w:rPr>
                <w:sz w:val="22"/>
                <w:szCs w:val="22"/>
                <w:lang w:val="en-US"/>
              </w:rPr>
            </w:pPr>
            <w:r w:rsidRPr="009361EA">
              <w:rPr>
                <w:sz w:val="22"/>
                <w:szCs w:val="22"/>
                <w:lang w:val="en-US" w:eastAsia="pt-BR"/>
              </w:rPr>
              <w:t>Soy biodiesel</w:t>
            </w:r>
          </w:p>
        </w:tc>
        <w:tc>
          <w:tcPr>
            <w:tcW w:w="1701" w:type="dxa"/>
            <w:tcBorders>
              <w:top w:val="nil"/>
              <w:left w:val="nil"/>
              <w:bottom w:val="single" w:sz="4" w:space="0" w:color="auto"/>
              <w:right w:val="nil"/>
            </w:tcBorders>
            <w:shd w:val="clear" w:color="auto" w:fill="auto"/>
            <w:noWrap/>
            <w:vAlign w:val="center"/>
          </w:tcPr>
          <w:p w14:paraId="10FB4B32" w14:textId="77777777" w:rsidR="00620753" w:rsidRPr="009361EA" w:rsidRDefault="00620753" w:rsidP="00B849AD">
            <w:pPr>
              <w:jc w:val="center"/>
              <w:rPr>
                <w:sz w:val="22"/>
                <w:szCs w:val="22"/>
                <w:lang w:val="en-US"/>
              </w:rPr>
            </w:pPr>
            <w:r w:rsidRPr="009361EA">
              <w:rPr>
                <w:sz w:val="22"/>
                <w:szCs w:val="22"/>
                <w:lang w:val="en-US"/>
              </w:rPr>
              <w:t>40.1</w:t>
            </w:r>
          </w:p>
        </w:tc>
        <w:tc>
          <w:tcPr>
            <w:tcW w:w="567" w:type="dxa"/>
            <w:tcBorders>
              <w:top w:val="nil"/>
              <w:left w:val="nil"/>
              <w:bottom w:val="single" w:sz="4" w:space="0" w:color="auto"/>
              <w:right w:val="nil"/>
            </w:tcBorders>
            <w:shd w:val="clear" w:color="auto" w:fill="auto"/>
            <w:noWrap/>
            <w:vAlign w:val="center"/>
          </w:tcPr>
          <w:p w14:paraId="13807045" w14:textId="77777777" w:rsidR="00620753" w:rsidRPr="009361EA" w:rsidRDefault="00620753" w:rsidP="00B849AD">
            <w:pPr>
              <w:jc w:val="center"/>
              <w:rPr>
                <w:sz w:val="22"/>
                <w:szCs w:val="22"/>
                <w:lang w:val="en-US"/>
              </w:rPr>
            </w:pPr>
            <w:r w:rsidRPr="009361EA">
              <w:rPr>
                <w:sz w:val="22"/>
                <w:szCs w:val="22"/>
                <w:lang w:val="en-US"/>
              </w:rPr>
              <w:fldChar w:fldCharType="begin"/>
            </w:r>
            <w:r>
              <w:rPr>
                <w:sz w:val="22"/>
                <w:szCs w:val="22"/>
                <w:lang w:val="en-US"/>
              </w:rPr>
              <w:instrText xml:space="preserve"> ADDIN ZOTERO_ITEM CSL_CITATION {"citationID":"5AncUZUd","properties":{"formattedCitation":"[52]","plainCitation":"[52]","noteIndex":0},"citationItems":[{"id":198,"uris":["http://zotero.org/users/5217225/items/DMBNMUUN"],"uri":["http://zotero.org/users/5217225/items/DMBNMUUN"],"itemData":{"id":198,"type":"book","abstract":"In the last decades, a number of sustainability methods and metrics have been developed, such as life cycle assessment (LCA), industrial ecology, clean technology, and green chemistry, in order to manage selected aspects of sustainability. The exergy concept is particularly useful in analyzing various sustainability issues as it takes into account not only the quantity but also the quality of materials and energy flows. This chapter introduces the concept of exergy that is based on the first and second laws of thermodynamics and takes into account not only the quantity but also the quality of materials and energy. In real processes, exergy is consumed as the quality of materials and energy degrades due to entropy production. The chapter provides renewability assessment of biofuels based on the exergy concept. The sustainable development should be guided by appropriate methods and metrics that are able to qualitatively and quantitatively measure the progress and performance of technology.","ISBN":"978-1-119-11816-9","language":"en","note":"DOI: 10.1002/9781119118169.ch2","publisher":"John Wiley &amp; Sons, Ltd","source":"Wiley Online Library","title":"Efficiency of Biomass Energy: An Exergy Approach to Biofuels, Power, and Biorefineries","URL":"https://onlinelibrary.wiley.com/doi/abs/10.1002/9781119118169.ch2","author":[{"family":"Ptasinski","given":"Krzysztof"}],"accessed":{"date-parts":[["2019",1,13]]},"issued":{"date-parts":[["2016"]]}}}],"schema":"https://github.com/citation-style-language/schema/raw/master/csl-citation.json"} </w:instrText>
            </w:r>
            <w:r w:rsidRPr="009361EA">
              <w:rPr>
                <w:sz w:val="22"/>
                <w:szCs w:val="22"/>
                <w:lang w:val="en-US"/>
              </w:rPr>
              <w:fldChar w:fldCharType="separate"/>
            </w:r>
            <w:r w:rsidRPr="00DE1CA2">
              <w:rPr>
                <w:sz w:val="22"/>
              </w:rPr>
              <w:t>[52]</w:t>
            </w:r>
            <w:r w:rsidRPr="009361EA">
              <w:rPr>
                <w:sz w:val="22"/>
                <w:szCs w:val="22"/>
                <w:lang w:val="en-US"/>
              </w:rPr>
              <w:fldChar w:fldCharType="end"/>
            </w:r>
          </w:p>
        </w:tc>
      </w:tr>
    </w:tbl>
    <w:p w14:paraId="0FD20030" w14:textId="77777777" w:rsidR="00620753" w:rsidRPr="00FA758C" w:rsidRDefault="00620753" w:rsidP="00620753">
      <w:pPr>
        <w:autoSpaceDE/>
        <w:autoSpaceDN/>
        <w:jc w:val="center"/>
        <w:rPr>
          <w:rFonts w:eastAsia="MS Mincho"/>
          <w:sz w:val="22"/>
          <w:szCs w:val="22"/>
          <w:lang w:val="en-US"/>
        </w:rPr>
      </w:pPr>
      <w:r w:rsidRPr="00FA758C">
        <w:rPr>
          <w:rFonts w:eastAsia="MS Mincho"/>
          <w:sz w:val="22"/>
          <w:szCs w:val="22"/>
          <w:lang w:val="en-US"/>
        </w:rPr>
        <w:t>*Based on PCI (MJ/kg)</w:t>
      </w:r>
    </w:p>
    <w:p w14:paraId="065DFDCB" w14:textId="77777777" w:rsidR="00620753" w:rsidRDefault="00620753" w:rsidP="00620753">
      <w:pPr>
        <w:autoSpaceDE/>
        <w:autoSpaceDN/>
        <w:rPr>
          <w:rFonts w:eastAsia="MS Mincho"/>
          <w:szCs w:val="22"/>
          <w:lang w:val="en-US"/>
        </w:rPr>
      </w:pPr>
    </w:p>
    <w:p w14:paraId="43E1FCBA" w14:textId="4FA94EA0" w:rsidR="00620753" w:rsidRDefault="00620753" w:rsidP="006D27B6">
      <w:pPr>
        <w:pStyle w:val="reference"/>
        <w:numPr>
          <w:ilvl w:val="0"/>
          <w:numId w:val="0"/>
        </w:numPr>
        <w:ind w:left="284" w:hanging="284"/>
        <w:rPr>
          <w:lang w:val="en-US"/>
        </w:rPr>
      </w:pPr>
    </w:p>
    <w:p w14:paraId="2D3A2EE9" w14:textId="77777777" w:rsidR="00620753" w:rsidRPr="009361EA" w:rsidRDefault="00620753" w:rsidP="006D27B6">
      <w:pPr>
        <w:pStyle w:val="reference"/>
        <w:numPr>
          <w:ilvl w:val="0"/>
          <w:numId w:val="0"/>
        </w:numPr>
        <w:ind w:left="284" w:hanging="284"/>
        <w:rPr>
          <w:lang w:val="en-US"/>
        </w:rPr>
      </w:pPr>
    </w:p>
    <w:p w14:paraId="31BF1F89" w14:textId="2C8564E4" w:rsidR="00BA779F" w:rsidRDefault="00BA779F" w:rsidP="006D27B6">
      <w:pPr>
        <w:pStyle w:val="reference"/>
        <w:numPr>
          <w:ilvl w:val="0"/>
          <w:numId w:val="0"/>
        </w:numPr>
        <w:ind w:left="284" w:hanging="284"/>
        <w:rPr>
          <w:lang w:val="en-US"/>
        </w:rPr>
      </w:pPr>
    </w:p>
    <w:p w14:paraId="147C4F3B" w14:textId="7FF83A16" w:rsidR="00807F37" w:rsidRDefault="00807F37">
      <w:pPr>
        <w:autoSpaceDE/>
        <w:autoSpaceDN/>
        <w:jc w:val="left"/>
        <w:rPr>
          <w:spacing w:val="-3"/>
          <w:lang w:val="en-US"/>
        </w:rPr>
      </w:pPr>
      <w:r>
        <w:rPr>
          <w:lang w:val="en-US"/>
        </w:rPr>
        <w:br w:type="page"/>
      </w:r>
    </w:p>
    <w:p w14:paraId="70D94BE9" w14:textId="4085DA64" w:rsidR="00807F37" w:rsidRDefault="00807F37" w:rsidP="007B7863">
      <w:pPr>
        <w:pStyle w:val="reference"/>
        <w:numPr>
          <w:ilvl w:val="0"/>
          <w:numId w:val="0"/>
        </w:numPr>
        <w:rPr>
          <w:lang w:val="en-US"/>
        </w:rPr>
      </w:pPr>
    </w:p>
    <w:p w14:paraId="6A1817E6" w14:textId="124B32E0" w:rsidR="00807F37" w:rsidRPr="00807F37" w:rsidRDefault="00807F37" w:rsidP="006D27B6">
      <w:pPr>
        <w:pStyle w:val="reference"/>
        <w:numPr>
          <w:ilvl w:val="0"/>
          <w:numId w:val="0"/>
        </w:numPr>
        <w:ind w:left="284" w:hanging="284"/>
        <w:rPr>
          <w:b/>
          <w:bCs/>
          <w:i/>
          <w:iCs/>
          <w:lang w:val="en-US"/>
        </w:rPr>
      </w:pPr>
      <w:r w:rsidRPr="00807F37">
        <w:rPr>
          <w:b/>
          <w:bCs/>
          <w:i/>
          <w:iCs/>
          <w:lang w:val="en-US"/>
        </w:rPr>
        <w:t>List of Figures</w:t>
      </w:r>
    </w:p>
    <w:p w14:paraId="459292AD" w14:textId="2311C706" w:rsidR="00807F37" w:rsidRDefault="00807F37" w:rsidP="006D27B6">
      <w:pPr>
        <w:pStyle w:val="reference"/>
        <w:numPr>
          <w:ilvl w:val="0"/>
          <w:numId w:val="0"/>
        </w:numPr>
        <w:ind w:left="284" w:hanging="284"/>
        <w:rPr>
          <w:lang w:val="en-US"/>
        </w:rPr>
      </w:pPr>
    </w:p>
    <w:p w14:paraId="7C0CF24A" w14:textId="77777777" w:rsidR="00807F37" w:rsidRDefault="00807F37" w:rsidP="006D27B6">
      <w:pPr>
        <w:pStyle w:val="reference"/>
        <w:numPr>
          <w:ilvl w:val="0"/>
          <w:numId w:val="0"/>
        </w:numPr>
        <w:ind w:left="284" w:hanging="284"/>
        <w:rPr>
          <w:lang w:val="en-US"/>
        </w:rPr>
      </w:pPr>
    </w:p>
    <w:p w14:paraId="567779BB" w14:textId="77777777" w:rsidR="00807F37" w:rsidRPr="00807F37" w:rsidRDefault="00807F37" w:rsidP="00807F37">
      <w:pPr>
        <w:rPr>
          <w:spacing w:val="-3"/>
          <w:lang w:val="en-US"/>
        </w:rPr>
      </w:pPr>
      <w:r w:rsidRPr="00807F37">
        <w:rPr>
          <w:spacing w:val="-3"/>
          <w:lang w:val="en-US"/>
        </w:rPr>
        <w:t>Figure 1. Processes boundary of thermochemical systems for marine biofuels production</w:t>
      </w:r>
    </w:p>
    <w:p w14:paraId="113E5EC2" w14:textId="20C5FADE" w:rsidR="00807F37" w:rsidRDefault="00807F37" w:rsidP="006D27B6">
      <w:pPr>
        <w:pStyle w:val="reference"/>
        <w:numPr>
          <w:ilvl w:val="0"/>
          <w:numId w:val="0"/>
        </w:numPr>
        <w:ind w:left="284" w:hanging="284"/>
        <w:rPr>
          <w:lang w:val="en-US"/>
        </w:rPr>
      </w:pPr>
    </w:p>
    <w:p w14:paraId="6635C793" w14:textId="65E0EA4F" w:rsidR="00807F37" w:rsidRDefault="0084096B" w:rsidP="006D27B6">
      <w:pPr>
        <w:pStyle w:val="reference"/>
        <w:numPr>
          <w:ilvl w:val="0"/>
          <w:numId w:val="0"/>
        </w:numPr>
        <w:ind w:left="284" w:hanging="284"/>
        <w:rPr>
          <w:lang w:val="en-US"/>
        </w:rPr>
      </w:pPr>
      <w:r w:rsidRPr="0084096B">
        <w:rPr>
          <w:lang w:val="en-US"/>
        </w:rPr>
        <w:t>Figure 2. Hydrothermal liquefaction model</w:t>
      </w:r>
    </w:p>
    <w:p w14:paraId="1DBE04A8" w14:textId="00A4F14D" w:rsidR="00807F37" w:rsidRDefault="00807F37" w:rsidP="006D27B6">
      <w:pPr>
        <w:pStyle w:val="reference"/>
        <w:numPr>
          <w:ilvl w:val="0"/>
          <w:numId w:val="0"/>
        </w:numPr>
        <w:ind w:left="284" w:hanging="284"/>
        <w:rPr>
          <w:lang w:val="en-US"/>
        </w:rPr>
      </w:pPr>
    </w:p>
    <w:p w14:paraId="52C9B9D0" w14:textId="0C8B8468" w:rsidR="00AE536D" w:rsidRDefault="00AE536D" w:rsidP="006D27B6">
      <w:pPr>
        <w:pStyle w:val="reference"/>
        <w:numPr>
          <w:ilvl w:val="0"/>
          <w:numId w:val="0"/>
        </w:numPr>
        <w:ind w:left="284" w:hanging="284"/>
        <w:rPr>
          <w:lang w:val="en-US"/>
        </w:rPr>
      </w:pPr>
      <w:r w:rsidRPr="00AE536D">
        <w:rPr>
          <w:lang w:val="en-US"/>
        </w:rPr>
        <w:t>Figure 3. Gasification with Fischer-Tropsch model</w:t>
      </w:r>
    </w:p>
    <w:p w14:paraId="39BA4932" w14:textId="3A96DD61" w:rsidR="00807F37" w:rsidRDefault="00807F37" w:rsidP="006D27B6">
      <w:pPr>
        <w:pStyle w:val="reference"/>
        <w:numPr>
          <w:ilvl w:val="0"/>
          <w:numId w:val="0"/>
        </w:numPr>
        <w:ind w:left="284" w:hanging="284"/>
        <w:rPr>
          <w:lang w:val="en-US"/>
        </w:rPr>
      </w:pPr>
    </w:p>
    <w:p w14:paraId="48B7A063" w14:textId="4E1A0E09" w:rsidR="00807F37" w:rsidRDefault="00AE536D" w:rsidP="006D27B6">
      <w:pPr>
        <w:pStyle w:val="reference"/>
        <w:numPr>
          <w:ilvl w:val="0"/>
          <w:numId w:val="0"/>
        </w:numPr>
        <w:ind w:left="284" w:hanging="284"/>
        <w:rPr>
          <w:lang w:val="en-US"/>
        </w:rPr>
      </w:pPr>
      <w:r w:rsidRPr="00AE536D">
        <w:rPr>
          <w:lang w:val="en-US"/>
        </w:rPr>
        <w:t>Figure 4. Fast pyrolysis model</w:t>
      </w:r>
    </w:p>
    <w:p w14:paraId="14CFCFB8" w14:textId="58994942" w:rsidR="00807F37" w:rsidRDefault="00807F37" w:rsidP="006D27B6">
      <w:pPr>
        <w:pStyle w:val="reference"/>
        <w:numPr>
          <w:ilvl w:val="0"/>
          <w:numId w:val="0"/>
        </w:numPr>
        <w:ind w:left="284" w:hanging="284"/>
        <w:rPr>
          <w:lang w:val="en-US"/>
        </w:rPr>
      </w:pPr>
    </w:p>
    <w:p w14:paraId="0B9C4897" w14:textId="4C746FA3" w:rsidR="00AE536D" w:rsidRDefault="00620753" w:rsidP="007B7863">
      <w:pPr>
        <w:pStyle w:val="reference"/>
        <w:numPr>
          <w:ilvl w:val="0"/>
          <w:numId w:val="0"/>
        </w:numPr>
        <w:rPr>
          <w:lang w:val="en-US"/>
        </w:rPr>
      </w:pPr>
      <w:r w:rsidRPr="00620753">
        <w:rPr>
          <w:lang w:val="en-US"/>
        </w:rPr>
        <w:t>Figure 5. Systems technical performance of the configurations based on the exergetic efficiency</w:t>
      </w:r>
      <w:r>
        <w:rPr>
          <w:lang w:val="en-US"/>
        </w:rPr>
        <w:t xml:space="preserve"> </w:t>
      </w:r>
      <w:r w:rsidRPr="00620753">
        <w:rPr>
          <w:lang w:val="en-US"/>
        </w:rPr>
        <w:t>and destroyed exergy rate</w:t>
      </w:r>
    </w:p>
    <w:p w14:paraId="4EEBAB3F" w14:textId="6421C03E" w:rsidR="00620753" w:rsidRDefault="00620753" w:rsidP="006D27B6">
      <w:pPr>
        <w:pStyle w:val="reference"/>
        <w:numPr>
          <w:ilvl w:val="0"/>
          <w:numId w:val="0"/>
        </w:numPr>
        <w:ind w:left="284" w:hanging="284"/>
        <w:rPr>
          <w:lang w:val="en-US"/>
        </w:rPr>
      </w:pPr>
    </w:p>
    <w:p w14:paraId="7DD902C8" w14:textId="483FA39C" w:rsidR="005968FC" w:rsidRDefault="008E74FB" w:rsidP="007B7863">
      <w:pPr>
        <w:pStyle w:val="reference"/>
        <w:numPr>
          <w:ilvl w:val="0"/>
          <w:numId w:val="0"/>
        </w:numPr>
        <w:rPr>
          <w:lang w:val="en-US"/>
        </w:rPr>
      </w:pPr>
      <w:r w:rsidRPr="008E74FB">
        <w:rPr>
          <w:lang w:val="en-US"/>
        </w:rPr>
        <w:t xml:space="preserve">Figure 6. Grassmann diagrams of the </w:t>
      </w:r>
      <w:proofErr w:type="gramStart"/>
      <w:r w:rsidRPr="008E74FB">
        <w:rPr>
          <w:lang w:val="en-US"/>
        </w:rPr>
        <w:t>processes</w:t>
      </w:r>
      <w:proofErr w:type="gramEnd"/>
      <w:r w:rsidRPr="008E74FB">
        <w:rPr>
          <w:lang w:val="en-US"/>
        </w:rPr>
        <w:t xml:space="preserve"> boundary adopted in the thermochemical pathways assessment</w:t>
      </w:r>
    </w:p>
    <w:p w14:paraId="4C2F431A" w14:textId="495B4732" w:rsidR="00620753" w:rsidRDefault="00620753" w:rsidP="006D27B6">
      <w:pPr>
        <w:pStyle w:val="reference"/>
        <w:numPr>
          <w:ilvl w:val="0"/>
          <w:numId w:val="0"/>
        </w:numPr>
        <w:ind w:left="284" w:hanging="284"/>
        <w:rPr>
          <w:lang w:val="en-US"/>
        </w:rPr>
      </w:pPr>
    </w:p>
    <w:p w14:paraId="4DC72C98" w14:textId="7BA42B65" w:rsidR="00620753" w:rsidRDefault="005968FC" w:rsidP="006D27B6">
      <w:pPr>
        <w:pStyle w:val="reference"/>
        <w:numPr>
          <w:ilvl w:val="0"/>
          <w:numId w:val="0"/>
        </w:numPr>
        <w:ind w:left="284" w:hanging="284"/>
        <w:rPr>
          <w:lang w:val="en-US"/>
        </w:rPr>
      </w:pPr>
      <w:r w:rsidRPr="005968FC">
        <w:rPr>
          <w:lang w:val="en-US"/>
        </w:rPr>
        <w:t>Figure 7. Trade-off between the technologies and feedstocks pairs</w:t>
      </w:r>
    </w:p>
    <w:p w14:paraId="6AF6298D" w14:textId="66FCAE86" w:rsidR="00AE536D" w:rsidRDefault="00AE536D" w:rsidP="006D27B6">
      <w:pPr>
        <w:pStyle w:val="reference"/>
        <w:numPr>
          <w:ilvl w:val="0"/>
          <w:numId w:val="0"/>
        </w:numPr>
        <w:ind w:left="284" w:hanging="284"/>
        <w:rPr>
          <w:lang w:val="en-US"/>
        </w:rPr>
      </w:pPr>
    </w:p>
    <w:p w14:paraId="06C040B2" w14:textId="77777777" w:rsidR="00570066" w:rsidRDefault="00570066" w:rsidP="006D27B6">
      <w:pPr>
        <w:pStyle w:val="reference"/>
        <w:numPr>
          <w:ilvl w:val="0"/>
          <w:numId w:val="0"/>
        </w:numPr>
        <w:ind w:left="284" w:hanging="284"/>
        <w:rPr>
          <w:lang w:val="en-US"/>
        </w:rPr>
      </w:pPr>
    </w:p>
    <w:p w14:paraId="5BC77280" w14:textId="77777777" w:rsidR="005968FC" w:rsidRDefault="005968FC" w:rsidP="006D27B6">
      <w:pPr>
        <w:pStyle w:val="reference"/>
        <w:numPr>
          <w:ilvl w:val="0"/>
          <w:numId w:val="0"/>
        </w:numPr>
        <w:ind w:left="284" w:hanging="284"/>
        <w:rPr>
          <w:lang w:val="en-US"/>
        </w:rPr>
      </w:pPr>
    </w:p>
    <w:p w14:paraId="29349847" w14:textId="61C2B1CF" w:rsidR="00807F37" w:rsidRDefault="00807F37">
      <w:pPr>
        <w:autoSpaceDE/>
        <w:autoSpaceDN/>
        <w:jc w:val="left"/>
        <w:rPr>
          <w:spacing w:val="-3"/>
          <w:lang w:val="en-US"/>
        </w:rPr>
      </w:pPr>
      <w:r>
        <w:rPr>
          <w:lang w:val="en-US"/>
        </w:rPr>
        <w:br w:type="page"/>
      </w:r>
    </w:p>
    <w:p w14:paraId="052C401F" w14:textId="0DA4AAA6" w:rsidR="00807F37" w:rsidRDefault="00807F37" w:rsidP="006D27B6">
      <w:pPr>
        <w:pStyle w:val="reference"/>
        <w:numPr>
          <w:ilvl w:val="0"/>
          <w:numId w:val="0"/>
        </w:numPr>
        <w:ind w:left="284" w:hanging="284"/>
        <w:rPr>
          <w:lang w:val="en-US"/>
        </w:rPr>
      </w:pPr>
    </w:p>
    <w:p w14:paraId="5B7228B0" w14:textId="77777777" w:rsidR="00807F37" w:rsidRPr="009361EA" w:rsidRDefault="00807F37" w:rsidP="00807F37">
      <w:pPr>
        <w:tabs>
          <w:tab w:val="left" w:pos="-720"/>
        </w:tabs>
        <w:suppressAutoHyphens/>
        <w:rPr>
          <w:spacing w:val="-3"/>
          <w:lang w:val="en-US"/>
        </w:rPr>
      </w:pPr>
    </w:p>
    <w:p w14:paraId="458FDAC4" w14:textId="77777777" w:rsidR="00807F37" w:rsidRPr="00526E9D" w:rsidRDefault="00807F37" w:rsidP="00807F37">
      <w:pPr>
        <w:tabs>
          <w:tab w:val="left" w:pos="-720"/>
        </w:tabs>
        <w:suppressAutoHyphens/>
        <w:jc w:val="center"/>
        <w:rPr>
          <w:spacing w:val="-3"/>
          <w:lang w:val="en-US"/>
        </w:rPr>
      </w:pPr>
      <w:r>
        <w:rPr>
          <w:noProof/>
        </w:rPr>
        <w:drawing>
          <wp:inline distT="0" distB="0" distL="0" distR="0" wp14:anchorId="4F722D0E" wp14:editId="6A374CD2">
            <wp:extent cx="5759450" cy="2753360"/>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753360"/>
                    </a:xfrm>
                    <a:prstGeom prst="rect">
                      <a:avLst/>
                    </a:prstGeom>
                  </pic:spPr>
                </pic:pic>
              </a:graphicData>
            </a:graphic>
          </wp:inline>
        </w:drawing>
      </w:r>
    </w:p>
    <w:p w14:paraId="3AC865DF" w14:textId="77777777" w:rsidR="00807F37" w:rsidRPr="009361EA" w:rsidRDefault="00807F37" w:rsidP="00807F37">
      <w:pPr>
        <w:tabs>
          <w:tab w:val="left" w:pos="-720"/>
        </w:tabs>
        <w:suppressAutoHyphens/>
        <w:jc w:val="center"/>
        <w:rPr>
          <w:spacing w:val="-3"/>
          <w:lang w:val="en-US"/>
        </w:rPr>
      </w:pPr>
    </w:p>
    <w:p w14:paraId="34F8FF98" w14:textId="77777777" w:rsidR="00807F37" w:rsidRPr="009361EA" w:rsidRDefault="00807F37" w:rsidP="00807F37">
      <w:pPr>
        <w:tabs>
          <w:tab w:val="left" w:pos="-720"/>
        </w:tabs>
        <w:suppressAutoHyphens/>
        <w:jc w:val="center"/>
        <w:rPr>
          <w:spacing w:val="-3"/>
          <w:lang w:val="en-US"/>
        </w:rPr>
      </w:pPr>
      <w:bookmarkStart w:id="8" w:name="_Hlk60184062"/>
      <w:r w:rsidRPr="009361EA">
        <w:rPr>
          <w:spacing w:val="-3"/>
          <w:lang w:val="en-US"/>
        </w:rPr>
        <w:t>Figure</w:t>
      </w:r>
      <w:r w:rsidRPr="00AE536D">
        <w:rPr>
          <w:spacing w:val="-3"/>
          <w:lang w:val="en-US"/>
        </w:rPr>
        <w:t xml:space="preserve"> 1. Processes boundary of thermochemical systems for marine biofuels production</w:t>
      </w:r>
    </w:p>
    <w:p w14:paraId="01335D6D" w14:textId="2A93DE23" w:rsidR="00807F37" w:rsidRDefault="00807F37" w:rsidP="006D27B6">
      <w:pPr>
        <w:pStyle w:val="reference"/>
        <w:numPr>
          <w:ilvl w:val="0"/>
          <w:numId w:val="0"/>
        </w:numPr>
        <w:ind w:left="284" w:hanging="284"/>
        <w:rPr>
          <w:lang w:val="en-US"/>
        </w:rPr>
      </w:pPr>
    </w:p>
    <w:bookmarkEnd w:id="8"/>
    <w:p w14:paraId="05BDBFC2" w14:textId="6758E573" w:rsidR="00807F37" w:rsidRDefault="00807F37" w:rsidP="006D27B6">
      <w:pPr>
        <w:pStyle w:val="reference"/>
        <w:numPr>
          <w:ilvl w:val="0"/>
          <w:numId w:val="0"/>
        </w:numPr>
        <w:ind w:left="284" w:hanging="284"/>
        <w:rPr>
          <w:lang w:val="en-US"/>
        </w:rPr>
      </w:pPr>
    </w:p>
    <w:p w14:paraId="58675DD8" w14:textId="77777777" w:rsidR="00620753" w:rsidRDefault="00620753" w:rsidP="006D27B6">
      <w:pPr>
        <w:pStyle w:val="reference"/>
        <w:numPr>
          <w:ilvl w:val="0"/>
          <w:numId w:val="0"/>
        </w:numPr>
        <w:ind w:left="284" w:hanging="284"/>
        <w:rPr>
          <w:lang w:val="en-US"/>
        </w:rPr>
      </w:pPr>
    </w:p>
    <w:p w14:paraId="374E3EDB" w14:textId="2E696A6D" w:rsidR="0084096B" w:rsidRDefault="0084096B">
      <w:pPr>
        <w:autoSpaceDE/>
        <w:autoSpaceDN/>
        <w:jc w:val="left"/>
        <w:rPr>
          <w:spacing w:val="-3"/>
          <w:lang w:val="en-US"/>
        </w:rPr>
      </w:pPr>
      <w:r>
        <w:rPr>
          <w:lang w:val="en-US"/>
        </w:rPr>
        <w:br w:type="page"/>
      </w:r>
    </w:p>
    <w:p w14:paraId="1D2498F0" w14:textId="77777777" w:rsidR="0084096B" w:rsidRDefault="0084096B" w:rsidP="006D27B6">
      <w:pPr>
        <w:pStyle w:val="reference"/>
        <w:numPr>
          <w:ilvl w:val="0"/>
          <w:numId w:val="0"/>
        </w:numPr>
        <w:ind w:left="284" w:hanging="284"/>
        <w:rPr>
          <w:lang w:val="en-US"/>
        </w:rPr>
      </w:pPr>
    </w:p>
    <w:p w14:paraId="28305985" w14:textId="77777777" w:rsidR="0084096B" w:rsidRPr="009361EA" w:rsidRDefault="0084096B" w:rsidP="0084096B">
      <w:pPr>
        <w:tabs>
          <w:tab w:val="left" w:pos="-1134"/>
          <w:tab w:val="left" w:pos="-414"/>
        </w:tabs>
        <w:suppressAutoHyphens/>
        <w:rPr>
          <w:spacing w:val="-3"/>
          <w:lang w:val="en-US"/>
        </w:rPr>
      </w:pPr>
    </w:p>
    <w:p w14:paraId="61E70973" w14:textId="200BF1A7" w:rsidR="0084096B" w:rsidRDefault="0084096B" w:rsidP="0084096B">
      <w:pPr>
        <w:tabs>
          <w:tab w:val="left" w:pos="-720"/>
        </w:tabs>
        <w:suppressAutoHyphens/>
        <w:jc w:val="center"/>
        <w:rPr>
          <w:spacing w:val="-3"/>
          <w:lang w:val="en-US"/>
        </w:rPr>
      </w:pPr>
      <w:r>
        <w:rPr>
          <w:noProof/>
        </w:rPr>
        <w:drawing>
          <wp:inline distT="0" distB="0" distL="0" distR="0" wp14:anchorId="5309A834" wp14:editId="3486B20D">
            <wp:extent cx="5759450" cy="2099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099945"/>
                    </a:xfrm>
                    <a:prstGeom prst="rect">
                      <a:avLst/>
                    </a:prstGeom>
                  </pic:spPr>
                </pic:pic>
              </a:graphicData>
            </a:graphic>
          </wp:inline>
        </w:drawing>
      </w:r>
    </w:p>
    <w:p w14:paraId="05424B92" w14:textId="77777777" w:rsidR="0084096B" w:rsidRPr="009361EA" w:rsidRDefault="0084096B" w:rsidP="0084096B">
      <w:pPr>
        <w:tabs>
          <w:tab w:val="left" w:pos="-720"/>
        </w:tabs>
        <w:suppressAutoHyphens/>
        <w:jc w:val="center"/>
        <w:rPr>
          <w:spacing w:val="-3"/>
          <w:lang w:val="en-US"/>
        </w:rPr>
      </w:pPr>
    </w:p>
    <w:p w14:paraId="77625B36" w14:textId="77777777" w:rsidR="0084096B" w:rsidRPr="009361EA" w:rsidRDefault="0084096B" w:rsidP="0084096B">
      <w:pPr>
        <w:tabs>
          <w:tab w:val="left" w:pos="-720"/>
        </w:tabs>
        <w:suppressAutoHyphens/>
        <w:jc w:val="center"/>
        <w:rPr>
          <w:spacing w:val="-3"/>
          <w:lang w:val="en-US"/>
        </w:rPr>
      </w:pPr>
      <w:bookmarkStart w:id="9" w:name="_Hlk60184145"/>
      <w:r w:rsidRPr="00105D53">
        <w:rPr>
          <w:spacing w:val="-3"/>
          <w:lang w:val="en-US"/>
        </w:rPr>
        <w:t>Figure 2. Hydrothermal liquefaction model</w:t>
      </w:r>
    </w:p>
    <w:bookmarkEnd w:id="9"/>
    <w:p w14:paraId="1352300A" w14:textId="77777777" w:rsidR="0084096B" w:rsidRPr="009361EA" w:rsidRDefault="0084096B" w:rsidP="0084096B">
      <w:pPr>
        <w:tabs>
          <w:tab w:val="left" w:pos="-720"/>
        </w:tabs>
        <w:suppressAutoHyphens/>
        <w:rPr>
          <w:spacing w:val="-3"/>
          <w:lang w:val="en-US"/>
        </w:rPr>
      </w:pPr>
    </w:p>
    <w:p w14:paraId="32E577C4" w14:textId="0C04E38E" w:rsidR="0084096B" w:rsidRDefault="0084096B" w:rsidP="006D27B6">
      <w:pPr>
        <w:pStyle w:val="reference"/>
        <w:numPr>
          <w:ilvl w:val="0"/>
          <w:numId w:val="0"/>
        </w:numPr>
        <w:ind w:left="284" w:hanging="284"/>
        <w:rPr>
          <w:lang w:val="en-US"/>
        </w:rPr>
      </w:pPr>
    </w:p>
    <w:p w14:paraId="329A8279" w14:textId="6C8C2529" w:rsidR="0084096B" w:rsidRDefault="0084096B">
      <w:pPr>
        <w:autoSpaceDE/>
        <w:autoSpaceDN/>
        <w:jc w:val="left"/>
        <w:rPr>
          <w:spacing w:val="-3"/>
          <w:lang w:val="en-US"/>
        </w:rPr>
      </w:pPr>
      <w:r>
        <w:rPr>
          <w:lang w:val="en-US"/>
        </w:rPr>
        <w:br w:type="page"/>
      </w:r>
    </w:p>
    <w:p w14:paraId="577A817E" w14:textId="77777777" w:rsidR="0084096B" w:rsidRDefault="0084096B" w:rsidP="006D27B6">
      <w:pPr>
        <w:pStyle w:val="reference"/>
        <w:numPr>
          <w:ilvl w:val="0"/>
          <w:numId w:val="0"/>
        </w:numPr>
        <w:ind w:left="284" w:hanging="284"/>
        <w:rPr>
          <w:lang w:val="en-US"/>
        </w:rPr>
      </w:pPr>
    </w:p>
    <w:p w14:paraId="3DAADC1B" w14:textId="77777777" w:rsidR="0084096B" w:rsidRPr="009361EA" w:rsidRDefault="0084096B" w:rsidP="0084096B">
      <w:pPr>
        <w:tabs>
          <w:tab w:val="left" w:pos="-1134"/>
          <w:tab w:val="left" w:pos="-414"/>
        </w:tabs>
        <w:suppressAutoHyphens/>
        <w:rPr>
          <w:spacing w:val="-3"/>
          <w:lang w:val="en-US"/>
        </w:rPr>
      </w:pPr>
    </w:p>
    <w:p w14:paraId="5ECAC49C" w14:textId="77777777" w:rsidR="0084096B" w:rsidRDefault="0084096B" w:rsidP="0084096B">
      <w:pPr>
        <w:tabs>
          <w:tab w:val="left" w:pos="-720"/>
        </w:tabs>
        <w:suppressAutoHyphens/>
        <w:jc w:val="center"/>
        <w:rPr>
          <w:spacing w:val="-3"/>
          <w:lang w:val="en-US"/>
        </w:rPr>
      </w:pPr>
      <w:r>
        <w:rPr>
          <w:noProof/>
        </w:rPr>
        <w:drawing>
          <wp:inline distT="0" distB="0" distL="0" distR="0" wp14:anchorId="4D939471" wp14:editId="31B2846D">
            <wp:extent cx="5952550" cy="2333767"/>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9264" cy="2336399"/>
                    </a:xfrm>
                    <a:prstGeom prst="rect">
                      <a:avLst/>
                    </a:prstGeom>
                  </pic:spPr>
                </pic:pic>
              </a:graphicData>
            </a:graphic>
          </wp:inline>
        </w:drawing>
      </w:r>
    </w:p>
    <w:p w14:paraId="7A789FE6" w14:textId="77777777" w:rsidR="00AE536D" w:rsidRDefault="00AE536D" w:rsidP="0084096B">
      <w:pPr>
        <w:tabs>
          <w:tab w:val="left" w:pos="-720"/>
        </w:tabs>
        <w:suppressAutoHyphens/>
        <w:jc w:val="center"/>
        <w:rPr>
          <w:spacing w:val="-3"/>
          <w:lang w:val="en-US"/>
        </w:rPr>
      </w:pPr>
    </w:p>
    <w:p w14:paraId="23E5757B" w14:textId="1FEA4C2A" w:rsidR="0084096B" w:rsidRPr="009361EA" w:rsidRDefault="0084096B" w:rsidP="0084096B">
      <w:pPr>
        <w:tabs>
          <w:tab w:val="left" w:pos="-720"/>
        </w:tabs>
        <w:suppressAutoHyphens/>
        <w:jc w:val="center"/>
        <w:rPr>
          <w:spacing w:val="-3"/>
          <w:lang w:val="en-US"/>
        </w:rPr>
      </w:pPr>
      <w:bookmarkStart w:id="10" w:name="_Hlk60184459"/>
      <w:r w:rsidRPr="00105D53">
        <w:rPr>
          <w:spacing w:val="-3"/>
          <w:lang w:val="en-US"/>
        </w:rPr>
        <w:t>Figure 3. Gasification with Fischer-Tropsch model</w:t>
      </w:r>
      <w:bookmarkEnd w:id="10"/>
    </w:p>
    <w:p w14:paraId="254AB267" w14:textId="16C31E82" w:rsidR="0084096B" w:rsidRDefault="0084096B" w:rsidP="006D27B6">
      <w:pPr>
        <w:pStyle w:val="reference"/>
        <w:numPr>
          <w:ilvl w:val="0"/>
          <w:numId w:val="0"/>
        </w:numPr>
        <w:ind w:left="284" w:hanging="284"/>
        <w:rPr>
          <w:lang w:val="en-US"/>
        </w:rPr>
      </w:pPr>
    </w:p>
    <w:p w14:paraId="56761B5F" w14:textId="558182DE" w:rsidR="0084096B" w:rsidRDefault="0084096B" w:rsidP="006D27B6">
      <w:pPr>
        <w:pStyle w:val="reference"/>
        <w:numPr>
          <w:ilvl w:val="0"/>
          <w:numId w:val="0"/>
        </w:numPr>
        <w:ind w:left="284" w:hanging="284"/>
        <w:rPr>
          <w:lang w:val="en-US"/>
        </w:rPr>
      </w:pPr>
    </w:p>
    <w:p w14:paraId="648667B2" w14:textId="13450AD5" w:rsidR="00AE536D" w:rsidRDefault="00AE536D" w:rsidP="006D27B6">
      <w:pPr>
        <w:pStyle w:val="reference"/>
        <w:numPr>
          <w:ilvl w:val="0"/>
          <w:numId w:val="0"/>
        </w:numPr>
        <w:ind w:left="284" w:hanging="284"/>
        <w:rPr>
          <w:lang w:val="en-US"/>
        </w:rPr>
      </w:pPr>
    </w:p>
    <w:p w14:paraId="5ABD47D2" w14:textId="2A793734" w:rsidR="00AE536D" w:rsidRDefault="00AE536D">
      <w:pPr>
        <w:autoSpaceDE/>
        <w:autoSpaceDN/>
        <w:jc w:val="left"/>
        <w:rPr>
          <w:spacing w:val="-3"/>
          <w:lang w:val="en-US"/>
        </w:rPr>
      </w:pPr>
      <w:r>
        <w:rPr>
          <w:lang w:val="en-US"/>
        </w:rPr>
        <w:br w:type="page"/>
      </w:r>
    </w:p>
    <w:p w14:paraId="07479FA9" w14:textId="61C4BABC" w:rsidR="00AE536D" w:rsidRDefault="00AE536D" w:rsidP="006D27B6">
      <w:pPr>
        <w:pStyle w:val="reference"/>
        <w:numPr>
          <w:ilvl w:val="0"/>
          <w:numId w:val="0"/>
        </w:numPr>
        <w:ind w:left="284" w:hanging="284"/>
        <w:rPr>
          <w:lang w:val="en-US"/>
        </w:rPr>
      </w:pPr>
    </w:p>
    <w:p w14:paraId="39511BFF" w14:textId="77777777" w:rsidR="00AE536D" w:rsidRPr="009361EA" w:rsidRDefault="00AE536D" w:rsidP="00AE536D">
      <w:pPr>
        <w:tabs>
          <w:tab w:val="left" w:pos="-1134"/>
          <w:tab w:val="left" w:pos="-414"/>
        </w:tabs>
        <w:suppressAutoHyphens/>
        <w:rPr>
          <w:spacing w:val="-3"/>
          <w:lang w:val="en-US"/>
        </w:rPr>
      </w:pPr>
    </w:p>
    <w:p w14:paraId="77ABE637" w14:textId="77777777" w:rsidR="00AE536D" w:rsidRPr="009361EA" w:rsidRDefault="00AE536D" w:rsidP="00AE536D">
      <w:pPr>
        <w:tabs>
          <w:tab w:val="left" w:pos="-720"/>
        </w:tabs>
        <w:suppressAutoHyphens/>
        <w:jc w:val="center"/>
        <w:rPr>
          <w:spacing w:val="-3"/>
          <w:lang w:val="en-US"/>
        </w:rPr>
      </w:pPr>
      <w:r>
        <w:rPr>
          <w:noProof/>
        </w:rPr>
        <w:drawing>
          <wp:inline distT="0" distB="0" distL="0" distR="0" wp14:anchorId="128B4FD3" wp14:editId="05821B3C">
            <wp:extent cx="5993950" cy="2142490"/>
            <wp:effectExtent l="0" t="0" r="698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3869" cy="2149610"/>
                    </a:xfrm>
                    <a:prstGeom prst="rect">
                      <a:avLst/>
                    </a:prstGeom>
                  </pic:spPr>
                </pic:pic>
              </a:graphicData>
            </a:graphic>
          </wp:inline>
        </w:drawing>
      </w:r>
    </w:p>
    <w:p w14:paraId="302CC800" w14:textId="77777777" w:rsidR="00AE536D" w:rsidRDefault="00AE536D" w:rsidP="00AE536D">
      <w:pPr>
        <w:tabs>
          <w:tab w:val="left" w:pos="-720"/>
        </w:tabs>
        <w:suppressAutoHyphens/>
        <w:jc w:val="center"/>
        <w:rPr>
          <w:spacing w:val="-3"/>
          <w:lang w:val="en-US"/>
        </w:rPr>
      </w:pPr>
    </w:p>
    <w:p w14:paraId="18ABD15B" w14:textId="2FF39F23" w:rsidR="00AE536D" w:rsidRPr="009361EA" w:rsidRDefault="00AE536D" w:rsidP="00AE536D">
      <w:pPr>
        <w:tabs>
          <w:tab w:val="left" w:pos="-720"/>
        </w:tabs>
        <w:suppressAutoHyphens/>
        <w:jc w:val="center"/>
        <w:rPr>
          <w:spacing w:val="-3"/>
          <w:lang w:val="en-US"/>
        </w:rPr>
      </w:pPr>
      <w:r w:rsidRPr="009361EA">
        <w:rPr>
          <w:spacing w:val="-3"/>
          <w:lang w:val="en-US"/>
        </w:rPr>
        <w:t xml:space="preserve">Figure 4. </w:t>
      </w:r>
      <w:r w:rsidRPr="00654CD2">
        <w:rPr>
          <w:spacing w:val="-3"/>
          <w:lang w:val="en-US"/>
        </w:rPr>
        <w:t xml:space="preserve">Fast pyrolysis </w:t>
      </w:r>
      <w:r w:rsidRPr="009361EA">
        <w:rPr>
          <w:spacing w:val="-3"/>
          <w:lang w:val="en-US"/>
        </w:rPr>
        <w:t>model</w:t>
      </w:r>
    </w:p>
    <w:p w14:paraId="533C9BCE" w14:textId="41016A03" w:rsidR="00AE536D" w:rsidRDefault="00AE536D" w:rsidP="006D27B6">
      <w:pPr>
        <w:pStyle w:val="reference"/>
        <w:numPr>
          <w:ilvl w:val="0"/>
          <w:numId w:val="0"/>
        </w:numPr>
        <w:ind w:left="284" w:hanging="284"/>
        <w:rPr>
          <w:lang w:val="en-US"/>
        </w:rPr>
      </w:pPr>
    </w:p>
    <w:p w14:paraId="6E4CCFE7" w14:textId="13D0B074" w:rsidR="00AE536D" w:rsidRDefault="00AE536D" w:rsidP="006D27B6">
      <w:pPr>
        <w:pStyle w:val="reference"/>
        <w:numPr>
          <w:ilvl w:val="0"/>
          <w:numId w:val="0"/>
        </w:numPr>
        <w:ind w:left="284" w:hanging="284"/>
        <w:rPr>
          <w:lang w:val="en-US"/>
        </w:rPr>
      </w:pPr>
    </w:p>
    <w:p w14:paraId="480E1C65" w14:textId="2A32F27B" w:rsidR="00AE536D" w:rsidRDefault="00AE536D" w:rsidP="006D27B6">
      <w:pPr>
        <w:pStyle w:val="reference"/>
        <w:numPr>
          <w:ilvl w:val="0"/>
          <w:numId w:val="0"/>
        </w:numPr>
        <w:ind w:left="284" w:hanging="284"/>
        <w:rPr>
          <w:lang w:val="en-US"/>
        </w:rPr>
      </w:pPr>
    </w:p>
    <w:p w14:paraId="7F8D13B9" w14:textId="623AA581" w:rsidR="00620753" w:rsidRDefault="00620753">
      <w:pPr>
        <w:autoSpaceDE/>
        <w:autoSpaceDN/>
        <w:jc w:val="left"/>
        <w:rPr>
          <w:spacing w:val="-3"/>
          <w:lang w:val="en-US"/>
        </w:rPr>
      </w:pPr>
      <w:r>
        <w:rPr>
          <w:lang w:val="en-US"/>
        </w:rPr>
        <w:br w:type="page"/>
      </w:r>
    </w:p>
    <w:p w14:paraId="7EEC2518" w14:textId="445804C0" w:rsidR="00620753" w:rsidRDefault="00620753" w:rsidP="006D27B6">
      <w:pPr>
        <w:pStyle w:val="reference"/>
        <w:numPr>
          <w:ilvl w:val="0"/>
          <w:numId w:val="0"/>
        </w:numPr>
        <w:ind w:left="284" w:hanging="284"/>
        <w:rPr>
          <w:lang w:val="en-US"/>
        </w:rPr>
      </w:pPr>
    </w:p>
    <w:p w14:paraId="4866C875" w14:textId="77777777" w:rsidR="00620753" w:rsidRDefault="00620753" w:rsidP="00620753">
      <w:pPr>
        <w:tabs>
          <w:tab w:val="left" w:pos="-720"/>
        </w:tabs>
        <w:suppressAutoHyphens/>
        <w:rPr>
          <w:spacing w:val="-3"/>
          <w:lang w:val="en-U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20753" w14:paraId="02E51BDB" w14:textId="77777777" w:rsidTr="00B849AD">
        <w:trPr>
          <w:trHeight w:val="5530"/>
          <w:jc w:val="center"/>
        </w:trPr>
        <w:tc>
          <w:tcPr>
            <w:tcW w:w="9060" w:type="dxa"/>
          </w:tcPr>
          <w:p w14:paraId="2A250327" w14:textId="77777777" w:rsidR="00620753" w:rsidRDefault="00620753" w:rsidP="00B849AD">
            <w:pPr>
              <w:pBdr>
                <w:bottom w:val="single" w:sz="6" w:space="1" w:color="auto"/>
              </w:pBdr>
              <w:tabs>
                <w:tab w:val="left" w:pos="-720"/>
              </w:tabs>
              <w:suppressAutoHyphens/>
              <w:jc w:val="center"/>
              <w:rPr>
                <w:spacing w:val="-3"/>
                <w:lang w:val="en-US"/>
              </w:rPr>
            </w:pPr>
            <w:r>
              <w:rPr>
                <w:noProof/>
              </w:rPr>
              <w:drawing>
                <wp:inline distT="0" distB="0" distL="0" distR="0" wp14:anchorId="0C43559D" wp14:editId="0E382242">
                  <wp:extent cx="5076967" cy="2829030"/>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691"/>
                          <a:stretch/>
                        </pic:blipFill>
                        <pic:spPr bwMode="auto">
                          <a:xfrm>
                            <a:off x="0" y="0"/>
                            <a:ext cx="5120159" cy="2853098"/>
                          </a:xfrm>
                          <a:prstGeom prst="rect">
                            <a:avLst/>
                          </a:prstGeom>
                          <a:ln>
                            <a:noFill/>
                          </a:ln>
                          <a:extLst>
                            <a:ext uri="{53640926-AAD7-44D8-BBD7-CCE9431645EC}">
                              <a14:shadowObscured xmlns:a14="http://schemas.microsoft.com/office/drawing/2010/main"/>
                            </a:ext>
                          </a:extLst>
                        </pic:spPr>
                      </pic:pic>
                    </a:graphicData>
                  </a:graphic>
                </wp:inline>
              </w:drawing>
            </w:r>
          </w:p>
          <w:p w14:paraId="68F6B00E" w14:textId="77777777" w:rsidR="00620753" w:rsidRPr="00027CD8" w:rsidRDefault="00620753" w:rsidP="00B849AD">
            <w:pPr>
              <w:pBdr>
                <w:bottom w:val="single" w:sz="6" w:space="1" w:color="auto"/>
              </w:pBdr>
              <w:tabs>
                <w:tab w:val="left" w:pos="-720"/>
              </w:tabs>
              <w:suppressAutoHyphens/>
              <w:jc w:val="center"/>
              <w:rPr>
                <w:spacing w:val="-3"/>
                <w:sz w:val="20"/>
                <w:szCs w:val="20"/>
                <w:lang w:val="en-US"/>
              </w:rPr>
            </w:pPr>
          </w:p>
          <w:p w14:paraId="5ACCEE76" w14:textId="77777777" w:rsidR="00620753" w:rsidRDefault="00620753" w:rsidP="00B849AD">
            <w:pPr>
              <w:tabs>
                <w:tab w:val="left" w:pos="-720"/>
              </w:tabs>
              <w:suppressAutoHyphens/>
              <w:rPr>
                <w:spacing w:val="-3"/>
                <w:lang w:val="en-US"/>
              </w:rPr>
            </w:pPr>
          </w:p>
        </w:tc>
      </w:tr>
      <w:tr w:rsidR="00620753" w14:paraId="4EB61175" w14:textId="77777777" w:rsidTr="00B849AD">
        <w:trPr>
          <w:jc w:val="center"/>
        </w:trPr>
        <w:tc>
          <w:tcPr>
            <w:tcW w:w="9060" w:type="dxa"/>
          </w:tcPr>
          <w:p w14:paraId="2A6A651F" w14:textId="77777777" w:rsidR="00620753" w:rsidRDefault="00620753" w:rsidP="00B849AD">
            <w:pPr>
              <w:tabs>
                <w:tab w:val="left" w:pos="-720"/>
              </w:tabs>
              <w:suppressAutoHyphens/>
              <w:jc w:val="center"/>
              <w:rPr>
                <w:spacing w:val="-3"/>
                <w:lang w:val="en-US"/>
              </w:rPr>
            </w:pPr>
            <w:r>
              <w:rPr>
                <w:noProof/>
              </w:rPr>
              <w:drawing>
                <wp:inline distT="0" distB="0" distL="0" distR="0" wp14:anchorId="1A86F6A0" wp14:editId="46B017E4">
                  <wp:extent cx="4933666" cy="2917616"/>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1705" cy="2934197"/>
                          </a:xfrm>
                          <a:prstGeom prst="rect">
                            <a:avLst/>
                          </a:prstGeom>
                        </pic:spPr>
                      </pic:pic>
                    </a:graphicData>
                  </a:graphic>
                </wp:inline>
              </w:drawing>
            </w:r>
          </w:p>
        </w:tc>
      </w:tr>
    </w:tbl>
    <w:p w14:paraId="7D023D51" w14:textId="77777777" w:rsidR="00620753" w:rsidRPr="00620753" w:rsidRDefault="00620753" w:rsidP="00620753">
      <w:pPr>
        <w:tabs>
          <w:tab w:val="left" w:pos="-720"/>
        </w:tabs>
        <w:suppressAutoHyphens/>
        <w:jc w:val="center"/>
        <w:rPr>
          <w:spacing w:val="-3"/>
          <w:lang w:val="en-US"/>
        </w:rPr>
      </w:pPr>
    </w:p>
    <w:p w14:paraId="39C89304" w14:textId="29EBA37F" w:rsidR="00620753" w:rsidRPr="00620753" w:rsidRDefault="00620753" w:rsidP="00620753">
      <w:pPr>
        <w:tabs>
          <w:tab w:val="left" w:pos="-720"/>
        </w:tabs>
        <w:suppressAutoHyphens/>
        <w:jc w:val="center"/>
        <w:rPr>
          <w:spacing w:val="-3"/>
          <w:lang w:val="en-US"/>
        </w:rPr>
      </w:pPr>
      <w:r w:rsidRPr="00620753">
        <w:rPr>
          <w:spacing w:val="-3"/>
          <w:lang w:val="en-US"/>
        </w:rPr>
        <w:t>Figure 5. Systems technical performance of the configurations based on the exergetic efficiency and destroyed exergy rate</w:t>
      </w:r>
    </w:p>
    <w:p w14:paraId="5EBCCE4D" w14:textId="77777777" w:rsidR="00620753" w:rsidRDefault="00620753" w:rsidP="00620753">
      <w:pPr>
        <w:autoSpaceDE/>
        <w:autoSpaceDN/>
        <w:rPr>
          <w:spacing w:val="-3"/>
          <w:lang w:val="en-US"/>
        </w:rPr>
      </w:pPr>
    </w:p>
    <w:p w14:paraId="7FBB1D7A" w14:textId="5C8BD0CD" w:rsidR="00620753" w:rsidRDefault="00620753" w:rsidP="006D27B6">
      <w:pPr>
        <w:pStyle w:val="reference"/>
        <w:numPr>
          <w:ilvl w:val="0"/>
          <w:numId w:val="0"/>
        </w:numPr>
        <w:ind w:left="284" w:hanging="284"/>
        <w:rPr>
          <w:lang w:val="en-US"/>
        </w:rPr>
      </w:pPr>
    </w:p>
    <w:p w14:paraId="7AD62A40" w14:textId="051FDB08" w:rsidR="005968FC" w:rsidRDefault="005968FC">
      <w:pPr>
        <w:autoSpaceDE/>
        <w:autoSpaceDN/>
        <w:jc w:val="left"/>
        <w:rPr>
          <w:spacing w:val="-3"/>
          <w:lang w:val="en-US"/>
        </w:rPr>
      </w:pPr>
      <w:r>
        <w:rPr>
          <w:lang w:val="en-US"/>
        </w:rPr>
        <w:br w:type="page"/>
      </w:r>
    </w:p>
    <w:p w14:paraId="32226619" w14:textId="6CB39CA7" w:rsidR="005968FC" w:rsidRDefault="005968FC" w:rsidP="006D27B6">
      <w:pPr>
        <w:pStyle w:val="reference"/>
        <w:numPr>
          <w:ilvl w:val="0"/>
          <w:numId w:val="0"/>
        </w:numPr>
        <w:ind w:left="284" w:hanging="284"/>
        <w:rPr>
          <w:lang w:val="en-US"/>
        </w:rPr>
      </w:pPr>
    </w:p>
    <w:p w14:paraId="73842D39" w14:textId="77777777" w:rsidR="005968FC" w:rsidRPr="005968FC" w:rsidRDefault="005968FC" w:rsidP="005968FC">
      <w:pPr>
        <w:autoSpaceDE/>
        <w:autoSpaceDN/>
        <w:jc w:val="left"/>
        <w:rPr>
          <w:spacing w:val="-3"/>
          <w:lang w:val="en-US"/>
        </w:rPr>
      </w:pPr>
    </w:p>
    <w:tbl>
      <w:tblPr>
        <w:tblStyle w:val="Tabelacomgrade"/>
        <w:tblW w:w="106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3396"/>
        <w:gridCol w:w="3591"/>
      </w:tblGrid>
      <w:tr w:rsidR="005968FC" w:rsidRPr="000743D7" w14:paraId="322017A7" w14:textId="77777777" w:rsidTr="00B849AD">
        <w:trPr>
          <w:jc w:val="center"/>
        </w:trPr>
        <w:tc>
          <w:tcPr>
            <w:tcW w:w="3621" w:type="dxa"/>
            <w:vAlign w:val="center"/>
          </w:tcPr>
          <w:p w14:paraId="30C7D24D" w14:textId="77777777" w:rsidR="005968FC" w:rsidRPr="000743D7" w:rsidRDefault="005968FC" w:rsidP="00B849AD">
            <w:pPr>
              <w:jc w:val="center"/>
              <w:rPr>
                <w:lang w:val="en-US"/>
              </w:rPr>
            </w:pPr>
            <w:r w:rsidRPr="000743D7">
              <w:rPr>
                <w:noProof/>
                <w:lang w:val="en-US"/>
              </w:rPr>
              <w:drawing>
                <wp:inline distT="0" distB="0" distL="0" distR="0" wp14:anchorId="2E434041" wp14:editId="6504C039">
                  <wp:extent cx="1733265" cy="962350"/>
                  <wp:effectExtent l="0" t="0" r="63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4349" cy="985161"/>
                          </a:xfrm>
                          <a:prstGeom prst="rect">
                            <a:avLst/>
                          </a:prstGeom>
                        </pic:spPr>
                      </pic:pic>
                    </a:graphicData>
                  </a:graphic>
                </wp:inline>
              </w:drawing>
            </w:r>
          </w:p>
        </w:tc>
        <w:tc>
          <w:tcPr>
            <w:tcW w:w="3396" w:type="dxa"/>
            <w:vAlign w:val="center"/>
          </w:tcPr>
          <w:p w14:paraId="7CDBB1B4" w14:textId="77777777" w:rsidR="005968FC" w:rsidRPr="000743D7" w:rsidRDefault="005968FC" w:rsidP="00B849AD">
            <w:pPr>
              <w:jc w:val="center"/>
              <w:rPr>
                <w:lang w:val="en-US"/>
              </w:rPr>
            </w:pPr>
            <w:r w:rsidRPr="000743D7">
              <w:rPr>
                <w:noProof/>
                <w:lang w:val="en-US"/>
              </w:rPr>
              <w:drawing>
                <wp:inline distT="0" distB="0" distL="0" distR="0" wp14:anchorId="024F36E8" wp14:editId="33FA20D9">
                  <wp:extent cx="1712794" cy="881653"/>
                  <wp:effectExtent l="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7962" cy="899756"/>
                          </a:xfrm>
                          <a:prstGeom prst="rect">
                            <a:avLst/>
                          </a:prstGeom>
                        </pic:spPr>
                      </pic:pic>
                    </a:graphicData>
                  </a:graphic>
                </wp:inline>
              </w:drawing>
            </w:r>
          </w:p>
        </w:tc>
        <w:tc>
          <w:tcPr>
            <w:tcW w:w="3591" w:type="dxa"/>
            <w:vAlign w:val="center"/>
          </w:tcPr>
          <w:p w14:paraId="133D4F83" w14:textId="77777777" w:rsidR="005968FC" w:rsidRPr="000743D7" w:rsidRDefault="005968FC" w:rsidP="00B849AD">
            <w:pPr>
              <w:jc w:val="center"/>
              <w:rPr>
                <w:lang w:val="en-US"/>
              </w:rPr>
            </w:pPr>
            <w:r w:rsidRPr="000743D7">
              <w:rPr>
                <w:noProof/>
                <w:lang w:val="en-US"/>
              </w:rPr>
              <w:drawing>
                <wp:inline distT="0" distB="0" distL="0" distR="0" wp14:anchorId="1DCAF203" wp14:editId="0DB32B05">
                  <wp:extent cx="1555845" cy="969215"/>
                  <wp:effectExtent l="0" t="0" r="6350" b="254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9145" cy="996189"/>
                          </a:xfrm>
                          <a:prstGeom prst="rect">
                            <a:avLst/>
                          </a:prstGeom>
                        </pic:spPr>
                      </pic:pic>
                    </a:graphicData>
                  </a:graphic>
                </wp:inline>
              </w:drawing>
            </w:r>
          </w:p>
        </w:tc>
      </w:tr>
      <w:tr w:rsidR="005968FC" w14:paraId="7508B853" w14:textId="77777777" w:rsidTr="00B849AD">
        <w:trPr>
          <w:jc w:val="center"/>
        </w:trPr>
        <w:tc>
          <w:tcPr>
            <w:tcW w:w="3621" w:type="dxa"/>
            <w:vAlign w:val="center"/>
          </w:tcPr>
          <w:p w14:paraId="14382AF3" w14:textId="77777777" w:rsidR="005968FC" w:rsidRDefault="005968FC" w:rsidP="00B849AD">
            <w:pPr>
              <w:jc w:val="center"/>
            </w:pPr>
            <w:r>
              <w:rPr>
                <w:noProof/>
              </w:rPr>
              <w:drawing>
                <wp:inline distT="0" distB="0" distL="0" distR="0" wp14:anchorId="2D860EB2" wp14:editId="0AEE9F21">
                  <wp:extent cx="1692323" cy="868726"/>
                  <wp:effectExtent l="0" t="0" r="3175"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5282" cy="901045"/>
                          </a:xfrm>
                          <a:prstGeom prst="rect">
                            <a:avLst/>
                          </a:prstGeom>
                        </pic:spPr>
                      </pic:pic>
                    </a:graphicData>
                  </a:graphic>
                </wp:inline>
              </w:drawing>
            </w:r>
          </w:p>
        </w:tc>
        <w:tc>
          <w:tcPr>
            <w:tcW w:w="3396" w:type="dxa"/>
            <w:vAlign w:val="center"/>
          </w:tcPr>
          <w:p w14:paraId="49D4787B" w14:textId="77777777" w:rsidR="005968FC" w:rsidRDefault="005968FC" w:rsidP="00B849AD">
            <w:pPr>
              <w:jc w:val="center"/>
            </w:pPr>
            <w:r>
              <w:rPr>
                <w:noProof/>
              </w:rPr>
              <w:drawing>
                <wp:inline distT="0" distB="0" distL="0" distR="0" wp14:anchorId="7F5B6E01" wp14:editId="71982554">
                  <wp:extent cx="1569493" cy="920568"/>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20156" cy="950284"/>
                          </a:xfrm>
                          <a:prstGeom prst="rect">
                            <a:avLst/>
                          </a:prstGeom>
                        </pic:spPr>
                      </pic:pic>
                    </a:graphicData>
                  </a:graphic>
                </wp:inline>
              </w:drawing>
            </w:r>
          </w:p>
        </w:tc>
        <w:tc>
          <w:tcPr>
            <w:tcW w:w="3591" w:type="dxa"/>
            <w:vAlign w:val="center"/>
          </w:tcPr>
          <w:p w14:paraId="771ED61B" w14:textId="77777777" w:rsidR="005968FC" w:rsidRDefault="005968FC" w:rsidP="00B849AD">
            <w:pPr>
              <w:jc w:val="center"/>
            </w:pPr>
            <w:r>
              <w:rPr>
                <w:noProof/>
              </w:rPr>
              <w:drawing>
                <wp:inline distT="0" distB="0" distL="0" distR="0" wp14:anchorId="74DD0937" wp14:editId="5EB76D01">
                  <wp:extent cx="1514901" cy="853774"/>
                  <wp:effectExtent l="0" t="0" r="0" b="381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6472" cy="882838"/>
                          </a:xfrm>
                          <a:prstGeom prst="rect">
                            <a:avLst/>
                          </a:prstGeom>
                        </pic:spPr>
                      </pic:pic>
                    </a:graphicData>
                  </a:graphic>
                </wp:inline>
              </w:drawing>
            </w:r>
          </w:p>
        </w:tc>
      </w:tr>
      <w:tr w:rsidR="005968FC" w14:paraId="14F49F29" w14:textId="77777777" w:rsidTr="00B849AD">
        <w:trPr>
          <w:trHeight w:val="1818"/>
          <w:jc w:val="center"/>
        </w:trPr>
        <w:tc>
          <w:tcPr>
            <w:tcW w:w="3621" w:type="dxa"/>
            <w:vAlign w:val="center"/>
          </w:tcPr>
          <w:p w14:paraId="6A94455B" w14:textId="77777777" w:rsidR="005968FC" w:rsidRDefault="005968FC" w:rsidP="00B849AD">
            <w:pPr>
              <w:jc w:val="center"/>
            </w:pPr>
            <w:r>
              <w:rPr>
                <w:noProof/>
              </w:rPr>
              <w:drawing>
                <wp:inline distT="0" distB="0" distL="0" distR="0" wp14:anchorId="3DDD9A1A" wp14:editId="796DB002">
                  <wp:extent cx="1740089" cy="929231"/>
                  <wp:effectExtent l="0" t="0" r="0" b="444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5162" cy="953301"/>
                          </a:xfrm>
                          <a:prstGeom prst="rect">
                            <a:avLst/>
                          </a:prstGeom>
                        </pic:spPr>
                      </pic:pic>
                    </a:graphicData>
                  </a:graphic>
                </wp:inline>
              </w:drawing>
            </w:r>
          </w:p>
        </w:tc>
        <w:tc>
          <w:tcPr>
            <w:tcW w:w="3396" w:type="dxa"/>
            <w:vAlign w:val="center"/>
          </w:tcPr>
          <w:p w14:paraId="5535A1FA" w14:textId="77777777" w:rsidR="005968FC" w:rsidRDefault="005968FC" w:rsidP="00B849AD">
            <w:pPr>
              <w:jc w:val="center"/>
            </w:pPr>
            <w:r>
              <w:rPr>
                <w:noProof/>
              </w:rPr>
              <w:drawing>
                <wp:inline distT="0" distB="0" distL="0" distR="0" wp14:anchorId="00063165" wp14:editId="08A19C21">
                  <wp:extent cx="1603612" cy="969272"/>
                  <wp:effectExtent l="0" t="0" r="0" b="254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4980" cy="1000320"/>
                          </a:xfrm>
                          <a:prstGeom prst="rect">
                            <a:avLst/>
                          </a:prstGeom>
                        </pic:spPr>
                      </pic:pic>
                    </a:graphicData>
                  </a:graphic>
                </wp:inline>
              </w:drawing>
            </w:r>
          </w:p>
        </w:tc>
        <w:tc>
          <w:tcPr>
            <w:tcW w:w="3591" w:type="dxa"/>
            <w:vAlign w:val="center"/>
          </w:tcPr>
          <w:p w14:paraId="0593DF92" w14:textId="77777777" w:rsidR="005968FC" w:rsidRDefault="005968FC" w:rsidP="00B849AD">
            <w:pPr>
              <w:jc w:val="center"/>
            </w:pPr>
            <w:r>
              <w:rPr>
                <w:noProof/>
              </w:rPr>
              <w:drawing>
                <wp:inline distT="0" distB="0" distL="0" distR="0" wp14:anchorId="3AEF4674" wp14:editId="086E9493">
                  <wp:extent cx="1453487" cy="93372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87709" cy="955712"/>
                          </a:xfrm>
                          <a:prstGeom prst="rect">
                            <a:avLst/>
                          </a:prstGeom>
                        </pic:spPr>
                      </pic:pic>
                    </a:graphicData>
                  </a:graphic>
                </wp:inline>
              </w:drawing>
            </w:r>
          </w:p>
        </w:tc>
      </w:tr>
      <w:tr w:rsidR="005968FC" w14:paraId="5B8FED40" w14:textId="77777777" w:rsidTr="00B849AD">
        <w:trPr>
          <w:jc w:val="center"/>
        </w:trPr>
        <w:tc>
          <w:tcPr>
            <w:tcW w:w="3621" w:type="dxa"/>
            <w:vAlign w:val="center"/>
          </w:tcPr>
          <w:p w14:paraId="078AA770" w14:textId="77777777" w:rsidR="005968FC" w:rsidRDefault="005968FC" w:rsidP="00B849AD">
            <w:pPr>
              <w:jc w:val="center"/>
            </w:pPr>
            <w:r>
              <w:rPr>
                <w:noProof/>
              </w:rPr>
              <w:drawing>
                <wp:inline distT="0" distB="0" distL="0" distR="0" wp14:anchorId="154670CB" wp14:editId="4A61E7B9">
                  <wp:extent cx="1849272" cy="938861"/>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2979" cy="966128"/>
                          </a:xfrm>
                          <a:prstGeom prst="rect">
                            <a:avLst/>
                          </a:prstGeom>
                        </pic:spPr>
                      </pic:pic>
                    </a:graphicData>
                  </a:graphic>
                </wp:inline>
              </w:drawing>
            </w:r>
          </w:p>
        </w:tc>
        <w:tc>
          <w:tcPr>
            <w:tcW w:w="3396" w:type="dxa"/>
            <w:vAlign w:val="center"/>
          </w:tcPr>
          <w:p w14:paraId="6D46285C" w14:textId="77777777" w:rsidR="005968FC" w:rsidRDefault="005968FC" w:rsidP="00B849AD">
            <w:pPr>
              <w:jc w:val="center"/>
            </w:pPr>
            <w:r>
              <w:rPr>
                <w:noProof/>
              </w:rPr>
              <w:drawing>
                <wp:inline distT="0" distB="0" distL="0" distR="0" wp14:anchorId="29038517" wp14:editId="071597E1">
                  <wp:extent cx="1665027" cy="1141877"/>
                  <wp:effectExtent l="0" t="0" r="0" b="127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01923" cy="1167180"/>
                          </a:xfrm>
                          <a:prstGeom prst="rect">
                            <a:avLst/>
                          </a:prstGeom>
                        </pic:spPr>
                      </pic:pic>
                    </a:graphicData>
                  </a:graphic>
                </wp:inline>
              </w:drawing>
            </w:r>
          </w:p>
        </w:tc>
        <w:tc>
          <w:tcPr>
            <w:tcW w:w="3591" w:type="dxa"/>
            <w:vAlign w:val="center"/>
          </w:tcPr>
          <w:p w14:paraId="378745DC" w14:textId="77777777" w:rsidR="005968FC" w:rsidRDefault="005968FC" w:rsidP="00B849AD">
            <w:pPr>
              <w:jc w:val="center"/>
            </w:pPr>
            <w:r>
              <w:rPr>
                <w:noProof/>
              </w:rPr>
              <w:drawing>
                <wp:inline distT="0" distB="0" distL="0" distR="0" wp14:anchorId="62704204" wp14:editId="07A184E6">
                  <wp:extent cx="1712794" cy="865046"/>
                  <wp:effectExtent l="0" t="0" r="190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1751" cy="904923"/>
                          </a:xfrm>
                          <a:prstGeom prst="rect">
                            <a:avLst/>
                          </a:prstGeom>
                        </pic:spPr>
                      </pic:pic>
                    </a:graphicData>
                  </a:graphic>
                </wp:inline>
              </w:drawing>
            </w:r>
          </w:p>
        </w:tc>
      </w:tr>
      <w:tr w:rsidR="005968FC" w14:paraId="66DEAC8E" w14:textId="77777777" w:rsidTr="00B849AD">
        <w:trPr>
          <w:jc w:val="center"/>
        </w:trPr>
        <w:tc>
          <w:tcPr>
            <w:tcW w:w="3621" w:type="dxa"/>
            <w:vAlign w:val="center"/>
          </w:tcPr>
          <w:p w14:paraId="3B8D9268" w14:textId="77777777" w:rsidR="005968FC" w:rsidRDefault="005968FC" w:rsidP="00B849AD">
            <w:pPr>
              <w:jc w:val="center"/>
            </w:pPr>
            <w:r>
              <w:rPr>
                <w:noProof/>
              </w:rPr>
              <w:drawing>
                <wp:inline distT="0" distB="0" distL="0" distR="0" wp14:anchorId="5A741F2E" wp14:editId="33DD0752">
                  <wp:extent cx="1821976" cy="910988"/>
                  <wp:effectExtent l="0" t="0" r="6985" b="381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52978" cy="926489"/>
                          </a:xfrm>
                          <a:prstGeom prst="rect">
                            <a:avLst/>
                          </a:prstGeom>
                        </pic:spPr>
                      </pic:pic>
                    </a:graphicData>
                  </a:graphic>
                </wp:inline>
              </w:drawing>
            </w:r>
          </w:p>
        </w:tc>
        <w:tc>
          <w:tcPr>
            <w:tcW w:w="3396" w:type="dxa"/>
            <w:vAlign w:val="center"/>
          </w:tcPr>
          <w:p w14:paraId="413677AC" w14:textId="77777777" w:rsidR="005968FC" w:rsidRDefault="005968FC" w:rsidP="00B849AD">
            <w:pPr>
              <w:jc w:val="center"/>
            </w:pPr>
            <w:r>
              <w:rPr>
                <w:noProof/>
              </w:rPr>
              <w:drawing>
                <wp:inline distT="0" distB="0" distL="0" distR="0" wp14:anchorId="416EA5F0" wp14:editId="4CE0B729">
                  <wp:extent cx="1549021" cy="909323"/>
                  <wp:effectExtent l="0" t="0" r="0" b="508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83377" cy="929491"/>
                          </a:xfrm>
                          <a:prstGeom prst="rect">
                            <a:avLst/>
                          </a:prstGeom>
                        </pic:spPr>
                      </pic:pic>
                    </a:graphicData>
                  </a:graphic>
                </wp:inline>
              </w:drawing>
            </w:r>
          </w:p>
        </w:tc>
        <w:tc>
          <w:tcPr>
            <w:tcW w:w="3591" w:type="dxa"/>
            <w:vAlign w:val="center"/>
          </w:tcPr>
          <w:p w14:paraId="6199DDCB" w14:textId="77777777" w:rsidR="005968FC" w:rsidRDefault="005968FC" w:rsidP="00B849AD">
            <w:pPr>
              <w:jc w:val="center"/>
            </w:pPr>
            <w:r>
              <w:rPr>
                <w:noProof/>
              </w:rPr>
              <w:drawing>
                <wp:inline distT="0" distB="0" distL="0" distR="0" wp14:anchorId="63DF8AF7" wp14:editId="11E3153A">
                  <wp:extent cx="1562669" cy="974876"/>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89936" cy="991887"/>
                          </a:xfrm>
                          <a:prstGeom prst="rect">
                            <a:avLst/>
                          </a:prstGeom>
                        </pic:spPr>
                      </pic:pic>
                    </a:graphicData>
                  </a:graphic>
                </wp:inline>
              </w:drawing>
            </w:r>
          </w:p>
        </w:tc>
      </w:tr>
      <w:tr w:rsidR="005968FC" w14:paraId="307594C2" w14:textId="77777777" w:rsidTr="00B849AD">
        <w:trPr>
          <w:jc w:val="center"/>
        </w:trPr>
        <w:tc>
          <w:tcPr>
            <w:tcW w:w="3621" w:type="dxa"/>
            <w:vAlign w:val="center"/>
          </w:tcPr>
          <w:p w14:paraId="078EAE70" w14:textId="77777777" w:rsidR="005968FC" w:rsidRDefault="005968FC" w:rsidP="00B849AD">
            <w:pPr>
              <w:jc w:val="center"/>
            </w:pPr>
            <w:r>
              <w:rPr>
                <w:noProof/>
              </w:rPr>
              <w:drawing>
                <wp:inline distT="0" distB="0" distL="0" distR="0" wp14:anchorId="4FB21056" wp14:editId="7D298AE8">
                  <wp:extent cx="1781033" cy="925492"/>
                  <wp:effectExtent l="0" t="0" r="0" b="825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09204" cy="940131"/>
                          </a:xfrm>
                          <a:prstGeom prst="rect">
                            <a:avLst/>
                          </a:prstGeom>
                        </pic:spPr>
                      </pic:pic>
                    </a:graphicData>
                  </a:graphic>
                </wp:inline>
              </w:drawing>
            </w:r>
          </w:p>
        </w:tc>
        <w:tc>
          <w:tcPr>
            <w:tcW w:w="3396" w:type="dxa"/>
            <w:vAlign w:val="center"/>
          </w:tcPr>
          <w:p w14:paraId="07C6B2EB" w14:textId="77777777" w:rsidR="005968FC" w:rsidRDefault="005968FC" w:rsidP="00B849AD">
            <w:pPr>
              <w:jc w:val="center"/>
            </w:pPr>
            <w:r>
              <w:rPr>
                <w:noProof/>
              </w:rPr>
              <w:drawing>
                <wp:inline distT="0" distB="0" distL="0" distR="0" wp14:anchorId="3DC2D40D" wp14:editId="764DD49B">
                  <wp:extent cx="1679246" cy="968991"/>
                  <wp:effectExtent l="0" t="0" r="0" b="317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35687" cy="1001560"/>
                          </a:xfrm>
                          <a:prstGeom prst="rect">
                            <a:avLst/>
                          </a:prstGeom>
                        </pic:spPr>
                      </pic:pic>
                    </a:graphicData>
                  </a:graphic>
                </wp:inline>
              </w:drawing>
            </w:r>
          </w:p>
        </w:tc>
        <w:tc>
          <w:tcPr>
            <w:tcW w:w="3591" w:type="dxa"/>
            <w:vAlign w:val="center"/>
          </w:tcPr>
          <w:p w14:paraId="6CCA85A2" w14:textId="77777777" w:rsidR="005968FC" w:rsidRDefault="005968FC" w:rsidP="00B849AD">
            <w:pPr>
              <w:jc w:val="center"/>
            </w:pPr>
            <w:r>
              <w:rPr>
                <w:noProof/>
              </w:rPr>
              <w:drawing>
                <wp:inline distT="0" distB="0" distL="0" distR="0" wp14:anchorId="22E22F01" wp14:editId="5A31F408">
                  <wp:extent cx="1624083" cy="877994"/>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1586" cy="903674"/>
                          </a:xfrm>
                          <a:prstGeom prst="rect">
                            <a:avLst/>
                          </a:prstGeom>
                        </pic:spPr>
                      </pic:pic>
                    </a:graphicData>
                  </a:graphic>
                </wp:inline>
              </w:drawing>
            </w:r>
          </w:p>
        </w:tc>
      </w:tr>
      <w:tr w:rsidR="005968FC" w14:paraId="38EA602C" w14:textId="77777777" w:rsidTr="00B849AD">
        <w:trPr>
          <w:jc w:val="center"/>
        </w:trPr>
        <w:tc>
          <w:tcPr>
            <w:tcW w:w="3621" w:type="dxa"/>
            <w:vAlign w:val="center"/>
          </w:tcPr>
          <w:p w14:paraId="29D8A886" w14:textId="77777777" w:rsidR="005968FC" w:rsidRDefault="005968FC" w:rsidP="00B849AD">
            <w:pPr>
              <w:jc w:val="center"/>
            </w:pPr>
            <w:r>
              <w:rPr>
                <w:noProof/>
              </w:rPr>
              <w:drawing>
                <wp:inline distT="0" distB="0" distL="0" distR="0" wp14:anchorId="496BB95D" wp14:editId="44B2F230">
                  <wp:extent cx="1753689" cy="1043191"/>
                  <wp:effectExtent l="0" t="0" r="0" b="508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7077" cy="1074949"/>
                          </a:xfrm>
                          <a:prstGeom prst="rect">
                            <a:avLst/>
                          </a:prstGeom>
                        </pic:spPr>
                      </pic:pic>
                    </a:graphicData>
                  </a:graphic>
                </wp:inline>
              </w:drawing>
            </w:r>
          </w:p>
        </w:tc>
        <w:tc>
          <w:tcPr>
            <w:tcW w:w="3396" w:type="dxa"/>
            <w:vAlign w:val="center"/>
          </w:tcPr>
          <w:p w14:paraId="77C5F28B" w14:textId="77777777" w:rsidR="005968FC" w:rsidRDefault="005968FC" w:rsidP="00B849AD">
            <w:pPr>
              <w:jc w:val="center"/>
            </w:pPr>
            <w:r>
              <w:rPr>
                <w:noProof/>
              </w:rPr>
              <w:drawing>
                <wp:inline distT="0" distB="0" distL="0" distR="0" wp14:anchorId="2001E744" wp14:editId="0411EEA7">
                  <wp:extent cx="1589556" cy="103077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52419" cy="1071536"/>
                          </a:xfrm>
                          <a:prstGeom prst="rect">
                            <a:avLst/>
                          </a:prstGeom>
                        </pic:spPr>
                      </pic:pic>
                    </a:graphicData>
                  </a:graphic>
                </wp:inline>
              </w:drawing>
            </w:r>
          </w:p>
        </w:tc>
        <w:tc>
          <w:tcPr>
            <w:tcW w:w="3591" w:type="dxa"/>
            <w:vAlign w:val="center"/>
          </w:tcPr>
          <w:p w14:paraId="7FF6C4D7" w14:textId="77777777" w:rsidR="005968FC" w:rsidRDefault="005968FC" w:rsidP="00B849AD">
            <w:pPr>
              <w:jc w:val="center"/>
            </w:pPr>
            <w:r>
              <w:rPr>
                <w:noProof/>
              </w:rPr>
              <w:drawing>
                <wp:inline distT="0" distB="0" distL="0" distR="0" wp14:anchorId="3EFD3311" wp14:editId="129CE813">
                  <wp:extent cx="1691716" cy="977649"/>
                  <wp:effectExtent l="0" t="0" r="381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42566" cy="1007036"/>
                          </a:xfrm>
                          <a:prstGeom prst="rect">
                            <a:avLst/>
                          </a:prstGeom>
                        </pic:spPr>
                      </pic:pic>
                    </a:graphicData>
                  </a:graphic>
                </wp:inline>
              </w:drawing>
            </w:r>
          </w:p>
        </w:tc>
      </w:tr>
      <w:tr w:rsidR="005968FC" w14:paraId="542E8A9E" w14:textId="77777777" w:rsidTr="00B849AD">
        <w:trPr>
          <w:jc w:val="center"/>
        </w:trPr>
        <w:tc>
          <w:tcPr>
            <w:tcW w:w="3621" w:type="dxa"/>
          </w:tcPr>
          <w:p w14:paraId="12783966" w14:textId="77777777" w:rsidR="005968FC" w:rsidRPr="00A57E42" w:rsidRDefault="005968FC" w:rsidP="00B849AD">
            <w:pPr>
              <w:jc w:val="center"/>
              <w:rPr>
                <w:i/>
                <w:iCs/>
                <w:lang w:val="en-US"/>
              </w:rPr>
            </w:pPr>
            <w:bookmarkStart w:id="11" w:name="_Hlk58883945"/>
            <w:r w:rsidRPr="00A57E42">
              <w:rPr>
                <w:i/>
                <w:iCs/>
                <w:lang w:val="en-US"/>
              </w:rPr>
              <w:t>a). Hydrothermal Liquefaction</w:t>
            </w:r>
          </w:p>
        </w:tc>
        <w:tc>
          <w:tcPr>
            <w:tcW w:w="3396" w:type="dxa"/>
          </w:tcPr>
          <w:p w14:paraId="293EC77C" w14:textId="77777777" w:rsidR="005968FC" w:rsidRPr="00A57E42" w:rsidRDefault="005968FC" w:rsidP="00B849AD">
            <w:pPr>
              <w:jc w:val="center"/>
              <w:rPr>
                <w:i/>
                <w:iCs/>
                <w:lang w:val="en-US"/>
              </w:rPr>
            </w:pPr>
            <w:r w:rsidRPr="00A57E42">
              <w:rPr>
                <w:i/>
                <w:iCs/>
                <w:lang w:val="en-US"/>
              </w:rPr>
              <w:t>b). Fast Pyrolysis</w:t>
            </w:r>
          </w:p>
        </w:tc>
        <w:tc>
          <w:tcPr>
            <w:tcW w:w="3591" w:type="dxa"/>
          </w:tcPr>
          <w:p w14:paraId="6877BA2F" w14:textId="77777777" w:rsidR="005968FC" w:rsidRPr="00A57E42" w:rsidRDefault="005968FC" w:rsidP="00B849AD">
            <w:pPr>
              <w:jc w:val="center"/>
              <w:rPr>
                <w:i/>
                <w:iCs/>
                <w:lang w:val="en-US"/>
              </w:rPr>
            </w:pPr>
            <w:r w:rsidRPr="00A57E42">
              <w:rPr>
                <w:i/>
                <w:iCs/>
                <w:lang w:val="en-US"/>
              </w:rPr>
              <w:t>c). Gasification Fischer-Tropsch</w:t>
            </w:r>
          </w:p>
        </w:tc>
      </w:tr>
    </w:tbl>
    <w:p w14:paraId="1888BEAB" w14:textId="77777777" w:rsidR="005968FC" w:rsidRPr="005968FC" w:rsidRDefault="005968FC" w:rsidP="005968FC">
      <w:pPr>
        <w:tabs>
          <w:tab w:val="left" w:pos="-720"/>
        </w:tabs>
        <w:suppressAutoHyphens/>
        <w:jc w:val="center"/>
        <w:rPr>
          <w:spacing w:val="-3"/>
          <w:lang w:val="en-US"/>
        </w:rPr>
      </w:pPr>
      <w:bookmarkStart w:id="12" w:name="_Hlk59206962"/>
      <w:bookmarkEnd w:id="11"/>
    </w:p>
    <w:p w14:paraId="510775D8" w14:textId="77777777" w:rsidR="005968FC" w:rsidRPr="005968FC" w:rsidRDefault="005968FC" w:rsidP="005968FC">
      <w:pPr>
        <w:tabs>
          <w:tab w:val="left" w:pos="-720"/>
        </w:tabs>
        <w:suppressAutoHyphens/>
        <w:jc w:val="center"/>
        <w:rPr>
          <w:spacing w:val="-3"/>
          <w:lang w:val="en-US"/>
        </w:rPr>
      </w:pPr>
      <w:r w:rsidRPr="005968FC">
        <w:rPr>
          <w:spacing w:val="-3"/>
          <w:lang w:val="en-US"/>
        </w:rPr>
        <w:t xml:space="preserve">Figure 6. </w:t>
      </w:r>
      <w:bookmarkEnd w:id="12"/>
      <w:r w:rsidRPr="005968FC">
        <w:rPr>
          <w:spacing w:val="-3"/>
          <w:lang w:val="en-US"/>
        </w:rPr>
        <w:t xml:space="preserve">Grassmann diagrams of the </w:t>
      </w:r>
      <w:proofErr w:type="gramStart"/>
      <w:r w:rsidRPr="005968FC">
        <w:rPr>
          <w:spacing w:val="-3"/>
          <w:lang w:val="en-US"/>
        </w:rPr>
        <w:t>processes</w:t>
      </w:r>
      <w:proofErr w:type="gramEnd"/>
      <w:r w:rsidRPr="005968FC">
        <w:rPr>
          <w:spacing w:val="-3"/>
          <w:lang w:val="en-US"/>
        </w:rPr>
        <w:t xml:space="preserve"> boundary adopted in the thermochemical pathways assessment</w:t>
      </w:r>
    </w:p>
    <w:p w14:paraId="2640C380" w14:textId="77777777" w:rsidR="005968FC" w:rsidRDefault="005968FC" w:rsidP="005968FC">
      <w:pPr>
        <w:tabs>
          <w:tab w:val="left" w:pos="-1134"/>
          <w:tab w:val="left" w:pos="-414"/>
        </w:tabs>
        <w:suppressAutoHyphens/>
        <w:rPr>
          <w:spacing w:val="-3"/>
          <w:lang w:val="en-US"/>
        </w:rPr>
      </w:pPr>
    </w:p>
    <w:p w14:paraId="1D98CBC9" w14:textId="050FE10C" w:rsidR="005968FC" w:rsidRDefault="005968FC">
      <w:pPr>
        <w:autoSpaceDE/>
        <w:autoSpaceDN/>
        <w:jc w:val="left"/>
        <w:rPr>
          <w:spacing w:val="-3"/>
          <w:lang w:val="en-US"/>
        </w:rPr>
      </w:pPr>
      <w:r>
        <w:rPr>
          <w:spacing w:val="-3"/>
          <w:lang w:val="en-US"/>
        </w:rPr>
        <w:br w:type="page"/>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5968FC" w:rsidRPr="001B13EF" w14:paraId="56DE2DB8" w14:textId="77777777" w:rsidTr="00B849AD">
        <w:trPr>
          <w:jc w:val="center"/>
        </w:trPr>
        <w:tc>
          <w:tcPr>
            <w:tcW w:w="8494" w:type="dxa"/>
          </w:tcPr>
          <w:p w14:paraId="09CEA009" w14:textId="77777777" w:rsidR="005968FC" w:rsidRPr="001B13EF" w:rsidRDefault="005968FC" w:rsidP="00B849AD">
            <w:pPr>
              <w:jc w:val="center"/>
              <w:rPr>
                <w:lang w:val="en-US"/>
              </w:rPr>
            </w:pPr>
            <w:bookmarkStart w:id="13" w:name="_Hlk58885439"/>
            <w:r>
              <w:rPr>
                <w:noProof/>
              </w:rPr>
              <w:lastRenderedPageBreak/>
              <w:drawing>
                <wp:inline distT="0" distB="0" distL="0" distR="0" wp14:anchorId="287FCCAA" wp14:editId="49DB4C3B">
                  <wp:extent cx="4028428" cy="2544406"/>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5432" t="16614" r="1903"/>
                          <a:stretch/>
                        </pic:blipFill>
                        <pic:spPr bwMode="auto">
                          <a:xfrm>
                            <a:off x="0" y="0"/>
                            <a:ext cx="4067545" cy="2569113"/>
                          </a:xfrm>
                          <a:prstGeom prst="rect">
                            <a:avLst/>
                          </a:prstGeom>
                          <a:ln>
                            <a:noFill/>
                          </a:ln>
                          <a:extLst>
                            <a:ext uri="{53640926-AAD7-44D8-BBD7-CCE9431645EC}">
                              <a14:shadowObscured xmlns:a14="http://schemas.microsoft.com/office/drawing/2010/main"/>
                            </a:ext>
                          </a:extLst>
                        </pic:spPr>
                      </pic:pic>
                    </a:graphicData>
                  </a:graphic>
                </wp:inline>
              </w:drawing>
            </w:r>
          </w:p>
        </w:tc>
      </w:tr>
      <w:tr w:rsidR="005968FC" w:rsidRPr="001B13EF" w14:paraId="4863126B" w14:textId="77777777" w:rsidTr="00B849AD">
        <w:trPr>
          <w:jc w:val="center"/>
        </w:trPr>
        <w:tc>
          <w:tcPr>
            <w:tcW w:w="8494" w:type="dxa"/>
          </w:tcPr>
          <w:p w14:paraId="248CCB61" w14:textId="77777777" w:rsidR="005968FC" w:rsidRPr="00615D76" w:rsidRDefault="005968FC" w:rsidP="00B849AD">
            <w:pPr>
              <w:jc w:val="center"/>
              <w:rPr>
                <w:i/>
                <w:iCs/>
                <w:lang w:val="en-US"/>
              </w:rPr>
            </w:pPr>
            <w:r w:rsidRPr="00615D76">
              <w:rPr>
                <w:i/>
                <w:iCs/>
                <w:lang w:val="en-US"/>
              </w:rPr>
              <w:t>a). Hydrothermal Liquefaction</w:t>
            </w:r>
          </w:p>
        </w:tc>
      </w:tr>
      <w:tr w:rsidR="005968FC" w:rsidRPr="001B13EF" w14:paraId="25429F6E" w14:textId="77777777" w:rsidTr="00B849AD">
        <w:trPr>
          <w:jc w:val="center"/>
        </w:trPr>
        <w:tc>
          <w:tcPr>
            <w:tcW w:w="8494" w:type="dxa"/>
          </w:tcPr>
          <w:p w14:paraId="1BC665F8" w14:textId="77777777" w:rsidR="005968FC" w:rsidRPr="001B13EF" w:rsidRDefault="005968FC" w:rsidP="00B849AD">
            <w:pPr>
              <w:pStyle w:val="SemEspaamento"/>
              <w:jc w:val="center"/>
              <w:rPr>
                <w:lang w:val="en-US"/>
              </w:rPr>
            </w:pPr>
            <w:r>
              <w:rPr>
                <w:noProof/>
              </w:rPr>
              <w:drawing>
                <wp:inline distT="0" distB="0" distL="0" distR="0" wp14:anchorId="7D084F4B" wp14:editId="42D6E49C">
                  <wp:extent cx="3890514" cy="2698968"/>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278" t="10786" r="1592"/>
                          <a:stretch/>
                        </pic:blipFill>
                        <pic:spPr bwMode="auto">
                          <a:xfrm>
                            <a:off x="0" y="0"/>
                            <a:ext cx="3948591" cy="2739257"/>
                          </a:xfrm>
                          <a:prstGeom prst="rect">
                            <a:avLst/>
                          </a:prstGeom>
                          <a:ln>
                            <a:noFill/>
                          </a:ln>
                          <a:extLst>
                            <a:ext uri="{53640926-AAD7-44D8-BBD7-CCE9431645EC}">
                              <a14:shadowObscured xmlns:a14="http://schemas.microsoft.com/office/drawing/2010/main"/>
                            </a:ext>
                          </a:extLst>
                        </pic:spPr>
                      </pic:pic>
                    </a:graphicData>
                  </a:graphic>
                </wp:inline>
              </w:drawing>
            </w:r>
          </w:p>
        </w:tc>
      </w:tr>
      <w:tr w:rsidR="005968FC" w:rsidRPr="001B13EF" w14:paraId="5F2958E7" w14:textId="77777777" w:rsidTr="00B849AD">
        <w:trPr>
          <w:jc w:val="center"/>
        </w:trPr>
        <w:tc>
          <w:tcPr>
            <w:tcW w:w="8494" w:type="dxa"/>
          </w:tcPr>
          <w:p w14:paraId="07EB0B9E" w14:textId="77777777" w:rsidR="005968FC" w:rsidRPr="00615D76" w:rsidRDefault="005968FC" w:rsidP="00B849AD">
            <w:pPr>
              <w:jc w:val="center"/>
              <w:rPr>
                <w:i/>
                <w:iCs/>
                <w:lang w:val="en-US"/>
              </w:rPr>
            </w:pPr>
            <w:r w:rsidRPr="00615D76">
              <w:rPr>
                <w:i/>
                <w:iCs/>
                <w:lang w:val="en-US"/>
              </w:rPr>
              <w:t>b). Fast Pyrolysis</w:t>
            </w:r>
          </w:p>
        </w:tc>
      </w:tr>
      <w:tr w:rsidR="005968FC" w:rsidRPr="001B13EF" w14:paraId="71A4BBEA" w14:textId="77777777" w:rsidTr="00B849AD">
        <w:trPr>
          <w:jc w:val="center"/>
        </w:trPr>
        <w:tc>
          <w:tcPr>
            <w:tcW w:w="8494" w:type="dxa"/>
          </w:tcPr>
          <w:p w14:paraId="50449213" w14:textId="77777777" w:rsidR="005968FC" w:rsidRPr="001B13EF" w:rsidRDefault="005968FC" w:rsidP="00B849AD">
            <w:pPr>
              <w:jc w:val="center"/>
              <w:rPr>
                <w:lang w:val="en-US"/>
              </w:rPr>
            </w:pPr>
            <w:r>
              <w:rPr>
                <w:noProof/>
              </w:rPr>
              <w:drawing>
                <wp:inline distT="0" distB="0" distL="0" distR="0" wp14:anchorId="490D11F5" wp14:editId="1576C351">
                  <wp:extent cx="3674853" cy="2601868"/>
                  <wp:effectExtent l="0" t="0" r="1905"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12257" cy="2628351"/>
                          </a:xfrm>
                          <a:prstGeom prst="rect">
                            <a:avLst/>
                          </a:prstGeom>
                        </pic:spPr>
                      </pic:pic>
                    </a:graphicData>
                  </a:graphic>
                </wp:inline>
              </w:drawing>
            </w:r>
          </w:p>
        </w:tc>
      </w:tr>
      <w:tr w:rsidR="005968FC" w:rsidRPr="005968FC" w14:paraId="7A407754" w14:textId="77777777" w:rsidTr="00B849AD">
        <w:trPr>
          <w:jc w:val="center"/>
        </w:trPr>
        <w:tc>
          <w:tcPr>
            <w:tcW w:w="8494" w:type="dxa"/>
          </w:tcPr>
          <w:p w14:paraId="57C9F81E" w14:textId="77777777" w:rsidR="005968FC" w:rsidRPr="005968FC" w:rsidRDefault="005968FC" w:rsidP="00B849AD">
            <w:pPr>
              <w:jc w:val="center"/>
              <w:rPr>
                <w:i/>
                <w:iCs/>
                <w:lang w:val="en-US"/>
              </w:rPr>
            </w:pPr>
            <w:r w:rsidRPr="005968FC">
              <w:rPr>
                <w:i/>
                <w:iCs/>
                <w:lang w:val="en-US"/>
              </w:rPr>
              <w:t>c). Gasification Fischer-Tropsch</w:t>
            </w:r>
          </w:p>
        </w:tc>
      </w:tr>
    </w:tbl>
    <w:p w14:paraId="162EC8F4" w14:textId="77777777" w:rsidR="005968FC" w:rsidRPr="005968FC" w:rsidRDefault="005968FC" w:rsidP="005968FC">
      <w:pPr>
        <w:tabs>
          <w:tab w:val="left" w:pos="-720"/>
        </w:tabs>
        <w:suppressAutoHyphens/>
        <w:jc w:val="center"/>
        <w:rPr>
          <w:spacing w:val="-3"/>
          <w:highlight w:val="cyan"/>
          <w:lang w:val="en-US"/>
        </w:rPr>
      </w:pPr>
    </w:p>
    <w:p w14:paraId="418DAF20" w14:textId="33C686C0" w:rsidR="005968FC" w:rsidRPr="009361EA" w:rsidRDefault="005968FC" w:rsidP="005968FC">
      <w:pPr>
        <w:tabs>
          <w:tab w:val="left" w:pos="-720"/>
        </w:tabs>
        <w:suppressAutoHyphens/>
        <w:jc w:val="center"/>
        <w:rPr>
          <w:lang w:val="en-US"/>
        </w:rPr>
      </w:pPr>
      <w:bookmarkStart w:id="14" w:name="_Hlk60184836"/>
      <w:r w:rsidRPr="005968FC">
        <w:rPr>
          <w:spacing w:val="-3"/>
          <w:lang w:val="en-US"/>
        </w:rPr>
        <w:t xml:space="preserve">Figure 7. </w:t>
      </w:r>
      <w:bookmarkStart w:id="15" w:name="_GoBack"/>
      <w:bookmarkEnd w:id="15"/>
      <w:r w:rsidRPr="00C02240">
        <w:rPr>
          <w:spacing w:val="-3"/>
          <w:highlight w:val="cyan"/>
          <w:lang w:val="en-US"/>
        </w:rPr>
        <w:t>Trade-off</w:t>
      </w:r>
      <w:r w:rsidRPr="005968FC">
        <w:rPr>
          <w:spacing w:val="-3"/>
          <w:lang w:val="en-US"/>
        </w:rPr>
        <w:t xml:space="preserve"> between the technologies and feedstocks pairs</w:t>
      </w:r>
      <w:bookmarkEnd w:id="13"/>
      <w:bookmarkEnd w:id="14"/>
    </w:p>
    <w:sectPr w:rsidR="005968FC" w:rsidRPr="009361EA">
      <w:footerReference w:type="default" r:id="rId45"/>
      <w:pgSz w:w="11906" w:h="16838" w:code="9"/>
      <w:pgMar w:top="1418" w:right="1418" w:bottom="1418" w:left="1418"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C1D66" w14:textId="77777777" w:rsidR="00E54F3A" w:rsidRDefault="00E54F3A">
      <w:r>
        <w:separator/>
      </w:r>
    </w:p>
  </w:endnote>
  <w:endnote w:type="continuationSeparator" w:id="0">
    <w:p w14:paraId="24A4C14B" w14:textId="77777777" w:rsidR="00E54F3A" w:rsidRDefault="00E54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C0A5" w14:textId="7BB45E51" w:rsidR="00B849AD" w:rsidRDefault="00B849AD">
    <w:pPr>
      <w:pStyle w:val="Rodap"/>
      <w:jc w:val="center"/>
    </w:pPr>
    <w:r>
      <w:fldChar w:fldCharType="begin"/>
    </w:r>
    <w:r>
      <w:instrText>PAGE   \* MERGEFORMAT</w:instrText>
    </w:r>
    <w:r>
      <w:fldChar w:fldCharType="separate"/>
    </w:r>
    <w:r w:rsidRPr="003F1F19">
      <w:rPr>
        <w:noProof/>
        <w:lang w:val="hr-HR"/>
      </w:rPr>
      <w:t>1</w:t>
    </w:r>
    <w:r>
      <w:fldChar w:fldCharType="end"/>
    </w:r>
  </w:p>
  <w:p w14:paraId="69403A61" w14:textId="77777777" w:rsidR="00B849AD" w:rsidRDefault="00B849A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0D311" w14:textId="77777777" w:rsidR="00E54F3A" w:rsidRDefault="00E54F3A">
      <w:r>
        <w:separator/>
      </w:r>
    </w:p>
  </w:footnote>
  <w:footnote w:type="continuationSeparator" w:id="0">
    <w:p w14:paraId="0AE236B2" w14:textId="77777777" w:rsidR="00E54F3A" w:rsidRDefault="00E54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3A52"/>
    <w:multiLevelType w:val="hybridMultilevel"/>
    <w:tmpl w:val="F56CDB12"/>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1F95D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6E5B89"/>
    <w:multiLevelType w:val="singleLevel"/>
    <w:tmpl w:val="DCDEF30A"/>
    <w:lvl w:ilvl="0">
      <w:start w:val="1"/>
      <w:numFmt w:val="decimal"/>
      <w:lvlText w:val="[%1]"/>
      <w:lvlJc w:val="center"/>
      <w:pPr>
        <w:tabs>
          <w:tab w:val="num" w:pos="648"/>
        </w:tabs>
        <w:ind w:left="360" w:hanging="72"/>
      </w:pPr>
      <w:rPr>
        <w:sz w:val="22"/>
        <w:szCs w:val="22"/>
      </w:rPr>
    </w:lvl>
  </w:abstractNum>
  <w:abstractNum w:abstractNumId="3" w15:restartNumberingAfterBreak="0">
    <w:nsid w:val="57A64985"/>
    <w:multiLevelType w:val="hybridMultilevel"/>
    <w:tmpl w:val="8D6CF3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5A8036B8"/>
    <w:multiLevelType w:val="hybridMultilevel"/>
    <w:tmpl w:val="7026E7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AE767B5"/>
    <w:multiLevelType w:val="singleLevel"/>
    <w:tmpl w:val="F5EE5AA4"/>
    <w:lvl w:ilvl="0">
      <w:start w:val="1"/>
      <w:numFmt w:val="decimal"/>
      <w:lvlText w:val="   [%1]"/>
      <w:lvlJc w:val="center"/>
      <w:pPr>
        <w:tabs>
          <w:tab w:val="num" w:pos="360"/>
        </w:tabs>
        <w:ind w:left="340" w:hanging="340"/>
      </w:pPr>
      <w:rPr>
        <w:rFonts w:hint="default"/>
        <w:spacing w:val="0"/>
        <w:w w:val="100"/>
        <w:position w:val="0"/>
        <w:sz w:val="22"/>
        <w:szCs w:val="22"/>
      </w:rPr>
    </w:lvl>
  </w:abstractNum>
  <w:abstractNum w:abstractNumId="6" w15:restartNumberingAfterBreak="0">
    <w:nsid w:val="6F4A3D87"/>
    <w:multiLevelType w:val="hybridMultilevel"/>
    <w:tmpl w:val="6CD6B496"/>
    <w:lvl w:ilvl="0" w:tplc="5A2A54F6">
      <w:start w:val="1"/>
      <w:numFmt w:val="decimal"/>
      <w:pStyle w:val="reference"/>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10F0A2C"/>
    <w:multiLevelType w:val="hybridMultilevel"/>
    <w:tmpl w:val="C7D60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97B276B"/>
    <w:multiLevelType w:val="singleLevel"/>
    <w:tmpl w:val="953490B4"/>
    <w:lvl w:ilvl="0">
      <w:start w:val="1"/>
      <w:numFmt w:val="decimal"/>
      <w:lvlText w:val="[%1]"/>
      <w:lvlJc w:val="center"/>
      <w:pPr>
        <w:tabs>
          <w:tab w:val="num" w:pos="648"/>
        </w:tabs>
        <w:ind w:left="360" w:hanging="72"/>
      </w:pPr>
    </w:lvl>
  </w:abstractNum>
  <w:num w:numId="1">
    <w:abstractNumId w:val="8"/>
  </w:num>
  <w:num w:numId="2">
    <w:abstractNumId w:val="2"/>
  </w:num>
  <w:num w:numId="3">
    <w:abstractNumId w:val="5"/>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xNrY0NLAwtzQ3MjVX0lEKTi0uzszPAykwM6oFALlKgIQtAAAA"/>
  </w:docVars>
  <w:rsids>
    <w:rsidRoot w:val="00F852B3"/>
    <w:rsid w:val="0000184E"/>
    <w:rsid w:val="000024A6"/>
    <w:rsid w:val="000044DE"/>
    <w:rsid w:val="000124CC"/>
    <w:rsid w:val="00013518"/>
    <w:rsid w:val="000253E2"/>
    <w:rsid w:val="00025BE8"/>
    <w:rsid w:val="00027CD8"/>
    <w:rsid w:val="00027DF4"/>
    <w:rsid w:val="000366FC"/>
    <w:rsid w:val="00037584"/>
    <w:rsid w:val="00041945"/>
    <w:rsid w:val="00046BE8"/>
    <w:rsid w:val="000504DF"/>
    <w:rsid w:val="00054C76"/>
    <w:rsid w:val="00056EB6"/>
    <w:rsid w:val="000623F8"/>
    <w:rsid w:val="00065E63"/>
    <w:rsid w:val="00065E85"/>
    <w:rsid w:val="00081925"/>
    <w:rsid w:val="00082487"/>
    <w:rsid w:val="000855CE"/>
    <w:rsid w:val="00090DA7"/>
    <w:rsid w:val="00092C23"/>
    <w:rsid w:val="00093E6A"/>
    <w:rsid w:val="000A1B4B"/>
    <w:rsid w:val="000A4BFA"/>
    <w:rsid w:val="000B103B"/>
    <w:rsid w:val="000B1A21"/>
    <w:rsid w:val="000B2883"/>
    <w:rsid w:val="000B558D"/>
    <w:rsid w:val="000D2B1C"/>
    <w:rsid w:val="000E1C5D"/>
    <w:rsid w:val="000E4DE5"/>
    <w:rsid w:val="000E662E"/>
    <w:rsid w:val="000E6E1B"/>
    <w:rsid w:val="000F2CC5"/>
    <w:rsid w:val="00101427"/>
    <w:rsid w:val="00101E87"/>
    <w:rsid w:val="001052EE"/>
    <w:rsid w:val="00105D53"/>
    <w:rsid w:val="001068CB"/>
    <w:rsid w:val="00110BDB"/>
    <w:rsid w:val="00125137"/>
    <w:rsid w:val="001258D9"/>
    <w:rsid w:val="0012635C"/>
    <w:rsid w:val="00137328"/>
    <w:rsid w:val="00143F8F"/>
    <w:rsid w:val="0016583A"/>
    <w:rsid w:val="00172752"/>
    <w:rsid w:val="00172B49"/>
    <w:rsid w:val="00187FC0"/>
    <w:rsid w:val="001929C8"/>
    <w:rsid w:val="001942F0"/>
    <w:rsid w:val="001A2301"/>
    <w:rsid w:val="001B2498"/>
    <w:rsid w:val="001C3598"/>
    <w:rsid w:val="001C636C"/>
    <w:rsid w:val="001D2041"/>
    <w:rsid w:val="001D227C"/>
    <w:rsid w:val="00205002"/>
    <w:rsid w:val="00207F43"/>
    <w:rsid w:val="00210AD4"/>
    <w:rsid w:val="00210B95"/>
    <w:rsid w:val="00214770"/>
    <w:rsid w:val="00214D30"/>
    <w:rsid w:val="00216FC1"/>
    <w:rsid w:val="00225A7D"/>
    <w:rsid w:val="00233D2A"/>
    <w:rsid w:val="00240952"/>
    <w:rsid w:val="00246C07"/>
    <w:rsid w:val="00255691"/>
    <w:rsid w:val="00260AFE"/>
    <w:rsid w:val="00262BB6"/>
    <w:rsid w:val="00267AAA"/>
    <w:rsid w:val="00277C49"/>
    <w:rsid w:val="002836DA"/>
    <w:rsid w:val="002B08C0"/>
    <w:rsid w:val="002C6531"/>
    <w:rsid w:val="002D22AD"/>
    <w:rsid w:val="002E3518"/>
    <w:rsid w:val="002E4461"/>
    <w:rsid w:val="002F0FCF"/>
    <w:rsid w:val="002F13EE"/>
    <w:rsid w:val="002F3637"/>
    <w:rsid w:val="0030147C"/>
    <w:rsid w:val="00304159"/>
    <w:rsid w:val="00310BF6"/>
    <w:rsid w:val="003127E2"/>
    <w:rsid w:val="0032090A"/>
    <w:rsid w:val="00324F88"/>
    <w:rsid w:val="00331E61"/>
    <w:rsid w:val="00340864"/>
    <w:rsid w:val="00350490"/>
    <w:rsid w:val="003535DD"/>
    <w:rsid w:val="00356D2B"/>
    <w:rsid w:val="00361809"/>
    <w:rsid w:val="00364CAC"/>
    <w:rsid w:val="00366308"/>
    <w:rsid w:val="00366951"/>
    <w:rsid w:val="00367705"/>
    <w:rsid w:val="00371123"/>
    <w:rsid w:val="00374A94"/>
    <w:rsid w:val="003A06B9"/>
    <w:rsid w:val="003A0840"/>
    <w:rsid w:val="003A41BC"/>
    <w:rsid w:val="003B068C"/>
    <w:rsid w:val="003C090D"/>
    <w:rsid w:val="003C61D2"/>
    <w:rsid w:val="003D5B2C"/>
    <w:rsid w:val="003E1A97"/>
    <w:rsid w:val="003E7337"/>
    <w:rsid w:val="003F0E16"/>
    <w:rsid w:val="003F1226"/>
    <w:rsid w:val="003F1F19"/>
    <w:rsid w:val="003F27AB"/>
    <w:rsid w:val="0040046B"/>
    <w:rsid w:val="004013EC"/>
    <w:rsid w:val="00401721"/>
    <w:rsid w:val="0040520E"/>
    <w:rsid w:val="0040685A"/>
    <w:rsid w:val="00421F57"/>
    <w:rsid w:val="00422C7E"/>
    <w:rsid w:val="004243B1"/>
    <w:rsid w:val="00425453"/>
    <w:rsid w:val="00430991"/>
    <w:rsid w:val="00450415"/>
    <w:rsid w:val="00455814"/>
    <w:rsid w:val="00457E2E"/>
    <w:rsid w:val="0047078B"/>
    <w:rsid w:val="00471A23"/>
    <w:rsid w:val="0047323B"/>
    <w:rsid w:val="00475003"/>
    <w:rsid w:val="00487A89"/>
    <w:rsid w:val="0049185A"/>
    <w:rsid w:val="0049341B"/>
    <w:rsid w:val="00495269"/>
    <w:rsid w:val="00495B07"/>
    <w:rsid w:val="004974EF"/>
    <w:rsid w:val="004A04F3"/>
    <w:rsid w:val="004A2BE3"/>
    <w:rsid w:val="004A2F7E"/>
    <w:rsid w:val="004A3FEA"/>
    <w:rsid w:val="004A757E"/>
    <w:rsid w:val="004B090D"/>
    <w:rsid w:val="004C01BA"/>
    <w:rsid w:val="004D1D74"/>
    <w:rsid w:val="004E4FD7"/>
    <w:rsid w:val="004F59B0"/>
    <w:rsid w:val="004F5F24"/>
    <w:rsid w:val="0050200D"/>
    <w:rsid w:val="005061D8"/>
    <w:rsid w:val="005201C5"/>
    <w:rsid w:val="00523286"/>
    <w:rsid w:val="00526E9D"/>
    <w:rsid w:val="00537B7D"/>
    <w:rsid w:val="00544C15"/>
    <w:rsid w:val="00547BB9"/>
    <w:rsid w:val="00552C9C"/>
    <w:rsid w:val="005555EE"/>
    <w:rsid w:val="00555AD9"/>
    <w:rsid w:val="00555E55"/>
    <w:rsid w:val="0055653F"/>
    <w:rsid w:val="00563BA6"/>
    <w:rsid w:val="00563C35"/>
    <w:rsid w:val="005658E5"/>
    <w:rsid w:val="005667D3"/>
    <w:rsid w:val="00570066"/>
    <w:rsid w:val="005744D6"/>
    <w:rsid w:val="0057494F"/>
    <w:rsid w:val="00582454"/>
    <w:rsid w:val="0058541B"/>
    <w:rsid w:val="00593F7F"/>
    <w:rsid w:val="005968FC"/>
    <w:rsid w:val="005A2E53"/>
    <w:rsid w:val="005A4BE9"/>
    <w:rsid w:val="005A6E28"/>
    <w:rsid w:val="005B1278"/>
    <w:rsid w:val="005C1656"/>
    <w:rsid w:val="005C3E8F"/>
    <w:rsid w:val="005D4217"/>
    <w:rsid w:val="005D52CE"/>
    <w:rsid w:val="005E2E04"/>
    <w:rsid w:val="005F72ED"/>
    <w:rsid w:val="00603AEA"/>
    <w:rsid w:val="00604400"/>
    <w:rsid w:val="00604C84"/>
    <w:rsid w:val="00605BD5"/>
    <w:rsid w:val="0060696D"/>
    <w:rsid w:val="00613197"/>
    <w:rsid w:val="006140B6"/>
    <w:rsid w:val="006145E6"/>
    <w:rsid w:val="006148FD"/>
    <w:rsid w:val="00620753"/>
    <w:rsid w:val="00626C4D"/>
    <w:rsid w:val="00627CA2"/>
    <w:rsid w:val="00630BD7"/>
    <w:rsid w:val="00635D1A"/>
    <w:rsid w:val="00636158"/>
    <w:rsid w:val="00645F11"/>
    <w:rsid w:val="00651380"/>
    <w:rsid w:val="00654CD2"/>
    <w:rsid w:val="00656980"/>
    <w:rsid w:val="006612A7"/>
    <w:rsid w:val="0068196B"/>
    <w:rsid w:val="006859D1"/>
    <w:rsid w:val="00687332"/>
    <w:rsid w:val="006B0BB3"/>
    <w:rsid w:val="006B272B"/>
    <w:rsid w:val="006C1706"/>
    <w:rsid w:val="006C424A"/>
    <w:rsid w:val="006C4AAB"/>
    <w:rsid w:val="006D27B6"/>
    <w:rsid w:val="006D778E"/>
    <w:rsid w:val="006E7709"/>
    <w:rsid w:val="006F18A4"/>
    <w:rsid w:val="006F260E"/>
    <w:rsid w:val="006F7A0D"/>
    <w:rsid w:val="00707D47"/>
    <w:rsid w:val="00711B11"/>
    <w:rsid w:val="007257AA"/>
    <w:rsid w:val="00725941"/>
    <w:rsid w:val="0072788A"/>
    <w:rsid w:val="007305D9"/>
    <w:rsid w:val="007315DB"/>
    <w:rsid w:val="00733947"/>
    <w:rsid w:val="0073572E"/>
    <w:rsid w:val="00743066"/>
    <w:rsid w:val="007505BF"/>
    <w:rsid w:val="007638FD"/>
    <w:rsid w:val="007639F8"/>
    <w:rsid w:val="00774478"/>
    <w:rsid w:val="007809D1"/>
    <w:rsid w:val="00780DD5"/>
    <w:rsid w:val="00783340"/>
    <w:rsid w:val="007835D7"/>
    <w:rsid w:val="00794346"/>
    <w:rsid w:val="00796482"/>
    <w:rsid w:val="00796F1F"/>
    <w:rsid w:val="007A5A90"/>
    <w:rsid w:val="007A7042"/>
    <w:rsid w:val="007B6BF4"/>
    <w:rsid w:val="007B7179"/>
    <w:rsid w:val="007B7863"/>
    <w:rsid w:val="007C0F0A"/>
    <w:rsid w:val="007C0F8C"/>
    <w:rsid w:val="007C3574"/>
    <w:rsid w:val="007D4F31"/>
    <w:rsid w:val="007E10D1"/>
    <w:rsid w:val="007E247A"/>
    <w:rsid w:val="007E7014"/>
    <w:rsid w:val="007F4F79"/>
    <w:rsid w:val="007F59FA"/>
    <w:rsid w:val="00803FDC"/>
    <w:rsid w:val="00807F37"/>
    <w:rsid w:val="008158C0"/>
    <w:rsid w:val="00830D2F"/>
    <w:rsid w:val="00832A88"/>
    <w:rsid w:val="00835DDC"/>
    <w:rsid w:val="00836D11"/>
    <w:rsid w:val="00837E7A"/>
    <w:rsid w:val="0084096B"/>
    <w:rsid w:val="008424CF"/>
    <w:rsid w:val="00842941"/>
    <w:rsid w:val="00853A49"/>
    <w:rsid w:val="008657E9"/>
    <w:rsid w:val="00866D62"/>
    <w:rsid w:val="00871B85"/>
    <w:rsid w:val="008836BC"/>
    <w:rsid w:val="00884F70"/>
    <w:rsid w:val="008868DB"/>
    <w:rsid w:val="00893194"/>
    <w:rsid w:val="00895170"/>
    <w:rsid w:val="0089654B"/>
    <w:rsid w:val="008A1467"/>
    <w:rsid w:val="008A5B14"/>
    <w:rsid w:val="008B142E"/>
    <w:rsid w:val="008B3926"/>
    <w:rsid w:val="008C21A3"/>
    <w:rsid w:val="008D5189"/>
    <w:rsid w:val="008E2641"/>
    <w:rsid w:val="008E2EB4"/>
    <w:rsid w:val="008E6619"/>
    <w:rsid w:val="008E74FB"/>
    <w:rsid w:val="009137BB"/>
    <w:rsid w:val="00914DBE"/>
    <w:rsid w:val="00920296"/>
    <w:rsid w:val="00920976"/>
    <w:rsid w:val="009263B9"/>
    <w:rsid w:val="00935CB1"/>
    <w:rsid w:val="009361EA"/>
    <w:rsid w:val="0094119C"/>
    <w:rsid w:val="00942B2A"/>
    <w:rsid w:val="009513B8"/>
    <w:rsid w:val="0095157A"/>
    <w:rsid w:val="009568B7"/>
    <w:rsid w:val="00966BB5"/>
    <w:rsid w:val="00975CCA"/>
    <w:rsid w:val="00982146"/>
    <w:rsid w:val="00982BCC"/>
    <w:rsid w:val="00983204"/>
    <w:rsid w:val="00983408"/>
    <w:rsid w:val="009837BE"/>
    <w:rsid w:val="009A2C70"/>
    <w:rsid w:val="009A64CE"/>
    <w:rsid w:val="009B29F2"/>
    <w:rsid w:val="009B3525"/>
    <w:rsid w:val="009B66A5"/>
    <w:rsid w:val="009C0381"/>
    <w:rsid w:val="009C459E"/>
    <w:rsid w:val="009D176F"/>
    <w:rsid w:val="009D61A1"/>
    <w:rsid w:val="009D7509"/>
    <w:rsid w:val="009E4D8C"/>
    <w:rsid w:val="009F4D54"/>
    <w:rsid w:val="00A04577"/>
    <w:rsid w:val="00A07245"/>
    <w:rsid w:val="00A111E1"/>
    <w:rsid w:val="00A14D58"/>
    <w:rsid w:val="00A1651B"/>
    <w:rsid w:val="00A25ADB"/>
    <w:rsid w:val="00A26933"/>
    <w:rsid w:val="00A30742"/>
    <w:rsid w:val="00A30DF9"/>
    <w:rsid w:val="00A41A7C"/>
    <w:rsid w:val="00A41DCD"/>
    <w:rsid w:val="00A4633D"/>
    <w:rsid w:val="00A46ADA"/>
    <w:rsid w:val="00A54D0B"/>
    <w:rsid w:val="00A57537"/>
    <w:rsid w:val="00A60082"/>
    <w:rsid w:val="00A62CEA"/>
    <w:rsid w:val="00A65EDE"/>
    <w:rsid w:val="00A66288"/>
    <w:rsid w:val="00A712C6"/>
    <w:rsid w:val="00A71E8B"/>
    <w:rsid w:val="00A80810"/>
    <w:rsid w:val="00A9673E"/>
    <w:rsid w:val="00A972B0"/>
    <w:rsid w:val="00AA17C5"/>
    <w:rsid w:val="00AA1D86"/>
    <w:rsid w:val="00AA55FA"/>
    <w:rsid w:val="00AB1B45"/>
    <w:rsid w:val="00AB5A67"/>
    <w:rsid w:val="00AB5E31"/>
    <w:rsid w:val="00AC0EBF"/>
    <w:rsid w:val="00AC525E"/>
    <w:rsid w:val="00AC6196"/>
    <w:rsid w:val="00AC6C36"/>
    <w:rsid w:val="00AD48CB"/>
    <w:rsid w:val="00AE34B4"/>
    <w:rsid w:val="00AE536D"/>
    <w:rsid w:val="00AE725B"/>
    <w:rsid w:val="00AF0BD8"/>
    <w:rsid w:val="00AF137F"/>
    <w:rsid w:val="00AF1DAC"/>
    <w:rsid w:val="00B03574"/>
    <w:rsid w:val="00B0401F"/>
    <w:rsid w:val="00B05D8A"/>
    <w:rsid w:val="00B05FFB"/>
    <w:rsid w:val="00B328D6"/>
    <w:rsid w:val="00B32CFF"/>
    <w:rsid w:val="00B359CB"/>
    <w:rsid w:val="00B413A4"/>
    <w:rsid w:val="00B50998"/>
    <w:rsid w:val="00B5379A"/>
    <w:rsid w:val="00B6508E"/>
    <w:rsid w:val="00B706DE"/>
    <w:rsid w:val="00B727E8"/>
    <w:rsid w:val="00B733FF"/>
    <w:rsid w:val="00B76B00"/>
    <w:rsid w:val="00B849AD"/>
    <w:rsid w:val="00B90787"/>
    <w:rsid w:val="00B94C23"/>
    <w:rsid w:val="00B95698"/>
    <w:rsid w:val="00BA0AAC"/>
    <w:rsid w:val="00BA34CE"/>
    <w:rsid w:val="00BA55DD"/>
    <w:rsid w:val="00BA779F"/>
    <w:rsid w:val="00BB3ABF"/>
    <w:rsid w:val="00BB67B9"/>
    <w:rsid w:val="00BC0E3A"/>
    <w:rsid w:val="00BC57CB"/>
    <w:rsid w:val="00BC5B29"/>
    <w:rsid w:val="00BC5C58"/>
    <w:rsid w:val="00BD4B42"/>
    <w:rsid w:val="00BE1F8C"/>
    <w:rsid w:val="00BF26DB"/>
    <w:rsid w:val="00BF54F0"/>
    <w:rsid w:val="00C0185E"/>
    <w:rsid w:val="00C02240"/>
    <w:rsid w:val="00C10606"/>
    <w:rsid w:val="00C11C02"/>
    <w:rsid w:val="00C11F64"/>
    <w:rsid w:val="00C200BC"/>
    <w:rsid w:val="00C2340C"/>
    <w:rsid w:val="00C24815"/>
    <w:rsid w:val="00C24EB6"/>
    <w:rsid w:val="00C276B9"/>
    <w:rsid w:val="00C32C98"/>
    <w:rsid w:val="00C34DCB"/>
    <w:rsid w:val="00C3663F"/>
    <w:rsid w:val="00C42AAA"/>
    <w:rsid w:val="00C4503B"/>
    <w:rsid w:val="00C53402"/>
    <w:rsid w:val="00C54345"/>
    <w:rsid w:val="00C56909"/>
    <w:rsid w:val="00C66EC2"/>
    <w:rsid w:val="00C677F5"/>
    <w:rsid w:val="00C720E9"/>
    <w:rsid w:val="00C85CEC"/>
    <w:rsid w:val="00C93198"/>
    <w:rsid w:val="00C958E7"/>
    <w:rsid w:val="00C9621A"/>
    <w:rsid w:val="00CA0DE6"/>
    <w:rsid w:val="00CA5D97"/>
    <w:rsid w:val="00CB04EF"/>
    <w:rsid w:val="00CB0C96"/>
    <w:rsid w:val="00CB72C9"/>
    <w:rsid w:val="00CC678D"/>
    <w:rsid w:val="00CC761B"/>
    <w:rsid w:val="00CD29D2"/>
    <w:rsid w:val="00CD2F73"/>
    <w:rsid w:val="00CD654C"/>
    <w:rsid w:val="00CD7158"/>
    <w:rsid w:val="00CE1BA9"/>
    <w:rsid w:val="00CE2616"/>
    <w:rsid w:val="00CE5D82"/>
    <w:rsid w:val="00CE733E"/>
    <w:rsid w:val="00CF2989"/>
    <w:rsid w:val="00CF465C"/>
    <w:rsid w:val="00CF63C7"/>
    <w:rsid w:val="00D107D5"/>
    <w:rsid w:val="00D12FA0"/>
    <w:rsid w:val="00D2103E"/>
    <w:rsid w:val="00D21C8F"/>
    <w:rsid w:val="00D36B03"/>
    <w:rsid w:val="00D43FCF"/>
    <w:rsid w:val="00D53FB6"/>
    <w:rsid w:val="00D569BB"/>
    <w:rsid w:val="00D60B9A"/>
    <w:rsid w:val="00D63336"/>
    <w:rsid w:val="00D63DC6"/>
    <w:rsid w:val="00D645F6"/>
    <w:rsid w:val="00D66BC7"/>
    <w:rsid w:val="00D74FCC"/>
    <w:rsid w:val="00D801C9"/>
    <w:rsid w:val="00D84C79"/>
    <w:rsid w:val="00D90E1C"/>
    <w:rsid w:val="00D92B27"/>
    <w:rsid w:val="00D95E62"/>
    <w:rsid w:val="00DA15C4"/>
    <w:rsid w:val="00DA5510"/>
    <w:rsid w:val="00DB463A"/>
    <w:rsid w:val="00DB6BCF"/>
    <w:rsid w:val="00DC4E0D"/>
    <w:rsid w:val="00DC54B8"/>
    <w:rsid w:val="00DC6544"/>
    <w:rsid w:val="00DE1CA2"/>
    <w:rsid w:val="00DE6180"/>
    <w:rsid w:val="00DE6C78"/>
    <w:rsid w:val="00DF05B1"/>
    <w:rsid w:val="00DF28D0"/>
    <w:rsid w:val="00DF4AB8"/>
    <w:rsid w:val="00DF63E3"/>
    <w:rsid w:val="00E04006"/>
    <w:rsid w:val="00E13648"/>
    <w:rsid w:val="00E2244F"/>
    <w:rsid w:val="00E26C64"/>
    <w:rsid w:val="00E31BE3"/>
    <w:rsid w:val="00E31C48"/>
    <w:rsid w:val="00E32BF9"/>
    <w:rsid w:val="00E4215C"/>
    <w:rsid w:val="00E42D73"/>
    <w:rsid w:val="00E43A90"/>
    <w:rsid w:val="00E43E14"/>
    <w:rsid w:val="00E5491C"/>
    <w:rsid w:val="00E54F3A"/>
    <w:rsid w:val="00E55A8A"/>
    <w:rsid w:val="00E5779B"/>
    <w:rsid w:val="00E6230C"/>
    <w:rsid w:val="00E67D81"/>
    <w:rsid w:val="00E77C73"/>
    <w:rsid w:val="00EA7AB0"/>
    <w:rsid w:val="00EB2B32"/>
    <w:rsid w:val="00EB5243"/>
    <w:rsid w:val="00EC24C9"/>
    <w:rsid w:val="00ED10FF"/>
    <w:rsid w:val="00EE2029"/>
    <w:rsid w:val="00EE580A"/>
    <w:rsid w:val="00EF64CF"/>
    <w:rsid w:val="00F00D59"/>
    <w:rsid w:val="00F01C79"/>
    <w:rsid w:val="00F14E3C"/>
    <w:rsid w:val="00F1719F"/>
    <w:rsid w:val="00F23295"/>
    <w:rsid w:val="00F422BC"/>
    <w:rsid w:val="00F42D43"/>
    <w:rsid w:val="00F4460E"/>
    <w:rsid w:val="00F475AF"/>
    <w:rsid w:val="00F4790B"/>
    <w:rsid w:val="00F562B2"/>
    <w:rsid w:val="00F61C4D"/>
    <w:rsid w:val="00F8422F"/>
    <w:rsid w:val="00F852B3"/>
    <w:rsid w:val="00F92E26"/>
    <w:rsid w:val="00FA758C"/>
    <w:rsid w:val="00FB09C3"/>
    <w:rsid w:val="00FD4F17"/>
    <w:rsid w:val="00FD687E"/>
    <w:rsid w:val="00FD7FE9"/>
    <w:rsid w:val="00FE0EEB"/>
    <w:rsid w:val="00FE20B0"/>
    <w:rsid w:val="00FE3F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0FAE4"/>
  <w15:chartTrackingRefBased/>
  <w15:docId w15:val="{B8244D04-1CE3-4594-8239-72CA4A29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34DCB"/>
    <w:pPr>
      <w:autoSpaceDE w:val="0"/>
      <w:autoSpaceDN w:val="0"/>
      <w:jc w:val="both"/>
    </w:pPr>
    <w:rPr>
      <w:sz w:val="24"/>
      <w:szCs w:val="24"/>
      <w:lang w:val="en-GB" w:eastAsia="en-US"/>
    </w:rPr>
  </w:style>
  <w:style w:type="paragraph" w:styleId="Ttulo1">
    <w:name w:val="heading 1"/>
    <w:basedOn w:val="Normal"/>
    <w:next w:val="Normal"/>
    <w:qFormat/>
    <w:pPr>
      <w:keepNext/>
      <w:keepLines/>
      <w:spacing w:before="480" w:after="240"/>
      <w:jc w:val="center"/>
      <w:outlineLvl w:val="0"/>
    </w:pPr>
    <w:rPr>
      <w:b/>
      <w:bCs/>
      <w:sz w:val="28"/>
      <w:szCs w:val="28"/>
    </w:rPr>
  </w:style>
  <w:style w:type="paragraph" w:styleId="Ttulo2">
    <w:name w:val="heading 2"/>
    <w:basedOn w:val="Normal"/>
    <w:next w:val="Normal"/>
    <w:qFormat/>
    <w:pPr>
      <w:keepNext/>
      <w:keepLines/>
      <w:spacing w:before="240" w:after="120"/>
      <w:outlineLvl w:val="1"/>
    </w:pPr>
    <w:rPr>
      <w:b/>
      <w:bCs/>
    </w:rPr>
  </w:style>
  <w:style w:type="paragraph" w:styleId="Ttulo3">
    <w:name w:val="heading 3"/>
    <w:basedOn w:val="Normal"/>
    <w:next w:val="Normal"/>
    <w:link w:val="Ttulo3Char"/>
    <w:qFormat/>
    <w:pPr>
      <w:keepNext/>
      <w:spacing w:before="240" w:after="6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FF"/>
      <w:u w:val="single"/>
    </w:rPr>
  </w:style>
  <w:style w:type="character" w:styleId="HiperlinkVisitado">
    <w:name w:val="FollowedHyperlink"/>
    <w:rPr>
      <w:color w:val="800080"/>
      <w:u w:val="single"/>
    </w:rPr>
  </w:style>
  <w:style w:type="paragraph" w:styleId="Textodenotaderodap">
    <w:name w:val="footnote text"/>
    <w:basedOn w:val="Normal"/>
    <w:semiHidden/>
    <w:rPr>
      <w:sz w:val="20"/>
      <w:szCs w:val="20"/>
    </w:rPr>
  </w:style>
  <w:style w:type="character" w:styleId="Refdenotaderodap">
    <w:name w:val="footnote reference"/>
    <w:semiHidden/>
    <w:rPr>
      <w:vertAlign w:val="superscript"/>
    </w:rPr>
  </w:style>
  <w:style w:type="character" w:styleId="Forte">
    <w:name w:val="Strong"/>
    <w:qFormat/>
    <w:rPr>
      <w:b/>
      <w:bCs/>
    </w:rPr>
  </w:style>
  <w:style w:type="paragraph" w:customStyle="1" w:styleId="reference">
    <w:name w:val="reference"/>
    <w:basedOn w:val="Normal"/>
    <w:pPr>
      <w:numPr>
        <w:numId w:val="7"/>
      </w:numPr>
      <w:tabs>
        <w:tab w:val="left" w:pos="-437"/>
        <w:tab w:val="num" w:pos="284"/>
      </w:tabs>
      <w:suppressAutoHyphens/>
      <w:ind w:left="284" w:hanging="295"/>
    </w:pPr>
    <w:rPr>
      <w:spacing w:val="-3"/>
    </w:rPr>
  </w:style>
  <w:style w:type="paragraph" w:customStyle="1" w:styleId="Equation">
    <w:name w:val="Equation"/>
    <w:basedOn w:val="Normal"/>
    <w:pPr>
      <w:tabs>
        <w:tab w:val="left" w:pos="-720"/>
        <w:tab w:val="right" w:pos="8931"/>
      </w:tabs>
      <w:suppressAutoHyphens/>
    </w:pPr>
  </w:style>
  <w:style w:type="character" w:styleId="Refdecomentrio">
    <w:name w:val="annotation reference"/>
    <w:rsid w:val="00A04577"/>
    <w:rPr>
      <w:sz w:val="16"/>
      <w:szCs w:val="16"/>
    </w:rPr>
  </w:style>
  <w:style w:type="paragraph" w:styleId="Textodecomentrio">
    <w:name w:val="annotation text"/>
    <w:basedOn w:val="Normal"/>
    <w:link w:val="TextodecomentrioChar"/>
    <w:rsid w:val="00A04577"/>
    <w:rPr>
      <w:sz w:val="20"/>
      <w:szCs w:val="20"/>
    </w:rPr>
  </w:style>
  <w:style w:type="character" w:customStyle="1" w:styleId="TextodecomentrioChar">
    <w:name w:val="Texto de comentário Char"/>
    <w:link w:val="Textodecomentrio"/>
    <w:rsid w:val="00A04577"/>
    <w:rPr>
      <w:lang w:val="en-GB" w:eastAsia="en-US"/>
    </w:rPr>
  </w:style>
  <w:style w:type="paragraph" w:styleId="Assuntodocomentrio">
    <w:name w:val="annotation subject"/>
    <w:basedOn w:val="Textodecomentrio"/>
    <w:next w:val="Textodecomentrio"/>
    <w:link w:val="AssuntodocomentrioChar"/>
    <w:rsid w:val="00A04577"/>
    <w:rPr>
      <w:b/>
      <w:bCs/>
    </w:rPr>
  </w:style>
  <w:style w:type="character" w:customStyle="1" w:styleId="AssuntodocomentrioChar">
    <w:name w:val="Assunto do comentário Char"/>
    <w:link w:val="Assuntodocomentrio"/>
    <w:rsid w:val="00A04577"/>
    <w:rPr>
      <w:b/>
      <w:bCs/>
      <w:lang w:val="en-GB" w:eastAsia="en-US"/>
    </w:rPr>
  </w:style>
  <w:style w:type="paragraph" w:styleId="Textodebalo">
    <w:name w:val="Balloon Text"/>
    <w:basedOn w:val="Normal"/>
    <w:link w:val="TextodebaloChar"/>
    <w:rsid w:val="00A04577"/>
    <w:rPr>
      <w:rFonts w:ascii="Tahoma" w:hAnsi="Tahoma" w:cs="Tahoma"/>
      <w:sz w:val="16"/>
      <w:szCs w:val="16"/>
    </w:rPr>
  </w:style>
  <w:style w:type="character" w:customStyle="1" w:styleId="TextodebaloChar">
    <w:name w:val="Texto de balão Char"/>
    <w:link w:val="Textodebalo"/>
    <w:rsid w:val="00A04577"/>
    <w:rPr>
      <w:rFonts w:ascii="Tahoma" w:hAnsi="Tahoma" w:cs="Tahoma"/>
      <w:sz w:val="16"/>
      <w:szCs w:val="16"/>
      <w:lang w:val="en-GB" w:eastAsia="en-US"/>
    </w:rPr>
  </w:style>
  <w:style w:type="paragraph" w:styleId="Cabealho">
    <w:name w:val="header"/>
    <w:basedOn w:val="Normal"/>
    <w:link w:val="CabealhoChar"/>
    <w:rsid w:val="00F00D59"/>
    <w:pPr>
      <w:tabs>
        <w:tab w:val="center" w:pos="4536"/>
        <w:tab w:val="right" w:pos="9072"/>
      </w:tabs>
    </w:pPr>
  </w:style>
  <w:style w:type="character" w:customStyle="1" w:styleId="CabealhoChar">
    <w:name w:val="Cabeçalho Char"/>
    <w:link w:val="Cabealho"/>
    <w:rsid w:val="00F00D59"/>
    <w:rPr>
      <w:sz w:val="24"/>
      <w:szCs w:val="24"/>
      <w:lang w:val="en-GB" w:eastAsia="en-US"/>
    </w:rPr>
  </w:style>
  <w:style w:type="paragraph" w:styleId="Rodap">
    <w:name w:val="footer"/>
    <w:basedOn w:val="Normal"/>
    <w:link w:val="RodapChar"/>
    <w:uiPriority w:val="99"/>
    <w:rsid w:val="00F00D59"/>
    <w:pPr>
      <w:tabs>
        <w:tab w:val="center" w:pos="4536"/>
        <w:tab w:val="right" w:pos="9072"/>
      </w:tabs>
    </w:pPr>
  </w:style>
  <w:style w:type="character" w:customStyle="1" w:styleId="RodapChar">
    <w:name w:val="Rodapé Char"/>
    <w:link w:val="Rodap"/>
    <w:uiPriority w:val="99"/>
    <w:rsid w:val="00F00D59"/>
    <w:rPr>
      <w:sz w:val="24"/>
      <w:szCs w:val="24"/>
      <w:lang w:val="en-GB" w:eastAsia="en-US"/>
    </w:rPr>
  </w:style>
  <w:style w:type="character" w:styleId="Refdenotadefim">
    <w:name w:val="endnote reference"/>
    <w:rsid w:val="006D27B6"/>
    <w:rPr>
      <w:vertAlign w:val="superscript"/>
    </w:rPr>
  </w:style>
  <w:style w:type="paragraph" w:styleId="Bibliografia">
    <w:name w:val="Bibliography"/>
    <w:basedOn w:val="Normal"/>
    <w:next w:val="Normal"/>
    <w:uiPriority w:val="37"/>
    <w:unhideWhenUsed/>
    <w:rsid w:val="006D27B6"/>
    <w:pPr>
      <w:tabs>
        <w:tab w:val="left" w:pos="384"/>
      </w:tabs>
      <w:ind w:left="384" w:hanging="384"/>
    </w:pPr>
  </w:style>
  <w:style w:type="character" w:customStyle="1" w:styleId="Ttulo3Char">
    <w:name w:val="Título 3 Char"/>
    <w:link w:val="Ttulo3"/>
    <w:rsid w:val="0030147C"/>
    <w:rPr>
      <w:b/>
      <w:bCs/>
      <w:sz w:val="24"/>
      <w:szCs w:val="24"/>
      <w:lang w:val="en-GB" w:eastAsia="en-US"/>
    </w:rPr>
  </w:style>
  <w:style w:type="paragraph" w:styleId="SemEspaamento">
    <w:name w:val="No Spacing"/>
    <w:uiPriority w:val="1"/>
    <w:qFormat/>
    <w:rsid w:val="009137BB"/>
    <w:pPr>
      <w:jc w:val="both"/>
    </w:pPr>
    <w:rPr>
      <w:rFonts w:eastAsia="MS Mincho"/>
      <w:sz w:val="24"/>
      <w:szCs w:val="22"/>
      <w:lang w:val="en-GB" w:eastAsia="en-US"/>
    </w:rPr>
  </w:style>
  <w:style w:type="table" w:styleId="Tabelacomgrade">
    <w:name w:val="Table Grid"/>
    <w:basedOn w:val="Tabelanormal"/>
    <w:uiPriority w:val="39"/>
    <w:unhideWhenUsed/>
    <w:rsid w:val="009137BB"/>
    <w:rPr>
      <w:sz w:val="22"/>
      <w:szCs w:val="22"/>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4758">
      <w:bodyDiv w:val="1"/>
      <w:marLeft w:val="0"/>
      <w:marRight w:val="0"/>
      <w:marTop w:val="0"/>
      <w:marBottom w:val="0"/>
      <w:divBdr>
        <w:top w:val="none" w:sz="0" w:space="0" w:color="auto"/>
        <w:left w:val="none" w:sz="0" w:space="0" w:color="auto"/>
        <w:bottom w:val="none" w:sz="0" w:space="0" w:color="auto"/>
        <w:right w:val="none" w:sz="0" w:space="0" w:color="auto"/>
      </w:divBdr>
    </w:div>
    <w:div w:id="354577805">
      <w:bodyDiv w:val="1"/>
      <w:marLeft w:val="0"/>
      <w:marRight w:val="0"/>
      <w:marTop w:val="0"/>
      <w:marBottom w:val="0"/>
      <w:divBdr>
        <w:top w:val="none" w:sz="0" w:space="0" w:color="auto"/>
        <w:left w:val="none" w:sz="0" w:space="0" w:color="auto"/>
        <w:bottom w:val="none" w:sz="0" w:space="0" w:color="auto"/>
        <w:right w:val="none" w:sz="0" w:space="0" w:color="auto"/>
      </w:divBdr>
    </w:div>
    <w:div w:id="689913625">
      <w:bodyDiv w:val="1"/>
      <w:marLeft w:val="0"/>
      <w:marRight w:val="0"/>
      <w:marTop w:val="0"/>
      <w:marBottom w:val="0"/>
      <w:divBdr>
        <w:top w:val="none" w:sz="0" w:space="0" w:color="auto"/>
        <w:left w:val="none" w:sz="0" w:space="0" w:color="auto"/>
        <w:bottom w:val="none" w:sz="0" w:space="0" w:color="auto"/>
        <w:right w:val="none" w:sz="0" w:space="0" w:color="auto"/>
      </w:divBdr>
    </w:div>
    <w:div w:id="771515843">
      <w:bodyDiv w:val="1"/>
      <w:marLeft w:val="0"/>
      <w:marRight w:val="0"/>
      <w:marTop w:val="0"/>
      <w:marBottom w:val="0"/>
      <w:divBdr>
        <w:top w:val="none" w:sz="0" w:space="0" w:color="auto"/>
        <w:left w:val="none" w:sz="0" w:space="0" w:color="auto"/>
        <w:bottom w:val="none" w:sz="0" w:space="0" w:color="auto"/>
        <w:right w:val="none" w:sz="0" w:space="0" w:color="auto"/>
      </w:divBdr>
    </w:div>
    <w:div w:id="802045975">
      <w:bodyDiv w:val="1"/>
      <w:marLeft w:val="0"/>
      <w:marRight w:val="0"/>
      <w:marTop w:val="0"/>
      <w:marBottom w:val="0"/>
      <w:divBdr>
        <w:top w:val="none" w:sz="0" w:space="0" w:color="auto"/>
        <w:left w:val="none" w:sz="0" w:space="0" w:color="auto"/>
        <w:bottom w:val="none" w:sz="0" w:space="0" w:color="auto"/>
        <w:right w:val="none" w:sz="0" w:space="0" w:color="auto"/>
      </w:divBdr>
    </w:div>
    <w:div w:id="879704649">
      <w:bodyDiv w:val="1"/>
      <w:marLeft w:val="0"/>
      <w:marRight w:val="0"/>
      <w:marTop w:val="0"/>
      <w:marBottom w:val="0"/>
      <w:divBdr>
        <w:top w:val="none" w:sz="0" w:space="0" w:color="auto"/>
        <w:left w:val="none" w:sz="0" w:space="0" w:color="auto"/>
        <w:bottom w:val="none" w:sz="0" w:space="0" w:color="auto"/>
        <w:right w:val="none" w:sz="0" w:space="0" w:color="auto"/>
      </w:divBdr>
    </w:div>
    <w:div w:id="1012679366">
      <w:bodyDiv w:val="1"/>
      <w:marLeft w:val="0"/>
      <w:marRight w:val="0"/>
      <w:marTop w:val="0"/>
      <w:marBottom w:val="0"/>
      <w:divBdr>
        <w:top w:val="none" w:sz="0" w:space="0" w:color="auto"/>
        <w:left w:val="none" w:sz="0" w:space="0" w:color="auto"/>
        <w:bottom w:val="none" w:sz="0" w:space="0" w:color="auto"/>
        <w:right w:val="none" w:sz="0" w:space="0" w:color="auto"/>
      </w:divBdr>
    </w:div>
    <w:div w:id="1184781793">
      <w:bodyDiv w:val="1"/>
      <w:marLeft w:val="0"/>
      <w:marRight w:val="0"/>
      <w:marTop w:val="0"/>
      <w:marBottom w:val="0"/>
      <w:divBdr>
        <w:top w:val="none" w:sz="0" w:space="0" w:color="auto"/>
        <w:left w:val="none" w:sz="0" w:space="0" w:color="auto"/>
        <w:bottom w:val="none" w:sz="0" w:space="0" w:color="auto"/>
        <w:right w:val="none" w:sz="0" w:space="0" w:color="auto"/>
      </w:divBdr>
    </w:div>
    <w:div w:id="1217014520">
      <w:bodyDiv w:val="1"/>
      <w:marLeft w:val="0"/>
      <w:marRight w:val="0"/>
      <w:marTop w:val="0"/>
      <w:marBottom w:val="0"/>
      <w:divBdr>
        <w:top w:val="none" w:sz="0" w:space="0" w:color="auto"/>
        <w:left w:val="none" w:sz="0" w:space="0" w:color="auto"/>
        <w:bottom w:val="none" w:sz="0" w:space="0" w:color="auto"/>
        <w:right w:val="none" w:sz="0" w:space="0" w:color="auto"/>
      </w:divBdr>
    </w:div>
    <w:div w:id="1436361560">
      <w:bodyDiv w:val="1"/>
      <w:marLeft w:val="0"/>
      <w:marRight w:val="0"/>
      <w:marTop w:val="0"/>
      <w:marBottom w:val="0"/>
      <w:divBdr>
        <w:top w:val="none" w:sz="0" w:space="0" w:color="auto"/>
        <w:left w:val="none" w:sz="0" w:space="0" w:color="auto"/>
        <w:bottom w:val="none" w:sz="0" w:space="0" w:color="auto"/>
        <w:right w:val="none" w:sz="0" w:space="0" w:color="auto"/>
      </w:divBdr>
    </w:div>
    <w:div w:id="1787888187">
      <w:bodyDiv w:val="1"/>
      <w:marLeft w:val="0"/>
      <w:marRight w:val="0"/>
      <w:marTop w:val="0"/>
      <w:marBottom w:val="0"/>
      <w:divBdr>
        <w:top w:val="none" w:sz="0" w:space="0" w:color="auto"/>
        <w:left w:val="none" w:sz="0" w:space="0" w:color="auto"/>
        <w:bottom w:val="none" w:sz="0" w:space="0" w:color="auto"/>
        <w:right w:val="none" w:sz="0" w:space="0" w:color="auto"/>
      </w:divBdr>
    </w:div>
    <w:div w:id="1790129001">
      <w:bodyDiv w:val="1"/>
      <w:marLeft w:val="0"/>
      <w:marRight w:val="0"/>
      <w:marTop w:val="0"/>
      <w:marBottom w:val="0"/>
      <w:divBdr>
        <w:top w:val="none" w:sz="0" w:space="0" w:color="auto"/>
        <w:left w:val="none" w:sz="0" w:space="0" w:color="auto"/>
        <w:bottom w:val="none" w:sz="0" w:space="0" w:color="auto"/>
        <w:right w:val="none" w:sz="0" w:space="0" w:color="auto"/>
      </w:divBdr>
    </w:div>
    <w:div w:id="1998804710">
      <w:bodyDiv w:val="1"/>
      <w:marLeft w:val="0"/>
      <w:marRight w:val="0"/>
      <w:marTop w:val="0"/>
      <w:marBottom w:val="0"/>
      <w:divBdr>
        <w:top w:val="none" w:sz="0" w:space="0" w:color="auto"/>
        <w:left w:val="none" w:sz="0" w:space="0" w:color="auto"/>
        <w:bottom w:val="none" w:sz="0" w:space="0" w:color="auto"/>
        <w:right w:val="none" w:sz="0" w:space="0" w:color="auto"/>
      </w:divBdr>
    </w:div>
    <w:div w:id="206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sseweijer@tudelft.n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mailto:rmaciel@unicamp.br"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mailto:adpm@unicamp.br" TargetMode="Externa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hyperlink" Target="mailto:pabloaso@unicamp.br" TargetMode="External"/><Relationship Id="rId3" Type="http://schemas.openxmlformats.org/officeDocument/2006/relationships/styles" Target="styles.xml"/><Relationship Id="rId12" Type="http://schemas.openxmlformats.org/officeDocument/2006/relationships/hyperlink" Target="mailto:j.a.posadaduque@tudelft.n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96994-491D-47F7-BD38-95116503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30</Pages>
  <Words>26901</Words>
  <Characters>145271</Characters>
  <Application>Microsoft Office Word</Application>
  <DocSecurity>0</DocSecurity>
  <Lines>1210</Lines>
  <Paragraphs>343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Exergy efficiency of marine biofuel production from residual lignocellulosic biomass using thermochemical conversion technologies</vt:lpstr>
      <vt:lpstr>Insert the title here</vt:lpstr>
    </vt:vector>
  </TitlesOfParts>
  <Company>FSB-UZ</Company>
  <LinksUpToDate>false</LinksUpToDate>
  <CharactersWithSpaces>171829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Exergy efficiency of marine biofuel production from residual lignocellulosic biomass using thermochemical conversion technologies</dc:title>
  <dc:subject/>
  <dc:creator>PABLO A. SILVA ORTIZ</dc:creator>
  <cp:keywords/>
  <cp:lastModifiedBy>PABLO SILVA ORTIZ</cp:lastModifiedBy>
  <cp:revision>15</cp:revision>
  <cp:lastPrinted>2000-07-03T13:44:00Z</cp:lastPrinted>
  <dcterms:created xsi:type="dcterms:W3CDTF">2020-12-30T04:17:00Z</dcterms:created>
  <dcterms:modified xsi:type="dcterms:W3CDTF">2022-01-07T21:24:00Z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id="aQqECuwy"/&gt;&lt;style id="http://www.zotero.org/styles/biomass-and-bioenergy" hasBibliography="1" bibliographyStyleHasBeenSet="1"/&gt;&lt;prefs&gt;&lt;pref name="fieldType" value="Field"/&gt;&lt;/prefs&gt;&lt;/data&gt;</vt:lpwstr>
  </property>
</Properties>
</file>