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The Quiet Return of the Night Train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most of the last thirty years, overnight rail travel in Europe looked like a dying business. Budget airlines offered fares that trains could not match, and operators retired their sleeper cars one route at a time. By the mid 2010s, many travelers assumed the night train would survive only as a nostalgic curiosity for tourists.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assumption turned out to be wrong. Starting around 2016, the Austrian railway took over several routes that other operators had abandoned and rebranded them under a single name. Instead of treating the sleeper as a museum piece, it invested in new carriages with private compartments, better beds and simple breakfasts. Demand grew faster than the company expected, and many popular departures sold out weeks in advance.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Several forces pushed travelers back toward the rails. Concern about the climate impact of short flights made people look for alternatives, and a night train replaces both a flight and a hotel night. Airports also became slower and less pleasant, with long security lines and early check in times. A train that leaves a city center in the evening and arrives in another city center in the morning suddenly looked efficient rather than old fashioned.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revival still faces real obstacles. New sleeper carriages are expensive and take years to build. Track access charges differ from country to country, which makes cross border routes hard to price. Maintenance depots for sleeper stock are scarce, so a single broken carriage can cancel a departure. Some new operators launched with great enthusiasm and then cut routes within a year when the numbers did not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Supporters argue that governments should treat night trains as public infrastructure rather than as a niche product. They point to the way airports and highways receive public money and ask for similar support for rail. Critics respond that subsidies should go to the routes that carry the most people, which are usually daytime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Whatever the outcome of that debate, the night train has already changed how many people think about travel. For a growing group of passengers, the journey itself has become part of the trip again, and waking up in a new city without ever passing through an airport feels like a small luxury.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