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74B"/>
          <w:sz w:val="50"/>
        </w:rPr>
        <w:t>Construction Multi-Agent Control Centre</w:t>
      </w:r>
    </w:p>
    <w:p>
      <w:pPr>
        <w:jc w:val="center"/>
      </w:pPr>
      <w:r>
        <w:t>Final Technical Report and Acceptance Handover</w:t>
      </w:r>
    </w:p>
    <w:p>
      <w:pPr>
        <w:jc w:val="center"/>
      </w:pPr>
      <w:r>
        <w:t>Python 3.12 · Streamlit · Ollama · Hybrid RAG · SQLite</w:t>
        <w:br/>
        <w:t>https://github.com/passantabdou23-svg/Construction-MultiAgent-System</w:t>
      </w:r>
    </w:p>
    <w:p>
      <w:r>
        <w:br w:type="page"/>
      </w:r>
    </w:p>
    <w:p>
      <w:pPr>
        <w:pStyle w:val="Heading1"/>
      </w:pPr>
      <w:r>
        <w:t>Executive summary</w:t>
      </w:r>
    </w:p>
    <w:p>
      <w:r>
        <w:t>This project implements a governed construction-change workflow: a site note is validated, supported by controlled regulatory evidence, converted to an immutable package, and held for an authenticated human decision. Procurement planning and Critical Path Method (CPM) analysis remain blocked until approval.</w:t>
      </w:r>
    </w:p>
    <w:p>
      <w:r>
        <w:t>The accepted build combines local Ollama inference with deterministic validation, persistent Retrieval-Augmented Generation (RAG), role-based access control, separation of duties, SQLite transactions, and a hash-chained audit trail. Its purpose is controlled planning support—not autonomous engineering approval.</w:t>
      </w:r>
    </w:p>
    <w:p>
      <w:pPr>
        <w:pStyle w:val="Heading1"/>
      </w:pPr>
      <w:r>
        <w:t>1. Problem, objective, and scope</w:t>
      </w:r>
    </w:p>
    <w:p>
      <w:r>
        <w:t>Ungoverned agent output can create unsupported technical claims, premature purchasing, and untraceable decisions. The objective is evidence-backed multi-agent coordination with explicit human authorization before consequential actions.</w:t>
      </w:r>
    </w:p>
    <w:p>
      <w:r>
        <w:t>The operating scope is a controlled single-workstation prototype. Licensed engineers and applicable authorities remain responsible for engineering and compliance decisions.</w:t>
      </w:r>
    </w:p>
    <w:p>
      <w:pPr>
        <w:pStyle w:val="Heading1"/>
      </w:pPr>
      <w:r>
        <w:t>2. Implemented architecture</w:t>
      </w:r>
    </w:p>
    <w:p>
      <w:r>
        <w:t>Interface: authenticated, role-aware Streamlit control centre and read-only audit views.</w:t>
      </w:r>
    </w:p>
    <w:p>
      <w:r>
        <w:t>Orchestration: sequential agent pipeline with explicit run states and approval gate.</w:t>
      </w:r>
    </w:p>
    <w:p>
      <w:r>
        <w:t>Knowledge: four controlled England Approved Documents, clause-aware chunks, pretrained MiniLM embeddings, and persistent ChromaDB.</w:t>
      </w:r>
    </w:p>
    <w:p>
      <w:r>
        <w:t>Safety: Pydantic contracts, confidence rejection, exact-quote and numeric support checks, and document-version governance.</w:t>
      </w:r>
    </w:p>
    <w:p>
      <w:r>
        <w:t>Persistence: transactional SQLite records, ordered SHA-256 audit chain, and validated backups.</w:t>
      </w:r>
    </w:p>
    <w:p>
      <w:pPr>
        <w:pStyle w:val="Heading1"/>
      </w:pPr>
      <w:r>
        <w:t>3. Governed workflow</w:t>
      </w:r>
    </w:p>
    <w:p>
      <w:r>
        <w:t>A PREPARER submits a bounded site note. Validation rejects unsafe inputs before model invocation. Discipline-aware hybrid RAG retrieves controlled evidence. The design agent proposes structured claims; each accepted claim must cite an immutable chunk and verbatim quote.</w:t>
      </w:r>
    </w:p>
    <w:p>
      <w:r>
        <w:t>An immutable snapshot enters the queue. A different authorized reviewer reauthenticates and decides exactly once. Only approval permits procurement estimation and deterministic CPM analysis. Every state change is persisted and hash-chained.</w:t>
      </w:r>
    </w:p>
    <w:p>
      <w:pPr>
        <w:pStyle w:val="Heading1"/>
      </w:pPr>
      <w:r>
        <w:t>4. Controlled RAG implementation</w:t>
      </w:r>
    </w:p>
    <w:p>
      <w:r>
        <w:t>Corpus: official England Approved Documents A, C, K, and 7; 198 PDF pages, 190 searchable pages; 586 auditable chunks and 526 retrieval-eligible chunks.</w:t>
      </w:r>
    </w:p>
    <w:p>
      <w:r>
        <w:t>Retrieval: pretrained sentence-transformers/all-MiniLM-L6-v2 running locally; persistent ChromaDB; 75% semantic similarity plus 25% BM25-style lexical relevance; calibrated confidence floor 0.45.</w:t>
      </w:r>
    </w:p>
    <w:p>
      <w:r>
        <w:t>Citations preserve document, section, clause, printed page, PDF page, edition, status, jurisdiction, checksum, and official source URL. Covers and contents remain auditable but are excluded from retrieval.</w:t>
      </w:r>
    </w:p>
    <w:p>
      <w:pPr>
        <w:pStyle w:val="Heading1"/>
      </w:pPr>
      <w:r>
        <w:t>5. Grounding and deterministic safeguards</w:t>
      </w:r>
    </w:p>
    <w:p>
      <w:r>
        <w:t>The guard rejects unsupported numbers, unavailable chunks, altered quotes, incompatible versions, and evidence-created procurement items. Site facts are isolated from regulatory evidence. A bounded correction attempt may repair a malformed model contract, but deterministic verification remains authoritative.</w:t>
      </w:r>
    </w:p>
    <w:p>
      <w:r>
        <w:t>Two live Ollama trials introduced unsupported numeric claims; both packages were refused before approval, procurement, or scheduling.</w:t>
      </w:r>
    </w:p>
    <w:p>
      <w:pPr>
        <w:pStyle w:val="Heading1"/>
      </w:pPr>
      <w:r>
        <w:t>6. Authentication, authorization, and audit</w:t>
      </w:r>
    </w:p>
    <w:p>
      <w:r>
        <w:t>Passwords use unique salts and scrypt derivation. Server-side roles are PREPARER, DESIGN_REVIEWER, PROJECT_MANAGER, and ADMIN. Five failed logins trigger temporary lockout; sessions have idle and absolute expiry.</w:t>
      </w:r>
    </w:p>
    <w:p>
      <w:r>
        <w:t>Separation of duties blocks self-approval. Decisions require fresh password verification. Immutable snapshots and single-use decisions block stale-state approval and replay. The ordered SHA-256 chain detects ordinary modification, deletion, insertion, and reordering.</w:t>
      </w:r>
    </w:p>
    <w:p>
      <w:pPr>
        <w:pStyle w:val="Heading1"/>
      </w:pPr>
      <w:r>
        <w:t>7. Procurement and CPM boundaries</w:t>
      </w:r>
    </w:p>
    <w:p>
      <w:r>
        <w:t>Procurement outputs are unverified planning estimates. No live supplier API, verified quotation, or automatic purchase is claimed. Python recalculates totals and dates instead of trusting model arithmetic.</w:t>
      </w:r>
    </w:p>
    <w:p>
      <w:r>
        <w:t>NetworkX computes CPM effects over a five-task demonstration network. This is not a live Primavera P6 or Microsoft Project integration.</w:t>
      </w:r>
    </w:p>
    <w:p>
      <w:pPr>
        <w:pStyle w:val="Heading1"/>
      </w:pPr>
      <w:r>
        <w:t>8. Verification results</w:t>
      </w:r>
    </w:p>
    <w:p>
      <w:r>
        <w:t>72 repository tests and 3 stress tests passed. Retrieval Hit@5 and Top-1 accuracy were 100%; Mean Reciprocal Rank was 1.000; document routing, positive acceptance, negative rejection, grounded supported-case acceptance, and grounding-guard rejection were 100%.</w:t>
      </w:r>
    </w:p>
    <w:p>
      <w:r>
        <w:t>These percentages describe only the labelled controlled evaluation sets. They are not a universal construction-compliance benchmark.</w:t>
      </w:r>
    </w:p>
    <w:p>
      <w:r>
        <w:t>Accepted workflow evidence: 3 active accounts, 1 grounded revision, 1 approved immutable package, 1 unverified procurement record, 1 CPM impact, 0 pending approvals, 18 valid audit events, and a validated pre-release backup.</w:t>
      </w:r>
    </w:p>
    <w:p>
      <w:pPr>
        <w:pStyle w:val="Heading1"/>
      </w:pPr>
      <w:r>
        <w:t>9. Deployment and recovery</w:t>
      </w:r>
    </w:p>
    <w:p>
      <w:r>
        <w:t>Use Python 3.12 and exact dependency pins. Run ingestion, indexing, retrieval evaluation, grounding evaluation, repository tests, stress tests, and release_check.py. Generate ACCEPTANCE_REPORT.md and ACCEPTANCE_EVIDENCE.json against a validated backup.</w:t>
      </w:r>
    </w:p>
    <w:p>
      <w:r>
        <w:t>Bind Streamlit to localhost by default. LAN credentials require HTTPS. Backups use SQLite online backup and SHA-256 manifests; guarded restore verifies a disposable copy, preserves the old destination, and replaces atomically.</w:t>
      </w:r>
    </w:p>
    <w:p>
      <w:pPr>
        <w:pStyle w:val="Heading1"/>
      </w:pPr>
      <w:r>
        <w:t>10. Limitations and future work</w:t>
      </w:r>
    </w:p>
    <w:p>
      <w:r>
        <w:t>No multi-factor authentication (MFA), enterprise single sign-on (SSO), account recovery, legally binding electronic signature, verified supplier integration, or production monitoring service. The audit chain is tamper-evident but not digitally signed or externally anchored.</w:t>
      </w:r>
    </w:p>
    <w:p>
      <w:r>
        <w:t>Approved Documents apply to England and are not Egyptian compliance authority. Future work includes external identity, signed audit anchoring, live verified connectors, larger independent evaluations, managed observability, and formal licensed-engineer studies.</w:t>
      </w:r>
    </w:p>
    <w:p>
      <w:pPr>
        <w:pStyle w:val="Heading1"/>
      </w:pPr>
      <w:r>
        <w:t>11. Conclusion</w:t>
      </w:r>
    </w:p>
    <w:p>
      <w:r>
        <w:t>The accepted release is a coherent, reproducible, and defensively bounded construction multi-agent prototype. Its main contribution is controlled evidence plus deterministic refusal, authenticated human approval, and traceable state transitions.</w:t>
      </w:r>
    </w:p>
    <w:p>
      <w:r>
        <w:t>Repository: https://github.com/passantabdou23-svg/Construction-MultiAgent-System</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27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