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64" w:lineRule="auto"/>
      </w:pPr>
      <w:r>
        <w:rPr>
          <w:rFonts w:ascii="Microsoft YaHei" w:hAnsi="Microsoft YaHei" w:eastAsia="Microsoft YaHei"/>
          <w:b/>
          <w:color w:val="183B56"/>
          <w:sz w:val="48"/>
        </w:rPr>
        <w:t>跌倒检测与预测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b/>
          <w:color w:val="2878B5"/>
          <w:sz w:val="34"/>
        </w:rPr>
        <w:t>技术路线演进及指标对比</w:t>
      </w: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2F7"/>
          <w:left w:val="single" w:sz="2" w:color="E8F2F7"/>
          <w:bottom w:val="single" w:sz="2" w:color="E8F2F7"/>
          <w:right w:val="single" w:sz="2" w:color="E8F2F7"/>
          <w:insideH w:val="single" w:sz="2" w:color="E8F2F7"/>
          <w:insideV w:val="single" w:sz="2" w:color="E8F2F7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E8F2F7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83B56"/>
                <w:sz w:val="21"/>
              </w:rPr>
              <w:t xml:space="preserve">核心结论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由单一跌倒二分类，升级为“提前预警 + 多模态确认 + 系统接口”的完整闭环。</w:t>
            </w:r>
          </w:p>
        </w:tc>
      </w:tr>
    </w:tbl>
    <w:p>
      <w:pPr>
        <w:spacing w:after="20"/>
      </w:pP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286468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技术路线演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/>
          <w:b/>
          <w:color w:val="667480"/>
          <w:sz w:val="20"/>
        </w:rPr>
        <w:t>演进主线：事后识别 → 稳定跟踪 → 1/2/3秒预测 → Qwen语义复核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B56"/>
          <w:sz w:val="32"/>
        </w:rPr>
        <w:t>1  当前完整路线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197908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当前完整路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790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2F7"/>
          <w:left w:val="single" w:sz="2" w:color="E8F2F7"/>
          <w:bottom w:val="single" w:sz="2" w:color="E8F2F7"/>
          <w:right w:val="single" w:sz="2" w:color="E8F2F7"/>
          <w:insideH w:val="single" w:sz="2" w:color="E8F2F7"/>
          <w:insideV w:val="single" w:sz="2" w:color="E8F2F7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E8F2F7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2878B5"/>
                <w:sz w:val="21"/>
              </w:rPr>
              <w:t xml:space="preserve">实时主线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RTMPose提取骨架，ST-GCN++持续完成跌倒检测与1/2/3秒风险预测。</w:t>
            </w:r>
          </w:p>
        </w:tc>
      </w:tr>
    </w:tbl>
    <w:p>
      <w:pPr>
        <w:spacing w:after="20"/>
      </w:pP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7F4EA"/>
          <w:left w:val="single" w:sz="2" w:color="E7F4EA"/>
          <w:bottom w:val="single" w:sz="2" w:color="E7F4EA"/>
          <w:right w:val="single" w:sz="2" w:color="E7F4EA"/>
          <w:insideH w:val="single" w:sz="2" w:color="E7F4EA"/>
          <w:insideV w:val="single" w:sz="2" w:color="E7F4EA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E7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4D9F65"/>
                <w:sz w:val="21"/>
              </w:rPr>
              <w:t xml:space="preserve">触发分支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仅在HIGH或FALL时调用Qwen3-VL，输出确认结果、原因解释和事件摘要。</w:t>
            </w:r>
          </w:p>
        </w:tc>
      </w:tr>
    </w:tbl>
    <w:p>
      <w:pPr>
        <w:spacing w:after="20"/>
      </w:pP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1DE"/>
          <w:left w:val="single" w:sz="2" w:color="FFF1DE"/>
          <w:bottom w:val="single" w:sz="2" w:color="FFF1DE"/>
          <w:right w:val="single" w:sz="2" w:color="FFF1DE"/>
          <w:insideH w:val="single" w:sz="2" w:color="FFF1DE"/>
          <w:insideV w:val="single" w:sz="2" w:color="FFF1DE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FFF1DE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E89A3D"/>
                <w:sz w:val="21"/>
              </w:rPr>
              <w:t xml:space="preserve">工程输出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统一拉流、共享缓存，通过FastAPI接入护理站或师兄业务系统。</w:t>
            </w:r>
          </w:p>
        </w:tc>
      </w:tr>
    </w:tbl>
    <w:p>
      <w:pPr>
        <w:spacing w:after="20"/>
      </w:pP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/>
          <w:b/>
          <w:color w:val="C65353"/>
          <w:sz w:val="22"/>
        </w:rPr>
        <w:t>设计原则：大模型不阻塞实时预警，也不能撤销骨架告警。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B56"/>
          <w:sz w:val="32"/>
        </w:rPr>
        <w:t>2  跌倒检测路线对比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 w:val="0"/>
          <w:color w:val="667480"/>
          <w:sz w:val="19"/>
        </w:rPr>
        <w:t>内部测试衡量同数据源新受试者；外部测试衡量跨数据集、跨视角泛化。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231405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检测路线指标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140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24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5DE"/>
          <w:left w:val="single" w:sz="6" w:color="CAD5DE"/>
          <w:bottom w:val="single" w:sz="6" w:color="CAD5DE"/>
          <w:right w:val="single" w:sz="6" w:color="CAD5DE"/>
          <w:insideH w:val="single" w:sz="6" w:color="CAD5DE"/>
          <w:insideV w:val="single" w:sz="6" w:color="CAD5DE"/>
        </w:tblBorders>
      </w:tblPr>
      <w:tblGrid>
        <w:gridCol w:w="1450"/>
        <w:gridCol w:w="3100"/>
        <w:gridCol w:w="900"/>
        <w:gridCol w:w="980"/>
        <w:gridCol w:w="1120"/>
        <w:gridCol w:w="169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测试口径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推荐/领先路线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BA</w:t>
            </w:r>
          </w:p>
        </w:tc>
        <w:tc>
          <w:tcPr>
            <w:tcW w:type="dxa" w:w="98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12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Specificity</w:t>
            </w:r>
          </w:p>
        </w:tc>
        <w:tc>
          <w:tcPr>
            <w:tcW w:type="dxa" w:w="169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GMDCSA24内部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YOLO+ByteTrack+ST-GCN++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89.41%</w:t>
            </w:r>
          </w:p>
        </w:tc>
        <w:tc>
          <w:tcPr>
            <w:tcW w:type="dxa" w:w="9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92.41%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86.42%</w:t>
            </w:r>
          </w:p>
        </w:tc>
        <w:tc>
          <w:tcPr>
            <w:tcW w:type="dxa" w:w="169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内部冠军</w:t>
            </w:r>
          </w:p>
        </w:tc>
      </w:tr>
      <w:tr>
        <w:tc>
          <w:tcPr>
            <w:tcW w:type="dxa" w:w="1450"/>
            <w:shd w:fill="E8F2F7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GMDCSA24内部</w:t>
            </w:r>
          </w:p>
        </w:tc>
        <w:tc>
          <w:tcPr>
            <w:tcW w:type="dxa" w:w="3100"/>
            <w:shd w:fill="E8F2F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RTMPose+ST-GCN++</w:t>
            </w:r>
          </w:p>
        </w:tc>
        <w:tc>
          <w:tcPr>
            <w:tcW w:type="dxa" w:w="900"/>
            <w:shd w:fill="E8F2F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86.83%</w:t>
            </w:r>
          </w:p>
        </w:tc>
        <w:tc>
          <w:tcPr>
            <w:tcW w:type="dxa" w:w="980"/>
            <w:shd w:fill="E8F2F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83.54%</w:t>
            </w:r>
          </w:p>
        </w:tc>
        <w:tc>
          <w:tcPr>
            <w:tcW w:type="dxa" w:w="1120"/>
            <w:shd w:fill="E8F2F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90.12%</w:t>
            </w:r>
          </w:p>
        </w:tc>
        <w:tc>
          <w:tcPr>
            <w:tcW w:type="dxa" w:w="1690"/>
            <w:shd w:fill="E8F2F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默认主线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MCFD外部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YOLO-Pose+ST-GCN++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64.01%</w:t>
            </w:r>
          </w:p>
        </w:tc>
        <w:tc>
          <w:tcPr>
            <w:tcW w:type="dxa" w:w="9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61.81%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66.20%</w:t>
            </w:r>
          </w:p>
        </w:tc>
        <w:tc>
          <w:tcPr>
            <w:tcW w:type="dxa" w:w="169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外测BA最高</w:t>
            </w:r>
          </w:p>
        </w:tc>
      </w:tr>
      <w:tr>
        <w:tc>
          <w:tcPr>
            <w:tcW w:type="dxa" w:w="1450"/>
            <w:shd w:fill="F7F9FB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MCFD外部</w:t>
            </w:r>
          </w:p>
        </w:tc>
        <w:tc>
          <w:tcPr>
            <w:tcW w:type="dxa" w:w="310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RTMPose+ST-GCN++</w:t>
            </w:r>
          </w:p>
        </w:tc>
        <w:tc>
          <w:tcPr>
            <w:tcW w:type="dxa" w:w="90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63.08%</w:t>
            </w:r>
          </w:p>
        </w:tc>
        <w:tc>
          <w:tcPr>
            <w:tcW w:type="dxa" w:w="98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61.81%</w:t>
            </w:r>
          </w:p>
        </w:tc>
        <w:tc>
          <w:tcPr>
            <w:tcW w:type="dxa" w:w="112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64.35%</w:t>
            </w:r>
          </w:p>
        </w:tc>
        <w:tc>
          <w:tcPr>
            <w:tcW w:type="dxa" w:w="169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综合稳定</w:t>
            </w:r>
          </w:p>
        </w:tc>
      </w:tr>
    </w:tbl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1DE"/>
          <w:left w:val="single" w:sz="2" w:color="FFF1DE"/>
          <w:bottom w:val="single" w:sz="2" w:color="FFF1DE"/>
          <w:right w:val="single" w:sz="2" w:color="FFF1DE"/>
          <w:insideH w:val="single" w:sz="2" w:color="FFF1DE"/>
          <w:insideV w:val="single" w:sz="2" w:color="FFF1DE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FFF1DE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E89A3D"/>
                <w:sz w:val="21"/>
              </w:rPr>
              <w:t xml:space="preserve">路线选择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ByteTrack内部增益明显，但外部泛化不稳定；系统默认仍采用RTMPose + ST-GCN++。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B56"/>
          <w:sz w:val="32"/>
        </w:rPr>
        <w:t>3  跌倒提前预测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 w:val="0"/>
          <w:color w:val="667480"/>
          <w:sz w:val="19"/>
        </w:rPr>
        <w:t>PreVFall：108段视频、9名受试者、72段跌倒；严格LOSO，输入不包含跌倒发生后的画面。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242701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提前预测指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270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82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5DE"/>
          <w:left w:val="single" w:sz="6" w:color="CAD5DE"/>
          <w:bottom w:val="single" w:sz="6" w:color="CAD5DE"/>
          <w:right w:val="single" w:sz="6" w:color="CAD5DE"/>
          <w:insideH w:val="single" w:sz="6" w:color="CAD5DE"/>
          <w:insideV w:val="single" w:sz="6" w:color="CAD5DE"/>
        </w:tblBorders>
      </w:tblPr>
      <w:tblGrid>
        <w:gridCol w:w="1050"/>
        <w:gridCol w:w="1580"/>
        <w:gridCol w:w="1120"/>
        <w:gridCol w:w="1080"/>
        <w:gridCol w:w="900"/>
        <w:gridCol w:w="1050"/>
        <w:gridCol w:w="1420"/>
      </w:tblGrid>
      <w:tr>
        <w:trPr>
          <w:tblHeader w:val="true"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预测时距</w:t>
            </w:r>
          </w:p>
        </w:tc>
        <w:tc>
          <w:tcPr>
            <w:tcW w:type="dxa" w:w="158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Balanced Accuracy</w:t>
            </w:r>
          </w:p>
        </w:tc>
        <w:tc>
          <w:tcPr>
            <w:tcW w:type="dxa" w:w="112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F1</w:t>
            </w:r>
          </w:p>
        </w:tc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142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1050"/>
            <w:shd w:fill="E7F4E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1秒</w:t>
            </w:r>
          </w:p>
        </w:tc>
        <w:tc>
          <w:tcPr>
            <w:tcW w:type="dxa" w:w="158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90.84%</w:t>
            </w:r>
          </w:p>
        </w:tc>
        <w:tc>
          <w:tcPr>
            <w:tcW w:type="dxa" w:w="112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62.00%</w:t>
            </w:r>
          </w:p>
        </w:tc>
        <w:tc>
          <w:tcPr>
            <w:tcW w:type="dxa" w:w="108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84.08%</w:t>
            </w:r>
          </w:p>
        </w:tc>
        <w:tc>
          <w:tcPr>
            <w:tcW w:type="dxa" w:w="90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66.61%</w:t>
            </w:r>
          </w:p>
        </w:tc>
        <w:tc>
          <w:tcPr>
            <w:tcW w:type="dxa" w:w="105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84.10%</w:t>
            </w:r>
          </w:p>
        </w:tc>
        <w:tc>
          <w:tcPr>
            <w:tcW w:type="dxa" w:w="142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6"/>
              </w:rPr>
              <w:t>HIGH</w:t>
            </w:r>
          </w:p>
        </w:tc>
      </w:tr>
      <w:tr>
        <w:tc>
          <w:tcPr>
            <w:tcW w:type="dxa" w:w="1050"/>
            <w:shd w:fill="F7F9FB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2秒</w:t>
            </w:r>
          </w:p>
        </w:tc>
        <w:tc>
          <w:tcPr>
            <w:tcW w:type="dxa" w:w="158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88.17%</w:t>
            </w:r>
          </w:p>
        </w:tc>
        <w:tc>
          <w:tcPr>
            <w:tcW w:type="dxa" w:w="112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63.81%</w:t>
            </w:r>
          </w:p>
        </w:tc>
        <w:tc>
          <w:tcPr>
            <w:tcW w:type="dxa" w:w="108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79.82%</w:t>
            </w:r>
          </w:p>
        </w:tc>
        <w:tc>
          <w:tcPr>
            <w:tcW w:type="dxa" w:w="90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68.87%</w:t>
            </w:r>
          </w:p>
        </w:tc>
        <w:tc>
          <w:tcPr>
            <w:tcW w:type="dxa" w:w="105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83.09%</w:t>
            </w:r>
          </w:p>
        </w:tc>
        <w:tc>
          <w:tcPr>
            <w:tcW w:type="dxa" w:w="1420"/>
            <w:shd w:fill="F7F9FB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MEDIUM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3秒</w:t>
            </w:r>
          </w:p>
        </w:tc>
        <w:tc>
          <w:tcPr>
            <w:tcW w:type="dxa" w:w="15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85.98%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59.14%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80.47%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64.94%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82.22%</w:t>
            </w:r>
          </w:p>
        </w:tc>
        <w:tc>
          <w:tcPr>
            <w:tcW w:type="dxa" w:w="14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6"/>
              </w:rPr>
              <w:t>LOW</w:t>
            </w:r>
          </w:p>
        </w:tc>
      </w:tr>
    </w:tbl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2F7"/>
          <w:left w:val="single" w:sz="2" w:color="E8F2F7"/>
          <w:bottom w:val="single" w:sz="2" w:color="E8F2F7"/>
          <w:right w:val="single" w:sz="2" w:color="E8F2F7"/>
          <w:insideH w:val="single" w:sz="2" w:color="E8F2F7"/>
          <w:insideV w:val="single" w:sz="2" w:color="E8F2F7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E8F2F7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83B56"/>
                <w:sz w:val="21"/>
              </w:rPr>
              <w:t xml:space="preserve">结果判断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1秒预测最可靠；2秒用于中等级提示；3秒仅作为低等级风险，不直接触发最高告警。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B56"/>
          <w:sz w:val="32"/>
        </w:rPr>
        <w:t>4  Qwen3-VL多模态级联效果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 w:val="0"/>
          <w:color w:val="667480"/>
          <w:sz w:val="19"/>
        </w:rPr>
        <w:t>协议：PreVFall 108段；骨架1秒HIGH立即预警，缓存2.5秒后由Qwen复核触发前后约4.5秒RGB。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6257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wen级联指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62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AD5DE"/>
          <w:left w:val="single" w:sz="6" w:color="CAD5DE"/>
          <w:bottom w:val="single" w:sz="6" w:color="CAD5DE"/>
          <w:right w:val="single" w:sz="6" w:color="CAD5DE"/>
          <w:insideH w:val="single" w:sz="6" w:color="CAD5DE"/>
          <w:insideV w:val="single" w:sz="6" w:color="CAD5DE"/>
        </w:tblBorders>
      </w:tblPr>
      <w:tblGrid>
        <w:gridCol w:w="1550"/>
        <w:gridCol w:w="1450"/>
        <w:gridCol w:w="1080"/>
        <w:gridCol w:w="1100"/>
        <w:gridCol w:w="920"/>
        <w:gridCol w:w="1180"/>
        <w:gridCol w:w="860"/>
        <w:gridCol w:w="90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TP/TN/FP/FN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Precision</w:t>
            </w:r>
          </w:p>
        </w:tc>
        <w:tc>
          <w:tcPr>
            <w:tcW w:type="dxa" w:w="92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Specificity</w:t>
            </w:r>
          </w:p>
        </w:tc>
        <w:tc>
          <w:tcPr>
            <w:tcW w:type="dxa" w:w="86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F1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BA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骨架1秒HIGH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69/29/7/3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90.74%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90.79%</w:t>
            </w:r>
          </w:p>
        </w:tc>
        <w:tc>
          <w:tcPr>
            <w:tcW w:type="dxa" w:w="9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95.83%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80.56%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93.24%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D2730"/>
                <w:sz w:val="15"/>
              </w:rPr>
              <w:t>88.19%</w:t>
            </w:r>
          </w:p>
        </w:tc>
      </w:tr>
      <w:tr>
        <w:tc>
          <w:tcPr>
            <w:tcW w:type="dxa" w:w="1550"/>
            <w:shd w:fill="E7F4E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Qwen升级确认</w:t>
            </w:r>
          </w:p>
        </w:tc>
        <w:tc>
          <w:tcPr>
            <w:tcW w:type="dxa" w:w="145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68/36/0/4</w:t>
            </w:r>
          </w:p>
        </w:tc>
        <w:tc>
          <w:tcPr>
            <w:tcW w:type="dxa" w:w="108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96.30%</w:t>
            </w:r>
          </w:p>
        </w:tc>
        <w:tc>
          <w:tcPr>
            <w:tcW w:type="dxa" w:w="110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100.00%</w:t>
            </w:r>
          </w:p>
        </w:tc>
        <w:tc>
          <w:tcPr>
            <w:tcW w:type="dxa" w:w="92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94.44%</w:t>
            </w:r>
          </w:p>
        </w:tc>
        <w:tc>
          <w:tcPr>
            <w:tcW w:type="dxa" w:w="118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100.00%</w:t>
            </w:r>
          </w:p>
        </w:tc>
        <w:tc>
          <w:tcPr>
            <w:tcW w:type="dxa" w:w="86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97.14%</w:t>
            </w:r>
          </w:p>
        </w:tc>
        <w:tc>
          <w:tcPr>
            <w:tcW w:type="dxa" w:w="900"/>
            <w:shd w:fill="E7F4E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730"/>
                <w:sz w:val="15"/>
              </w:rPr>
              <w:t>97.22%</w:t>
            </w:r>
          </w:p>
        </w:tc>
      </w:tr>
    </w:tbl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7F4EA"/>
          <w:left w:val="single" w:sz="2" w:color="E7F4EA"/>
          <w:bottom w:val="single" w:sz="2" w:color="E7F4EA"/>
          <w:right w:val="single" w:sz="2" w:color="E7F4EA"/>
          <w:insideH w:val="single" w:sz="2" w:color="E7F4EA"/>
          <w:insideV w:val="single" w:sz="2" w:color="E7F4EA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E7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4D9F65"/>
                <w:sz w:val="21"/>
              </w:rPr>
              <w:t xml:space="preserve">提升点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Qwen拒绝7/7个骨架误触发，系统Accuracy由90.74%提升至96.30%，F1提升至97.14%。</w:t>
            </w:r>
          </w:p>
        </w:tc>
      </w:tr>
    </w:tbl>
    <w:p>
      <w:pPr>
        <w:spacing w:after="20"/>
      </w:pP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AEA"/>
          <w:left w:val="single" w:sz="2" w:color="FCEAEA"/>
          <w:bottom w:val="single" w:sz="2" w:color="FCEAEA"/>
          <w:right w:val="single" w:sz="2" w:color="FCEAEA"/>
          <w:insideH w:val="single" w:sz="2" w:color="FCEAEA"/>
          <w:insideV w:val="single" w:sz="2" w:color="FCEAEA"/>
        </w:tblBorders>
      </w:tblPr>
      <w:tblGrid>
        <w:gridCol w:w="9120"/>
      </w:tblGrid>
      <w:tr>
        <w:tc>
          <w:tcPr>
            <w:tcW w:type="dxa" w:w="9120"/>
            <w:tcMar>
              <w:top w:w="90" w:type="dxa"/>
              <w:start w:w="110" w:type="dxa"/>
              <w:bottom w:w="90" w:type="dxa"/>
              <w:end w:w="110" w:type="dxa"/>
            </w:tcMar>
            <w:shd w:fill="FCEA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C65353"/>
                <w:sz w:val="21"/>
              </w:rPr>
              <w:t xml:space="preserve">边界  </w:t>
            </w:r>
            <w:r>
              <w:rPr>
                <w:rFonts w:ascii="Microsoft YaHei" w:hAnsi="Microsoft YaHei" w:eastAsia="Microsoft YaHei"/>
                <w:b w:val="0"/>
                <w:color w:val="1D2730"/>
                <w:sz w:val="21"/>
              </w:rPr>
              <w:t>该结果属于触发式离线级联评估；真实家庭长期误报率、遮挡和多人场景仍需现场验证。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480"/>
        <w:sz w:val="17"/>
      </w:rPr>
      <w:t>挑战杯 · 行为检测模块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8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跌倒检测与预测技术路线演进及指标对比</dc:title>
  <dc:subject>挑战杯行为检测模块答辩材料</dc:subject>
  <dc:creator>项目团队</dc:creator>
  <cp:keywords>跌倒检测, 跌倒预测, RTMPose, ST-GCN++, Qwen3-VL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