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CB3B47">
      <w:pPr>
        <w:pStyle w:val="164"/>
      </w:pPr>
      <w:r>
        <w:rPr>
          <w:rFonts w:ascii="微软雅黑" w:hAnsi="微软雅黑" w:eastAsia="微软雅黑"/>
        </w:rPr>
        <w:t>顶部绿色扇形角度识别方法总结</w:t>
      </w:r>
    </w:p>
    <w:p w14:paraId="177A4E14">
      <w:pPr>
        <w:pStyle w:val="165"/>
      </w:pPr>
      <w:r>
        <w:rPr>
          <w:rFonts w:ascii="微软雅黑" w:hAnsi="微软雅黑" w:eastAsia="微软雅黑"/>
        </w:rPr>
        <w:t>OpenCV 与 AI 方案的困难、解决方案和后续思路 | 2026-06-22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99DE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8313F5">
            <w:pPr>
              <w:spacing w:after="80"/>
            </w:pPr>
            <w:r>
              <w:rPr>
                <w:rFonts w:ascii="微软雅黑" w:hAnsi="微软雅黑" w:eastAsia="微软雅黑"/>
                <w:b/>
                <w:color w:val="0B2545"/>
                <w:sz w:val="20"/>
              </w:rPr>
              <w:t>核心结论</w:t>
            </w:r>
          </w:p>
          <w:p w14:paraId="589666A8"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OpenCV 方案通过“面积角 + span 角”的 hybrid 融合和异常保护，把</w:t>
            </w:r>
            <w:r>
              <w:rPr>
                <w:rFonts w:hint="eastAsia"/>
                <w:sz w:val="20"/>
                <w:lang w:val="en-US" w:eastAsia="zh-CN"/>
              </w:rPr>
              <w:t>整个测试集的</w:t>
            </w:r>
            <w:r>
              <w:rPr>
                <w:rFonts w:ascii="微软雅黑" w:hAnsi="微软雅黑" w:eastAsia="微软雅黑"/>
                <w:sz w:val="20"/>
              </w:rPr>
              <w:t xml:space="preserve"> MAE 从 1.844 降到 1.263；AI 方案通过稳定 ROI 预处理和 ResNet50 回归模型，在全量</w:t>
            </w:r>
            <w:r>
              <w:rPr>
                <w:rFonts w:hint="eastAsia"/>
                <w:sz w:val="20"/>
                <w:lang w:val="en-US" w:eastAsia="zh-CN"/>
              </w:rPr>
              <w:t>测试集</w:t>
            </w:r>
            <w:bookmarkStart w:id="0" w:name="_GoBack"/>
            <w:bookmarkEnd w:id="0"/>
            <w:r>
              <w:rPr>
                <w:rFonts w:ascii="微软雅黑" w:hAnsi="微软雅黑" w:eastAsia="微软雅黑"/>
                <w:sz w:val="20"/>
              </w:rPr>
              <w:t>上达到 0.865 MAE，整体精度更高。</w:t>
            </w:r>
          </w:p>
        </w:tc>
      </w:tr>
    </w:tbl>
    <w:p w14:paraId="43FE3481">
      <w:pPr>
        <w:pStyle w:val="3"/>
      </w:pPr>
      <w:r>
        <w:rPr>
          <w:rFonts w:ascii="微软雅黑" w:hAnsi="微软雅黑" w:eastAsia="微软雅黑"/>
        </w:rPr>
        <w:t>一、背景与目标</w:t>
      </w:r>
    </w:p>
    <w:p w14:paraId="3E55D58C">
      <w:r>
        <w:rPr>
          <w:rFonts w:ascii="微软雅黑" w:hAnsi="微软雅黑" w:eastAsia="微软雅黑"/>
        </w:rPr>
        <w:t>本项目目标是识别顶部阀门图像中绿色扇形对应的圆心角。测试集按 t1 到 t4 分组，不同组在光照、颜色边界、角度范围、图像格式和阀门状态上存在差异。</w:t>
      </w:r>
    </w:p>
    <w:p w14:paraId="72777512">
      <w:r>
        <w:rPr>
          <w:rFonts w:ascii="微软雅黑" w:hAnsi="微软雅黑" w:eastAsia="微软雅黑"/>
        </w:rPr>
        <w:t>优化时不能只针对某一组测试集调参。例如 t4 上 OpenCV 比较容易压到 1 以内，但如果只盯 t4，t1 到 t3 可能没有同步改善。因此最终策略是同时观察四组分组 MAE 和全量 MAE。</w:t>
      </w:r>
    </w:p>
    <w:p w14:paraId="555C540F">
      <w:pPr>
        <w:pStyle w:val="3"/>
      </w:pPr>
      <w:r>
        <w:rPr>
          <w:rFonts w:ascii="微软雅黑" w:hAnsi="微软雅黑" w:eastAsia="微软雅黑"/>
        </w:rPr>
        <w:t>二、OpenCV 方法总结</w:t>
      </w:r>
    </w:p>
    <w:p w14:paraId="06FF8D51">
      <w:pPr>
        <w:pStyle w:val="4"/>
      </w:pPr>
      <w:r>
        <w:rPr>
          <w:rFonts w:ascii="微软雅黑" w:hAnsi="微软雅黑" w:eastAsia="微软雅黑"/>
        </w:rPr>
        <w:t>1. 遇到的主要困难</w:t>
      </w:r>
    </w:p>
    <w:p w14:paraId="06CFACEB">
      <w:pPr>
        <w:pStyle w:val="16"/>
      </w:pPr>
      <w:r>
        <w:rPr>
          <w:rFonts w:ascii="微软雅黑" w:hAnsi="微软雅黑" w:eastAsia="微软雅黑"/>
          <w:sz w:val="21"/>
        </w:rPr>
        <w:t>HSV 分割受光照和颜色边界影响明显，同一套阈值在不同测试集上表现不完全一致。</w:t>
      </w:r>
    </w:p>
    <w:p w14:paraId="0F4E7CB4">
      <w:pPr>
        <w:pStyle w:val="16"/>
      </w:pPr>
      <w:r>
        <w:rPr>
          <w:rFonts w:ascii="微软雅黑" w:hAnsi="微软雅黑" w:eastAsia="微软雅黑"/>
          <w:sz w:val="21"/>
        </w:rPr>
        <w:t>单纯面积比例法容易被红色参考区域欠分割或绿色噪声拉偏，个别样本会出现较大误差。</w:t>
      </w:r>
    </w:p>
    <w:p w14:paraId="4DA0B888">
      <w:pPr>
        <w:pStyle w:val="16"/>
      </w:pPr>
      <w:r>
        <w:rPr>
          <w:rFonts w:ascii="微软雅黑" w:hAnsi="微软雅黑" w:eastAsia="微软雅黑"/>
          <w:sz w:val="21"/>
        </w:rPr>
        <w:t>单纯 span 角跨度法对圆心位置、边缘孤立点和外圈噪声敏感，稳定性不足。</w:t>
      </w:r>
    </w:p>
    <w:p w14:paraId="4F571414">
      <w:pPr>
        <w:pStyle w:val="16"/>
      </w:pPr>
      <w:r>
        <w:rPr>
          <w:rFonts w:ascii="微软雅黑" w:hAnsi="微软雅黑" w:eastAsia="微软雅黑"/>
          <w:sz w:val="21"/>
        </w:rPr>
        <w:t>如果只针对 t4 调参，可能造成 t1、t2、t3 的 MAE 变差，整体方案不可取。</w:t>
      </w:r>
    </w:p>
    <w:p w14:paraId="1B37FECF">
      <w:pPr>
        <w:pStyle w:val="4"/>
      </w:pPr>
      <w:r>
        <w:rPr>
          <w:rFonts w:ascii="微软雅黑" w:hAnsi="微软雅黑" w:eastAsia="微软雅黑"/>
        </w:rPr>
        <w:t>2. 解决思路</w:t>
      </w:r>
    </w:p>
    <w:p w14:paraId="0854A736">
      <w:r>
        <w:rPr>
          <w:rFonts w:ascii="微软雅黑" w:hAnsi="微软雅黑" w:eastAsia="微软雅黑"/>
        </w:rPr>
        <w:t>最终没有继续沿用单一规则，而是采用 hybrid 融合：同时计算面积角和 span 角，再根据二者关系动态决定融合方式。面积角负责提供整体比例稳定性，span 角负责在面积分割不可靠时提供几何约束。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3900"/>
        <w:gridCol w:w="3960"/>
      </w:tblGrid>
      <w:tr w14:paraId="1363D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C19E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模块</w:t>
            </w:r>
          </w:p>
        </w:tc>
        <w:tc>
          <w:tcPr>
            <w:tcW w:w="3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F7CE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做法</w:t>
            </w:r>
          </w:p>
        </w:tc>
        <w:tc>
          <w:tcPr>
            <w:tcW w:w="3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C6EC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作用</w:t>
            </w:r>
          </w:p>
        </w:tc>
      </w:tr>
      <w:tr w14:paraId="46161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28F39C3B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颜色分割</w:t>
            </w:r>
          </w:p>
        </w:tc>
        <w:tc>
          <w:tcPr>
            <w:tcW w:w="3900" w:type="dxa"/>
          </w:tcPr>
          <w:p w14:paraId="1F181F72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HSV 提取红色参考区和绿色扇形区</w:t>
            </w:r>
          </w:p>
        </w:tc>
        <w:tc>
          <w:tcPr>
            <w:tcW w:w="3960" w:type="dxa"/>
          </w:tcPr>
          <w:p w14:paraId="2D591D39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获得基础候选区域</w:t>
            </w:r>
          </w:p>
        </w:tc>
      </w:tr>
      <w:tr w14:paraId="36EA0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396030D8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区域清理</w:t>
            </w:r>
          </w:p>
        </w:tc>
        <w:tc>
          <w:tcPr>
            <w:tcW w:w="3900" w:type="dxa"/>
          </w:tcPr>
          <w:p w14:paraId="65E87483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保留红/绿主连通域</w:t>
            </w:r>
          </w:p>
        </w:tc>
        <w:tc>
          <w:tcPr>
            <w:tcW w:w="3960" w:type="dxa"/>
          </w:tcPr>
          <w:p w14:paraId="39779AC0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减少噪声、碎片和误检影响</w:t>
            </w:r>
          </w:p>
        </w:tc>
      </w:tr>
      <w:tr w14:paraId="57114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588F46EB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面积角</w:t>
            </w:r>
          </w:p>
        </w:tc>
        <w:tc>
          <w:tcPr>
            <w:tcW w:w="3900" w:type="dxa"/>
          </w:tcPr>
          <w:p w14:paraId="79980AFF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根据绿色面积与红绿总面积比例估计角度</w:t>
            </w:r>
          </w:p>
        </w:tc>
        <w:tc>
          <w:tcPr>
            <w:tcW w:w="3960" w:type="dxa"/>
          </w:tcPr>
          <w:p w14:paraId="1AD7940F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对普通样本稳定</w:t>
            </w:r>
          </w:p>
        </w:tc>
      </w:tr>
      <w:tr w14:paraId="3802C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388F5995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span 角</w:t>
            </w:r>
          </w:p>
        </w:tc>
        <w:tc>
          <w:tcPr>
            <w:tcW w:w="3900" w:type="dxa"/>
          </w:tcPr>
          <w:p w14:paraId="29302A06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取绿色区域 60-95% 外圈半径段计算角跨度</w:t>
            </w:r>
          </w:p>
        </w:tc>
        <w:tc>
          <w:tcPr>
            <w:tcW w:w="3960" w:type="dxa"/>
          </w:tcPr>
          <w:p w14:paraId="4B77A53F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避免内圈噪声和局部缺失影响</w:t>
            </w:r>
          </w:p>
        </w:tc>
      </w:tr>
      <w:tr w14:paraId="60DB8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3A3EF71C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异常保护</w:t>
            </w:r>
          </w:p>
        </w:tc>
        <w:tc>
          <w:tcPr>
            <w:tcW w:w="3900" w:type="dxa"/>
          </w:tcPr>
          <w:p w14:paraId="0890ABE8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面积角比 span 角大超过 10 度时直接信 span</w:t>
            </w:r>
          </w:p>
        </w:tc>
        <w:tc>
          <w:tcPr>
            <w:tcW w:w="3960" w:type="dxa"/>
          </w:tcPr>
          <w:p w14:paraId="04ADA93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防止红色欠分割导致角度被拉高</w:t>
            </w:r>
          </w:p>
        </w:tc>
      </w:tr>
    </w:tbl>
    <w:p w14:paraId="2A905BA6">
      <w:pPr>
        <w:spacing w:after="120"/>
      </w:pPr>
    </w:p>
    <w:p w14:paraId="336063E3">
      <w:pPr>
        <w:pStyle w:val="4"/>
      </w:pPr>
      <w:r>
        <w:rPr>
          <w:rFonts w:ascii="微软雅黑" w:hAnsi="微软雅黑" w:eastAsia="微软雅黑"/>
        </w:rPr>
        <w:t>3. 当前默认参数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1700"/>
        <w:gridCol w:w="4660"/>
      </w:tblGrid>
      <w:tr w14:paraId="5C5B0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AF83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参数</w:t>
            </w:r>
          </w:p>
        </w:tc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B5BA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当前值</w:t>
            </w:r>
          </w:p>
        </w:tc>
        <w:tc>
          <w:tcPr>
            <w:tcW w:w="4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C2C6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说明</w:t>
            </w:r>
          </w:p>
        </w:tc>
      </w:tr>
      <w:tr w14:paraId="198B3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</w:tcPr>
          <w:p w14:paraId="4C5BAD64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opencv-mode</w:t>
            </w:r>
          </w:p>
        </w:tc>
        <w:tc>
          <w:tcPr>
            <w:tcW w:w="1700" w:type="dxa"/>
          </w:tcPr>
          <w:p w14:paraId="28CB6ED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hybrid</w:t>
            </w:r>
          </w:p>
        </w:tc>
        <w:tc>
          <w:tcPr>
            <w:tcW w:w="4660" w:type="dxa"/>
          </w:tcPr>
          <w:p w14:paraId="7EEEC381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面积角与 span 角融合</w:t>
            </w:r>
          </w:p>
        </w:tc>
      </w:tr>
      <w:tr w14:paraId="53B01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</w:tcPr>
          <w:p w14:paraId="6E7A69F5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radius-quantiles</w:t>
            </w:r>
          </w:p>
        </w:tc>
        <w:tc>
          <w:tcPr>
            <w:tcW w:w="1700" w:type="dxa"/>
          </w:tcPr>
          <w:p w14:paraId="0AAE3374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60 95</w:t>
            </w:r>
          </w:p>
        </w:tc>
        <w:tc>
          <w:tcPr>
            <w:tcW w:w="4660" w:type="dxa"/>
          </w:tcPr>
          <w:p w14:paraId="210B6D22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span 只取外圈稳定半径段</w:t>
            </w:r>
          </w:p>
        </w:tc>
      </w:tr>
      <w:tr w14:paraId="71F98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</w:tcPr>
          <w:p w14:paraId="64994C1A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opencv-span-trim</w:t>
            </w:r>
          </w:p>
        </w:tc>
        <w:tc>
          <w:tcPr>
            <w:tcW w:w="1700" w:type="dxa"/>
          </w:tcPr>
          <w:p w14:paraId="65AFD69C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w="4660" w:type="dxa"/>
          </w:tcPr>
          <w:p w14:paraId="3CD769F7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裁剪少量角度离群点</w:t>
            </w:r>
          </w:p>
        </w:tc>
      </w:tr>
      <w:tr w14:paraId="5E685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</w:tcPr>
          <w:p w14:paraId="43974C3E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opencv-hybrid-span-weight</w:t>
            </w:r>
          </w:p>
        </w:tc>
        <w:tc>
          <w:tcPr>
            <w:tcW w:w="1700" w:type="dxa"/>
          </w:tcPr>
          <w:p w14:paraId="26D60AD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0.24</w:t>
            </w:r>
          </w:p>
        </w:tc>
        <w:tc>
          <w:tcPr>
            <w:tcW w:w="4660" w:type="dxa"/>
          </w:tcPr>
          <w:p w14:paraId="34E03EDF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常规情况下 span 权重</w:t>
            </w:r>
          </w:p>
        </w:tc>
      </w:tr>
      <w:tr w14:paraId="6227A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</w:tcPr>
          <w:p w14:paraId="0D0CE49F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opencv-hybrid-diff-threshold</w:t>
            </w:r>
          </w:p>
        </w:tc>
        <w:tc>
          <w:tcPr>
            <w:tcW w:w="1700" w:type="dxa"/>
          </w:tcPr>
          <w:p w14:paraId="39BF4F04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w="4660" w:type="dxa"/>
          </w:tcPr>
          <w:p w14:paraId="0A7486C6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面积角明显大于 span 角时触发保护</w:t>
            </w:r>
          </w:p>
        </w:tc>
      </w:tr>
      <w:tr w14:paraId="27EE4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</w:tcPr>
          <w:p w14:paraId="11355B3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opencv-hybrid-fallback-span-weight</w:t>
            </w:r>
          </w:p>
        </w:tc>
        <w:tc>
          <w:tcPr>
            <w:tcW w:w="1700" w:type="dxa"/>
          </w:tcPr>
          <w:p w14:paraId="0167F97A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1.0</w:t>
            </w:r>
          </w:p>
        </w:tc>
        <w:tc>
          <w:tcPr>
            <w:tcW w:w="4660" w:type="dxa"/>
          </w:tcPr>
          <w:p w14:paraId="75665E40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保护触发后直接采用 span</w:t>
            </w:r>
          </w:p>
        </w:tc>
      </w:tr>
      <w:tr w14:paraId="1EFFE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</w:tcPr>
          <w:p w14:paraId="7628E4A7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opencv-output-scale / offset</w:t>
            </w:r>
          </w:p>
        </w:tc>
        <w:tc>
          <w:tcPr>
            <w:tcW w:w="1700" w:type="dxa"/>
          </w:tcPr>
          <w:p w14:paraId="58EAAA7C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0.9625 / 0.746</w:t>
            </w:r>
          </w:p>
        </w:tc>
        <w:tc>
          <w:tcPr>
            <w:tcW w:w="4660" w:type="dxa"/>
          </w:tcPr>
          <w:p w14:paraId="74353A0C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四组测试集平衡后的轻量输出修正</w:t>
            </w:r>
          </w:p>
        </w:tc>
      </w:tr>
    </w:tbl>
    <w:p w14:paraId="40112D1C">
      <w:pPr>
        <w:spacing w:after="120"/>
      </w:pPr>
    </w:p>
    <w:p w14:paraId="15EBBBF3">
      <w:pPr>
        <w:pStyle w:val="4"/>
      </w:pPr>
      <w:r>
        <w:rPr>
          <w:rFonts w:ascii="微软雅黑" w:hAnsi="微软雅黑" w:eastAsia="微软雅黑"/>
        </w:rPr>
        <w:t>4. 优化效果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2500"/>
        <w:gridCol w:w="2500"/>
        <w:gridCol w:w="2560"/>
      </w:tblGrid>
      <w:tr w14:paraId="3E6A4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1D7A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测试组</w:t>
            </w:r>
          </w:p>
        </w:tc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8DFCA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优化前 OpenCV MAE</w:t>
            </w:r>
          </w:p>
        </w:tc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12A7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优化后 OpenCV MAE</w:t>
            </w:r>
          </w:p>
        </w:tc>
        <w:tc>
          <w:tcPr>
            <w:tcW w:w="2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5390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变化</w:t>
            </w:r>
          </w:p>
        </w:tc>
      </w:tr>
      <w:tr w14:paraId="4D96E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7BA6DEC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t1</w:t>
            </w:r>
          </w:p>
        </w:tc>
        <w:tc>
          <w:tcPr>
            <w:tcW w:w="2500" w:type="dxa"/>
          </w:tcPr>
          <w:p w14:paraId="415FF9BB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1.520</w:t>
            </w:r>
          </w:p>
        </w:tc>
        <w:tc>
          <w:tcPr>
            <w:tcW w:w="2500" w:type="dxa"/>
          </w:tcPr>
          <w:p w14:paraId="47FCFA74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1.181</w:t>
            </w:r>
          </w:p>
        </w:tc>
        <w:tc>
          <w:tcPr>
            <w:tcW w:w="2560" w:type="dxa"/>
          </w:tcPr>
          <w:p w14:paraId="7B28A3F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-0.339</w:t>
            </w:r>
          </w:p>
        </w:tc>
      </w:tr>
      <w:tr w14:paraId="48403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4507807F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t2</w:t>
            </w:r>
          </w:p>
        </w:tc>
        <w:tc>
          <w:tcPr>
            <w:tcW w:w="2500" w:type="dxa"/>
          </w:tcPr>
          <w:p w14:paraId="322F8DFB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2.696</w:t>
            </w:r>
          </w:p>
        </w:tc>
        <w:tc>
          <w:tcPr>
            <w:tcW w:w="2500" w:type="dxa"/>
          </w:tcPr>
          <w:p w14:paraId="17F62B26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1.831</w:t>
            </w:r>
          </w:p>
        </w:tc>
        <w:tc>
          <w:tcPr>
            <w:tcW w:w="2560" w:type="dxa"/>
          </w:tcPr>
          <w:p w14:paraId="23F4E2C4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-0.865</w:t>
            </w:r>
          </w:p>
        </w:tc>
      </w:tr>
      <w:tr w14:paraId="6EDAF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7FE8C010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t3</w:t>
            </w:r>
          </w:p>
        </w:tc>
        <w:tc>
          <w:tcPr>
            <w:tcW w:w="2500" w:type="dxa"/>
          </w:tcPr>
          <w:p w14:paraId="462DC9BC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2.028</w:t>
            </w:r>
          </w:p>
        </w:tc>
        <w:tc>
          <w:tcPr>
            <w:tcW w:w="2500" w:type="dxa"/>
          </w:tcPr>
          <w:p w14:paraId="2F25C5FA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1.154</w:t>
            </w:r>
          </w:p>
        </w:tc>
        <w:tc>
          <w:tcPr>
            <w:tcW w:w="2560" w:type="dxa"/>
          </w:tcPr>
          <w:p w14:paraId="23AC3200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-0.874</w:t>
            </w:r>
          </w:p>
        </w:tc>
      </w:tr>
      <w:tr w14:paraId="109A7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7D9E28E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t4</w:t>
            </w:r>
          </w:p>
        </w:tc>
        <w:tc>
          <w:tcPr>
            <w:tcW w:w="2500" w:type="dxa"/>
          </w:tcPr>
          <w:p w14:paraId="4D9D1273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0.970</w:t>
            </w:r>
          </w:p>
        </w:tc>
        <w:tc>
          <w:tcPr>
            <w:tcW w:w="2500" w:type="dxa"/>
          </w:tcPr>
          <w:p w14:paraId="448384D1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0.846</w:t>
            </w:r>
          </w:p>
        </w:tc>
        <w:tc>
          <w:tcPr>
            <w:tcW w:w="2560" w:type="dxa"/>
          </w:tcPr>
          <w:p w14:paraId="4F43EF9A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-0.124</w:t>
            </w:r>
          </w:p>
        </w:tc>
      </w:tr>
      <w:tr w14:paraId="2996C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55B5067A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全量</w:t>
            </w:r>
          </w:p>
        </w:tc>
        <w:tc>
          <w:tcPr>
            <w:tcW w:w="2500" w:type="dxa"/>
          </w:tcPr>
          <w:p w14:paraId="64EB26EC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1.844</w:t>
            </w:r>
          </w:p>
        </w:tc>
        <w:tc>
          <w:tcPr>
            <w:tcW w:w="2500" w:type="dxa"/>
          </w:tcPr>
          <w:p w14:paraId="1B69E610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1.263</w:t>
            </w:r>
          </w:p>
        </w:tc>
        <w:tc>
          <w:tcPr>
            <w:tcW w:w="2560" w:type="dxa"/>
          </w:tcPr>
          <w:p w14:paraId="1FBDCAB1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-0.581</w:t>
            </w:r>
          </w:p>
        </w:tc>
      </w:tr>
    </w:tbl>
    <w:p w14:paraId="41B70FED">
      <w:pPr>
        <w:spacing w:after="120"/>
      </w:pPr>
    </w:p>
    <w:p w14:paraId="56015829">
      <w:r>
        <w:rPr>
          <w:rFonts w:ascii="微软雅黑" w:hAnsi="微软雅黑" w:eastAsia="微软雅黑"/>
        </w:rPr>
        <w:t>这版 OpenCV 的关键价值是四组测试集都有正向改善，不是单独压低 t4。全量 MaxAE 也控制到约 4.891，避免了严格面积方案中个别样本被拉到十几度误差的问题。</w:t>
      </w:r>
    </w:p>
    <w:p w14:paraId="4F6B2C89">
      <w:pPr>
        <w:pStyle w:val="3"/>
      </w:pPr>
      <w:r>
        <w:rPr>
          <w:rFonts w:ascii="微软雅黑" w:hAnsi="微软雅黑" w:eastAsia="微软雅黑"/>
        </w:rPr>
        <w:t>三、AI 方法总结</w:t>
      </w:r>
    </w:p>
    <w:p w14:paraId="04DE5BA8">
      <w:pPr>
        <w:pStyle w:val="4"/>
      </w:pPr>
      <w:r>
        <w:rPr>
          <w:rFonts w:ascii="微软雅黑" w:hAnsi="微软雅黑" w:eastAsia="微软雅黑"/>
        </w:rPr>
        <w:t>1. 遇到的主要困难</w:t>
      </w:r>
    </w:p>
    <w:p w14:paraId="0B04E84A">
      <w:pPr>
        <w:pStyle w:val="16"/>
      </w:pPr>
      <w:r>
        <w:rPr>
          <w:rFonts w:ascii="微软雅黑" w:hAnsi="微软雅黑" w:eastAsia="微软雅黑"/>
          <w:sz w:val="21"/>
        </w:rPr>
        <w:t>训练样本的角度分布不完全均衡，低角度和边界角度样本较少，模型在这些区域更容易偏。</w:t>
      </w:r>
    </w:p>
    <w:p w14:paraId="2311D76E">
      <w:pPr>
        <w:pStyle w:val="16"/>
      </w:pPr>
      <w:r>
        <w:rPr>
          <w:rFonts w:ascii="微软雅黑" w:hAnsi="微软雅黑" w:eastAsia="微软雅黑"/>
          <w:sz w:val="21"/>
        </w:rPr>
        <w:t>如果直接用原图训练，背景、尺度和位置变化会干扰模型学习角度特征。</w:t>
      </w:r>
    </w:p>
    <w:p w14:paraId="73147C23">
      <w:pPr>
        <w:pStyle w:val="16"/>
      </w:pPr>
      <w:r>
        <w:rPr>
          <w:rFonts w:ascii="微软雅黑" w:hAnsi="微软雅黑" w:eastAsia="微软雅黑"/>
          <w:sz w:val="21"/>
        </w:rPr>
        <w:t>ROI 裁剪必须稳定，否则同一类角度输入分布不一致，回归模型误差会增大。</w:t>
      </w:r>
    </w:p>
    <w:p w14:paraId="7F0E0D99">
      <w:pPr>
        <w:pStyle w:val="16"/>
      </w:pPr>
      <w:r>
        <w:rPr>
          <w:rFonts w:ascii="微软雅黑" w:hAnsi="微软雅黑" w:eastAsia="微软雅黑"/>
          <w:sz w:val="21"/>
        </w:rPr>
        <w:t>单纯增加训练轮数不能解决数据覆盖不足的问题，后续仍需要补充关键角度样本。</w:t>
      </w:r>
    </w:p>
    <w:p w14:paraId="6AB80FE8">
      <w:pPr>
        <w:pStyle w:val="4"/>
      </w:pPr>
      <w:r>
        <w:rPr>
          <w:rFonts w:ascii="微软雅黑" w:hAnsi="微软雅黑" w:eastAsia="微软雅黑"/>
        </w:rPr>
        <w:t>2. 解决思路</w:t>
      </w:r>
    </w:p>
    <w:p w14:paraId="3452C91F">
      <w:r>
        <w:rPr>
          <w:rFonts w:ascii="微软雅黑" w:hAnsi="微软雅黑" w:eastAsia="微软雅黑"/>
        </w:rPr>
        <w:t>AI 方案采用“YOLO 预处理 + ResNet50 角度回归”的流程。先用顶部阀门检测模型裁剪 ROI，减少背景和尺度变化；再把 ROI 缩放到 224x224，输入 ResNet50 回归模型预测角度。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900"/>
        <w:gridCol w:w="3660"/>
      </w:tblGrid>
      <w:tr w14:paraId="2BD38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5481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阶段</w:t>
            </w:r>
          </w:p>
        </w:tc>
        <w:tc>
          <w:tcPr>
            <w:tcW w:w="3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7D4C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做法</w:t>
            </w:r>
          </w:p>
        </w:tc>
        <w:tc>
          <w:tcPr>
            <w:tcW w:w="3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F3C2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目的</w:t>
            </w:r>
          </w:p>
        </w:tc>
      </w:tr>
      <w:tr w14:paraId="15A2E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16935239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ROI 预处理</w:t>
            </w:r>
          </w:p>
        </w:tc>
        <w:tc>
          <w:tcPr>
            <w:tcW w:w="3900" w:type="dxa"/>
          </w:tcPr>
          <w:p w14:paraId="028AF6D2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使用 top_best.pt 检测顶部阀门区域</w:t>
            </w:r>
          </w:p>
        </w:tc>
        <w:tc>
          <w:tcPr>
            <w:tcW w:w="3660" w:type="dxa"/>
          </w:tcPr>
          <w:p w14:paraId="348FE788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统一输入主体，减少背景干扰</w:t>
            </w:r>
          </w:p>
        </w:tc>
      </w:tr>
      <w:tr w14:paraId="66807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023F34B2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输入标准化</w:t>
            </w:r>
          </w:p>
        </w:tc>
        <w:tc>
          <w:tcPr>
            <w:tcW w:w="3900" w:type="dxa"/>
          </w:tcPr>
          <w:p w14:paraId="480DD8B6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ROI 缩放到 224x224 并做 ImageNet 归一化</w:t>
            </w:r>
          </w:p>
        </w:tc>
        <w:tc>
          <w:tcPr>
            <w:tcW w:w="3660" w:type="dxa"/>
          </w:tcPr>
          <w:p w14:paraId="3646F35A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匹配 ResNet50 输入习惯</w:t>
            </w:r>
          </w:p>
        </w:tc>
      </w:tr>
      <w:tr w14:paraId="4B525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42FA3EFB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模型结构</w:t>
            </w:r>
          </w:p>
        </w:tc>
        <w:tc>
          <w:tcPr>
            <w:tcW w:w="3900" w:type="dxa"/>
          </w:tcPr>
          <w:p w14:paraId="10E6D537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ResNet50 分类头改为单输出回归头</w:t>
            </w:r>
          </w:p>
        </w:tc>
        <w:tc>
          <w:tcPr>
            <w:tcW w:w="3660" w:type="dxa"/>
          </w:tcPr>
          <w:p w14:paraId="00EB3686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直接预测角度值</w:t>
            </w:r>
          </w:p>
        </w:tc>
      </w:tr>
      <w:tr w14:paraId="29579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3486DD86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训练策略</w:t>
            </w:r>
          </w:p>
        </w:tc>
        <w:tc>
          <w:tcPr>
            <w:tcW w:w="3900" w:type="dxa"/>
          </w:tcPr>
          <w:p w14:paraId="590C5092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使用 data_samples/top 带角度标签数据训练 300 轮</w:t>
            </w:r>
          </w:p>
        </w:tc>
        <w:tc>
          <w:tcPr>
            <w:tcW w:w="3660" w:type="dxa"/>
          </w:tcPr>
          <w:p w14:paraId="73009CB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提升整体泛化能力</w:t>
            </w:r>
          </w:p>
        </w:tc>
      </w:tr>
      <w:tr w14:paraId="08F02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2A6724C6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模型选择</w:t>
            </w:r>
          </w:p>
        </w:tc>
        <w:tc>
          <w:tcPr>
            <w:tcW w:w="3900" w:type="dxa"/>
          </w:tcPr>
          <w:p w14:paraId="18A9E8AC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保留验证集表现最好的权重</w:t>
            </w:r>
          </w:p>
        </w:tc>
        <w:tc>
          <w:tcPr>
            <w:tcW w:w="3660" w:type="dxa"/>
          </w:tcPr>
          <w:p w14:paraId="11129564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避免只取最后一轮导致过拟合或波动</w:t>
            </w:r>
          </w:p>
        </w:tc>
      </w:tr>
    </w:tbl>
    <w:p w14:paraId="0AA293CC">
      <w:pPr>
        <w:spacing w:after="120"/>
      </w:pPr>
    </w:p>
    <w:p w14:paraId="4CF7B1B1">
      <w:pPr>
        <w:pStyle w:val="4"/>
      </w:pPr>
      <w:r>
        <w:rPr>
          <w:rFonts w:ascii="微软雅黑" w:hAnsi="微软雅黑" w:eastAsia="微软雅黑"/>
        </w:rPr>
        <w:t>3. 当前 AI 效果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6360"/>
      </w:tblGrid>
      <w:tr w14:paraId="1B81E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3ACB1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测试组</w:t>
            </w:r>
          </w:p>
        </w:tc>
        <w:tc>
          <w:tcPr>
            <w:tcW w:w="6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1E91D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AI MAE</w:t>
            </w:r>
          </w:p>
        </w:tc>
      </w:tr>
      <w:tr w14:paraId="7D3D0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</w:tcPr>
          <w:p w14:paraId="422116D5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t1</w:t>
            </w:r>
          </w:p>
        </w:tc>
        <w:tc>
          <w:tcPr>
            <w:tcW w:w="6360" w:type="dxa"/>
          </w:tcPr>
          <w:p w14:paraId="3DEBD228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1.549</w:t>
            </w:r>
          </w:p>
        </w:tc>
      </w:tr>
      <w:tr w14:paraId="24074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</w:tcPr>
          <w:p w14:paraId="3A10AF4F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t2</w:t>
            </w:r>
          </w:p>
        </w:tc>
        <w:tc>
          <w:tcPr>
            <w:tcW w:w="6360" w:type="dxa"/>
          </w:tcPr>
          <w:p w14:paraId="654EC238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1.068</w:t>
            </w:r>
          </w:p>
        </w:tc>
      </w:tr>
      <w:tr w14:paraId="4BA6F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</w:tcPr>
          <w:p w14:paraId="785F9CA2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t3</w:t>
            </w:r>
          </w:p>
        </w:tc>
        <w:tc>
          <w:tcPr>
            <w:tcW w:w="6360" w:type="dxa"/>
          </w:tcPr>
          <w:p w14:paraId="19712897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0.686</w:t>
            </w:r>
          </w:p>
        </w:tc>
      </w:tr>
      <w:tr w14:paraId="461E3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</w:tcPr>
          <w:p w14:paraId="080DDBB8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t4</w:t>
            </w:r>
          </w:p>
        </w:tc>
        <w:tc>
          <w:tcPr>
            <w:tcW w:w="6360" w:type="dxa"/>
          </w:tcPr>
          <w:p w14:paraId="3E19DF32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0.499</w:t>
            </w:r>
          </w:p>
        </w:tc>
      </w:tr>
      <w:tr w14:paraId="37B8B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</w:tcPr>
          <w:p w14:paraId="223ECD91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全量</w:t>
            </w:r>
          </w:p>
        </w:tc>
        <w:tc>
          <w:tcPr>
            <w:tcW w:w="6360" w:type="dxa"/>
          </w:tcPr>
          <w:p w14:paraId="10FEA3B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0.865</w:t>
            </w:r>
          </w:p>
        </w:tc>
      </w:tr>
    </w:tbl>
    <w:p w14:paraId="4CC8F191">
      <w:pPr>
        <w:spacing w:after="120"/>
      </w:pPr>
    </w:p>
    <w:p w14:paraId="4144F200">
      <w:r>
        <w:rPr>
          <w:rFonts w:ascii="微软雅黑" w:hAnsi="微软雅黑" w:eastAsia="微软雅黑"/>
        </w:rPr>
        <w:t>AI 整体精度明显高于 OpenCV，尤其在 t2、t3、t4 上表现更好。当前主要异常仍集中在少数边界角度样本，例如接近 0 度的样本。后续如果继续提升 AI，优先方向应该是补充低角度、边界角度和容易混淆角度样本，而不是单纯继续增加训练轮数。</w:t>
      </w:r>
    </w:p>
    <w:p w14:paraId="334BE8C8">
      <w:pPr>
        <w:pStyle w:val="3"/>
      </w:pPr>
      <w:r>
        <w:rPr>
          <w:rFonts w:ascii="微软雅黑" w:hAnsi="微软雅黑" w:eastAsia="微软雅黑"/>
        </w:rPr>
        <w:t>四、方案对比与建议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780"/>
        <w:gridCol w:w="3780"/>
      </w:tblGrid>
      <w:tr w14:paraId="7DFF1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128A6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维度</w:t>
            </w:r>
          </w:p>
        </w:tc>
        <w:tc>
          <w:tcPr>
            <w:tcW w:w="37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459C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OpenCV refined</w:t>
            </w:r>
          </w:p>
        </w:tc>
        <w:tc>
          <w:tcPr>
            <w:tcW w:w="37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7E10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9"/>
              </w:rPr>
              <w:t>AI 回归模型</w:t>
            </w:r>
          </w:p>
        </w:tc>
      </w:tr>
      <w:tr w14:paraId="062E4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57BAD938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精度</w:t>
            </w:r>
          </w:p>
        </w:tc>
        <w:tc>
          <w:tcPr>
            <w:tcW w:w="3780" w:type="dxa"/>
          </w:tcPr>
          <w:p w14:paraId="5A844204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全量 MAE 1.263，已明显优化</w:t>
            </w:r>
          </w:p>
        </w:tc>
        <w:tc>
          <w:tcPr>
            <w:tcW w:w="3780" w:type="dxa"/>
          </w:tcPr>
          <w:p w14:paraId="022109FC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全量 MAE 0.865，整体更优</w:t>
            </w:r>
          </w:p>
        </w:tc>
      </w:tr>
      <w:tr w14:paraId="7E80F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06CA74D7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可解释性</w:t>
            </w:r>
          </w:p>
        </w:tc>
        <w:tc>
          <w:tcPr>
            <w:tcW w:w="3780" w:type="dxa"/>
          </w:tcPr>
          <w:p w14:paraId="6BFE9FD3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强，能解释面积角、span 角和保护逻辑</w:t>
            </w:r>
          </w:p>
        </w:tc>
        <w:tc>
          <w:tcPr>
            <w:tcW w:w="3780" w:type="dxa"/>
          </w:tcPr>
          <w:p w14:paraId="637FAF09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中等，依赖模型学习到的视觉特征</w:t>
            </w:r>
          </w:p>
        </w:tc>
      </w:tr>
      <w:tr w14:paraId="5DE13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6AD3A6A6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鲁棒性</w:t>
            </w:r>
          </w:p>
        </w:tc>
        <w:tc>
          <w:tcPr>
            <w:tcW w:w="3780" w:type="dxa"/>
          </w:tcPr>
          <w:p w14:paraId="7A8E9A46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对阈值、分割质量仍敏感</w:t>
            </w:r>
          </w:p>
        </w:tc>
        <w:tc>
          <w:tcPr>
            <w:tcW w:w="3780" w:type="dxa"/>
          </w:tcPr>
          <w:p w14:paraId="7E99856E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对颜色和边界变化适应性更好</w:t>
            </w:r>
          </w:p>
        </w:tc>
      </w:tr>
      <w:tr w14:paraId="16FA6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6A427FC3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维护成本</w:t>
            </w:r>
          </w:p>
        </w:tc>
        <w:tc>
          <w:tcPr>
            <w:tcW w:w="3780" w:type="dxa"/>
          </w:tcPr>
          <w:p w14:paraId="12E56590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参数可调，部署简单</w:t>
            </w:r>
          </w:p>
        </w:tc>
        <w:tc>
          <w:tcPr>
            <w:tcW w:w="3780" w:type="dxa"/>
          </w:tcPr>
          <w:p w14:paraId="20727F50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需要训练数据和模型权重管理</w:t>
            </w:r>
          </w:p>
        </w:tc>
      </w:tr>
      <w:tr w14:paraId="28AFC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01BA4BF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推荐用途</w:t>
            </w:r>
          </w:p>
        </w:tc>
        <w:tc>
          <w:tcPr>
            <w:tcW w:w="3780" w:type="dxa"/>
          </w:tcPr>
          <w:p w14:paraId="5FA2CAC5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作为传统方法、对照方法或兜底方案</w:t>
            </w:r>
          </w:p>
        </w:tc>
        <w:tc>
          <w:tcPr>
            <w:tcW w:w="3780" w:type="dxa"/>
          </w:tcPr>
          <w:p w14:paraId="707BBED9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作为追求最终精度时的优先方案</w:t>
            </w:r>
          </w:p>
        </w:tc>
      </w:tr>
    </w:tbl>
    <w:p w14:paraId="129DE60B">
      <w:pPr>
        <w:spacing w:after="12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0DF4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1AC43A">
            <w:pPr>
              <w:spacing w:after="80"/>
            </w:pPr>
            <w:r>
              <w:rPr>
                <w:rFonts w:ascii="微软雅黑" w:hAnsi="微软雅黑" w:eastAsia="微软雅黑"/>
                <w:b/>
                <w:color w:val="0B2545"/>
                <w:sz w:val="20"/>
              </w:rPr>
              <w:t>最终建议</w:t>
            </w:r>
          </w:p>
          <w:p w14:paraId="271DCEFB">
            <w:pPr>
              <w:spacing w:after="0"/>
            </w:pPr>
            <w:r>
              <w:rPr>
                <w:rFonts w:ascii="微软雅黑" w:hAnsi="微软雅黑" w:eastAsia="微软雅黑"/>
                <w:sz w:val="20"/>
              </w:rPr>
              <w:t>保留 refined OpenCV 作为可解释、易部署的传统方案；最终提交或追求更高精度时优先使用 AI 方案。后续继续优化时，OpenCV 重点检查异常样本的分割质量，AI 重点补充低角度和边界角度训练样本。</w:t>
            </w:r>
          </w:p>
        </w:tc>
      </w:tr>
    </w:tbl>
    <w:p w14:paraId="09AB62B3"/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626C01">
    <w:pPr>
      <w:pStyle w:val="166"/>
      <w:jc w:val="center"/>
    </w:pPr>
    <w:r>
      <w:t>OpenCV 与 AI 方案复盘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F76EDF">
    <w:pPr>
      <w:pStyle w:val="166"/>
      <w:jc w:val="right"/>
    </w:pPr>
    <w:r>
      <w:t>顶部角度识别方法总结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9D323C"/>
    <w:rsid w:val="18EE0096"/>
    <w:rsid w:val="1E6C3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 w:line="264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 w:line="264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 w:line="264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Report Title"/>
    <w:uiPriority w:val="0"/>
    <w:pPr>
      <w:spacing w:after="80" w:line="276" w:lineRule="auto"/>
    </w:pPr>
    <w:rPr>
      <w:rFonts w:ascii="微软雅黑" w:hAnsi="微软雅黑" w:eastAsia="微软雅黑" w:cstheme="minorBidi"/>
      <w:b/>
      <w:color w:val="0B2545"/>
      <w:sz w:val="40"/>
      <w:szCs w:val="22"/>
      <w:lang w:val="en-US" w:eastAsia="en-US" w:bidi="ar-SA"/>
    </w:rPr>
  </w:style>
  <w:style w:type="paragraph" w:customStyle="1" w:styleId="165">
    <w:name w:val="Report Subtitle"/>
    <w:uiPriority w:val="0"/>
    <w:pPr>
      <w:spacing w:after="280" w:line="276" w:lineRule="auto"/>
    </w:pPr>
    <w:rPr>
      <w:rFonts w:ascii="微软雅黑" w:hAnsi="微软雅黑" w:eastAsia="微软雅黑" w:cstheme="minorBidi"/>
      <w:color w:val="555555"/>
      <w:sz w:val="20"/>
      <w:szCs w:val="22"/>
      <w:lang w:val="en-US" w:eastAsia="en-US" w:bidi="ar-SA"/>
    </w:rPr>
  </w:style>
  <w:style w:type="paragraph" w:customStyle="1" w:styleId="166">
    <w:name w:val="Small Muted"/>
    <w:uiPriority w:val="0"/>
    <w:pPr>
      <w:spacing w:after="200" w:line="276" w:lineRule="auto"/>
    </w:pPr>
    <w:rPr>
      <w:rFonts w:ascii="微软雅黑" w:hAnsi="微软雅黑" w:eastAsia="微软雅黑" w:cstheme="minorBidi"/>
      <w:color w:val="666666"/>
      <w:sz w:val="17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1593</Words>
  <Characters>2173</Characters>
  <Lines>0</Lines>
  <Paragraphs>0</Paragraphs>
  <TotalTime>0</TotalTime>
  <ScaleCrop>false</ScaleCrop>
  <LinksUpToDate>false</LinksUpToDate>
  <CharactersWithSpaces>2321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流年似水 浮生若梦</cp:lastModifiedBy>
  <dcterms:modified xsi:type="dcterms:W3CDTF">2026-06-21T17:23:20Z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eyJoZGlkIjoiZTc0NWMyMzZiNThkMTc3NjU2NjQ0NWY0Nzk4MTQ1NDUiLCJ1c2VySWQiOiI5NzMxMzAwNTIifQ==</vt:lpwstr>
  </property>
  <property fmtid="{D5CDD505-2E9C-101B-9397-08002B2CF9AE}" pid="3" name="KSOProductBuildVer">
    <vt:lpwstr>2052-12.1.0.23542</vt:lpwstr>
  </property>
  <property fmtid="{D5CDD505-2E9C-101B-9397-08002B2CF9AE}" pid="4" name="ICV">
    <vt:lpwstr>A726ABA963164A7FA47E26056682CEEF_12</vt:lpwstr>
  </property>
</Properties>
</file>